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28EDED" w14:textId="77777777" w:rsidR="001D1AB8" w:rsidRDefault="001D1AB8" w:rsidP="001D1AB8">
      <w:r>
        <w:rPr>
          <w:noProof/>
          <w:lang w:eastAsia="en-GB"/>
        </w:rPr>
        <w:drawing>
          <wp:anchor distT="0" distB="0" distL="114300" distR="114300" simplePos="0" relativeHeight="251659264" behindDoc="0" locked="0" layoutInCell="1" allowOverlap="1" wp14:anchorId="47A94318" wp14:editId="437FC79C">
            <wp:simplePos x="0" y="0"/>
            <wp:positionH relativeFrom="margin">
              <wp:align>center</wp:align>
            </wp:positionH>
            <wp:positionV relativeFrom="paragraph">
              <wp:posOffset>0</wp:posOffset>
            </wp:positionV>
            <wp:extent cx="2181529" cy="1190791"/>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443481.tmp"/>
                    <pic:cNvPicPr/>
                  </pic:nvPicPr>
                  <pic:blipFill>
                    <a:blip r:embed="rId8">
                      <a:extLst>
                        <a:ext uri="{28A0092B-C50C-407E-A947-70E740481C1C}">
                          <a14:useLocalDpi xmlns:a14="http://schemas.microsoft.com/office/drawing/2010/main" val="0"/>
                        </a:ext>
                      </a:extLst>
                    </a:blip>
                    <a:stretch>
                      <a:fillRect/>
                    </a:stretch>
                  </pic:blipFill>
                  <pic:spPr>
                    <a:xfrm>
                      <a:off x="0" y="0"/>
                      <a:ext cx="2181529" cy="1190791"/>
                    </a:xfrm>
                    <a:prstGeom prst="rect">
                      <a:avLst/>
                    </a:prstGeom>
                  </pic:spPr>
                </pic:pic>
              </a:graphicData>
            </a:graphic>
            <wp14:sizeRelH relativeFrom="page">
              <wp14:pctWidth>0</wp14:pctWidth>
            </wp14:sizeRelH>
            <wp14:sizeRelV relativeFrom="page">
              <wp14:pctHeight>0</wp14:pctHeight>
            </wp14:sizeRelV>
          </wp:anchor>
        </w:drawing>
      </w:r>
    </w:p>
    <w:p w14:paraId="683C651A" w14:textId="77777777" w:rsidR="001D1AB8" w:rsidRPr="006E2184" w:rsidRDefault="001D1AB8" w:rsidP="001D1AB8"/>
    <w:p w14:paraId="6FFF85A3" w14:textId="77777777" w:rsidR="001D1AB8" w:rsidRPr="006E2184" w:rsidRDefault="001D1AB8" w:rsidP="001D1AB8"/>
    <w:p w14:paraId="38B6AD56" w14:textId="77777777" w:rsidR="001D1AB8" w:rsidRPr="006E2184" w:rsidRDefault="001D1AB8" w:rsidP="001D1AB8"/>
    <w:p w14:paraId="53247E1A" w14:textId="77777777" w:rsidR="001D1AB8" w:rsidRPr="006E2184" w:rsidRDefault="001D1AB8" w:rsidP="001D1AB8"/>
    <w:p w14:paraId="3A069EB0" w14:textId="77777777" w:rsidR="001D1AB8" w:rsidRPr="006E2184" w:rsidRDefault="001D1AB8" w:rsidP="001D1AB8"/>
    <w:p w14:paraId="2B02875A" w14:textId="77777777" w:rsidR="001D1AB8" w:rsidRPr="00E75F7A" w:rsidRDefault="001D1AB8" w:rsidP="001D1AB8">
      <w:pPr>
        <w:pStyle w:val="Title"/>
      </w:pPr>
    </w:p>
    <w:p w14:paraId="1B0F5121" w14:textId="77777777" w:rsidR="001D1AB8" w:rsidRPr="00E75F7A" w:rsidRDefault="001D1AB8" w:rsidP="001D1AB8">
      <w:pPr>
        <w:pStyle w:val="Title"/>
      </w:pPr>
      <w:r w:rsidRPr="00E75F7A">
        <w:t xml:space="preserve">Identification and characterisation of molecularly-distinct </w:t>
      </w:r>
      <w:r w:rsidRPr="00E75F7A">
        <w:rPr>
          <w:i/>
        </w:rPr>
        <w:t>Drosophila</w:t>
      </w:r>
      <w:r w:rsidRPr="00E75F7A">
        <w:t xml:space="preserve"> macrophage subpopulations with enhanced inflammatory responses to injury</w:t>
      </w:r>
    </w:p>
    <w:p w14:paraId="35A812C4" w14:textId="77777777" w:rsidR="001D1AB8" w:rsidRDefault="001D1AB8" w:rsidP="001D1AB8"/>
    <w:p w14:paraId="0BE4B063" w14:textId="77777777" w:rsidR="001D1AB8" w:rsidRDefault="001D1AB8" w:rsidP="001D1AB8"/>
    <w:p w14:paraId="5F4F8EDE" w14:textId="77777777" w:rsidR="001D1AB8" w:rsidRDefault="001D1AB8" w:rsidP="001D1AB8"/>
    <w:p w14:paraId="0A28D0BD" w14:textId="77777777" w:rsidR="001D1AB8" w:rsidRDefault="001D1AB8" w:rsidP="001D1AB8">
      <w:pPr>
        <w:rPr>
          <w:sz w:val="32"/>
        </w:rPr>
      </w:pPr>
      <w:r>
        <w:tab/>
      </w:r>
      <w:r>
        <w:tab/>
      </w:r>
      <w:r>
        <w:tab/>
      </w:r>
      <w:r>
        <w:tab/>
      </w:r>
      <w:r w:rsidRPr="006E2184">
        <w:rPr>
          <w:b/>
          <w:sz w:val="32"/>
        </w:rPr>
        <w:t xml:space="preserve">Jonathon Alexis Coates </w:t>
      </w:r>
    </w:p>
    <w:p w14:paraId="5ADCA053" w14:textId="77777777" w:rsidR="001D1AB8" w:rsidRDefault="001D1AB8" w:rsidP="001D1AB8">
      <w:pPr>
        <w:rPr>
          <w:sz w:val="32"/>
        </w:rPr>
      </w:pPr>
    </w:p>
    <w:p w14:paraId="5CFF7CCC" w14:textId="77777777" w:rsidR="001D1AB8" w:rsidRDefault="001D1AB8" w:rsidP="001D1AB8">
      <w:pPr>
        <w:rPr>
          <w:sz w:val="32"/>
        </w:rPr>
      </w:pPr>
    </w:p>
    <w:p w14:paraId="5063867C" w14:textId="77777777" w:rsidR="001D1AB8" w:rsidRPr="006E2184" w:rsidRDefault="001D1AB8" w:rsidP="001D1AB8">
      <w:pPr>
        <w:rPr>
          <w:sz w:val="32"/>
        </w:rPr>
      </w:pPr>
    </w:p>
    <w:p w14:paraId="152B1DDD" w14:textId="77777777" w:rsidR="001D1AB8" w:rsidRDefault="001D1AB8" w:rsidP="001D1AB8">
      <w:pPr>
        <w:rPr>
          <w:rStyle w:val="fontstyle01"/>
          <w:rFonts w:asciiTheme="minorHAnsi" w:hAnsiTheme="minorHAnsi"/>
        </w:rPr>
      </w:pPr>
      <w:r w:rsidRPr="006E2184">
        <w:rPr>
          <w:rStyle w:val="fontstyle01"/>
          <w:rFonts w:asciiTheme="minorHAnsi" w:hAnsiTheme="minorHAnsi"/>
        </w:rPr>
        <w:t>A thesis submitted in partial fulfilment of the requirements for the degree of</w:t>
      </w:r>
      <w:r w:rsidRPr="006E2184">
        <w:rPr>
          <w:color w:val="000000"/>
        </w:rPr>
        <w:br/>
      </w:r>
      <w:r w:rsidRPr="006E2184">
        <w:rPr>
          <w:rStyle w:val="fontstyle01"/>
          <w:rFonts w:asciiTheme="minorHAnsi" w:hAnsiTheme="minorHAnsi"/>
        </w:rPr>
        <w:t>Doctor of Philosophy</w:t>
      </w:r>
    </w:p>
    <w:p w14:paraId="32256075" w14:textId="77777777" w:rsidR="001D1AB8" w:rsidRDefault="001D1AB8" w:rsidP="001D1AB8">
      <w:pPr>
        <w:rPr>
          <w:rStyle w:val="fontstyle01"/>
          <w:rFonts w:asciiTheme="minorHAnsi" w:hAnsiTheme="minorHAnsi"/>
        </w:rPr>
      </w:pPr>
    </w:p>
    <w:p w14:paraId="5EF232AE" w14:textId="77777777" w:rsidR="001D1AB8" w:rsidRPr="006E2184" w:rsidRDefault="001D1AB8" w:rsidP="001D1AB8">
      <w:pPr>
        <w:jc w:val="center"/>
        <w:rPr>
          <w:rStyle w:val="fontstyle01"/>
          <w:rFonts w:asciiTheme="minorHAnsi" w:hAnsiTheme="minorHAnsi"/>
        </w:rPr>
      </w:pPr>
      <w:r w:rsidRPr="006E2184">
        <w:rPr>
          <w:rStyle w:val="fontstyle01"/>
          <w:rFonts w:asciiTheme="minorHAnsi" w:hAnsiTheme="minorHAnsi"/>
        </w:rPr>
        <w:t>The University of Sheffield</w:t>
      </w:r>
      <w:r w:rsidRPr="006E2184">
        <w:rPr>
          <w:color w:val="000000"/>
        </w:rPr>
        <w:br/>
      </w:r>
      <w:r w:rsidRPr="006E2184">
        <w:rPr>
          <w:rStyle w:val="fontstyle01"/>
          <w:rFonts w:asciiTheme="minorHAnsi" w:hAnsiTheme="minorHAnsi"/>
        </w:rPr>
        <w:t>Faculty of Medicine, Dentistry and Health</w:t>
      </w:r>
      <w:r w:rsidRPr="006E2184">
        <w:rPr>
          <w:color w:val="000000"/>
        </w:rPr>
        <w:br/>
      </w:r>
      <w:r w:rsidRPr="006E2184">
        <w:rPr>
          <w:rStyle w:val="fontstyle01"/>
          <w:rFonts w:asciiTheme="minorHAnsi" w:hAnsiTheme="minorHAnsi"/>
        </w:rPr>
        <w:t xml:space="preserve">Department of </w:t>
      </w:r>
      <w:r>
        <w:rPr>
          <w:rStyle w:val="fontstyle01"/>
          <w:rFonts w:asciiTheme="minorHAnsi" w:hAnsiTheme="minorHAnsi"/>
        </w:rPr>
        <w:t>Biomedical Science</w:t>
      </w:r>
      <w:r w:rsidRPr="006E2184">
        <w:rPr>
          <w:color w:val="000000"/>
        </w:rPr>
        <w:br/>
      </w:r>
    </w:p>
    <w:p w14:paraId="0C8F36AC" w14:textId="77777777" w:rsidR="001D1AB8" w:rsidRDefault="001D1AB8" w:rsidP="001D1AB8">
      <w:pPr>
        <w:rPr>
          <w:rStyle w:val="fontstyle01"/>
        </w:rPr>
      </w:pPr>
    </w:p>
    <w:p w14:paraId="6D3128D1" w14:textId="77777777" w:rsidR="001D1AB8" w:rsidRPr="006E2184" w:rsidRDefault="001D1AB8" w:rsidP="001D1AB8">
      <w:pPr>
        <w:ind w:left="2880" w:firstLine="720"/>
        <w:rPr>
          <w:sz w:val="32"/>
        </w:rPr>
      </w:pPr>
      <w:r w:rsidRPr="006E2184">
        <w:rPr>
          <w:rStyle w:val="fontstyle01"/>
          <w:rFonts w:asciiTheme="minorHAnsi" w:hAnsiTheme="minorHAnsi"/>
        </w:rPr>
        <w:t>February 2019</w:t>
      </w:r>
    </w:p>
    <w:p w14:paraId="11F7CCF2" w14:textId="77777777" w:rsidR="001D1AB8" w:rsidRDefault="001D1AB8" w:rsidP="001D1AB8">
      <w:pPr>
        <w:pStyle w:val="Heading1"/>
        <w:spacing w:line="360" w:lineRule="auto"/>
      </w:pPr>
      <w:bookmarkStart w:id="0" w:name="_Toc1562808"/>
      <w:bookmarkStart w:id="1" w:name="_Toc1568178"/>
      <w:bookmarkStart w:id="2" w:name="_Toc1579800"/>
      <w:bookmarkStart w:id="3" w:name="_Toc1655878"/>
      <w:bookmarkStart w:id="4" w:name="_Toc1721712"/>
      <w:bookmarkStart w:id="5" w:name="_Toc4589249"/>
      <w:r>
        <w:lastRenderedPageBreak/>
        <w:t>Acknowledgements</w:t>
      </w:r>
      <w:bookmarkEnd w:id="0"/>
      <w:bookmarkEnd w:id="1"/>
      <w:bookmarkEnd w:id="2"/>
      <w:bookmarkEnd w:id="3"/>
      <w:bookmarkEnd w:id="4"/>
      <w:bookmarkEnd w:id="5"/>
    </w:p>
    <w:p w14:paraId="6A7E0C7E" w14:textId="77777777" w:rsidR="001D1AB8" w:rsidRDefault="001D1AB8" w:rsidP="001D1AB8">
      <w:pPr>
        <w:pStyle w:val="Thesisnormal"/>
      </w:pPr>
    </w:p>
    <w:p w14:paraId="00B240E7" w14:textId="77777777" w:rsidR="001D1AB8" w:rsidRDefault="001D1AB8" w:rsidP="001D1AB8">
      <w:pPr>
        <w:pStyle w:val="Thesisnormal"/>
      </w:pPr>
      <w:r>
        <w:t xml:space="preserve">Firstly, I would like to dedicate this thesis to my mum, whose hard work has been an inspiration and who is, in no small part, crucially linked to how I have come to be finishing my PhD. She is perhaps the most caring, loving and hard-working person I will ever meet, and I could not have asked for a better parent. </w:t>
      </w:r>
    </w:p>
    <w:p w14:paraId="51708C73" w14:textId="77777777" w:rsidR="001D1AB8" w:rsidRDefault="001D1AB8" w:rsidP="001D1AB8">
      <w:pPr>
        <w:pStyle w:val="Thesisnormal"/>
      </w:pPr>
    </w:p>
    <w:p w14:paraId="65C8E9E6" w14:textId="77777777" w:rsidR="001D1AB8" w:rsidRDefault="001D1AB8" w:rsidP="001D1AB8">
      <w:pPr>
        <w:pStyle w:val="Thesisnormal"/>
      </w:pPr>
      <w:r>
        <w:t xml:space="preserve">I’d especially like to thank my supervisor, Iwan Evans for his guidance, support and advice throughout my PhD. Although I’m not entirely sure how, he has been incredibly patient when I was undertaking many distracting activities throughout the past 4 years. He has provided constant guidance and support both professionally and personally and made the PhD journey significantly more enjoyable. Without his support, my PhD experience would have almost certainly been lessened. He always ensures the lab is an excellent place to work and looks out for all lab members. I sincerely hope it is possible to work together again at some point in the future. </w:t>
      </w:r>
    </w:p>
    <w:p w14:paraId="67C204DA" w14:textId="77777777" w:rsidR="001D1AB8" w:rsidRDefault="001D1AB8" w:rsidP="001D1AB8">
      <w:pPr>
        <w:pStyle w:val="Thesisnormal"/>
      </w:pPr>
    </w:p>
    <w:p w14:paraId="19411968" w14:textId="77777777" w:rsidR="001D1AB8" w:rsidRDefault="001D1AB8" w:rsidP="001D1AB8">
      <w:pPr>
        <w:pStyle w:val="Thesisnormal"/>
      </w:pPr>
      <w:r w:rsidRPr="00214379">
        <w:t>I’d like to thank my second supervisor, Martin Zeidler, for his advice, oversight and making the lab a fun place to work.</w:t>
      </w:r>
      <w:r>
        <w:t xml:space="preserve"> I’d also like to thank my advisors, Phil Elks and Jarema Malicki (who sadly passed away before the thesis was complete). They provided guidance and insight, whilst aiding me in keeping the thesis on track and refining my presentation skills. In addition, I’d like to highlight Darren Robinson, Steve Brown and Simon Fellget as people who have given me lots of advice and help or just provided a great working atmosphere over the years. </w:t>
      </w:r>
    </w:p>
    <w:p w14:paraId="71786812" w14:textId="77777777" w:rsidR="001D1AB8" w:rsidRDefault="001D1AB8" w:rsidP="001D1AB8">
      <w:pPr>
        <w:pStyle w:val="Thesisnormal"/>
      </w:pPr>
    </w:p>
    <w:p w14:paraId="333D6AB5" w14:textId="77777777" w:rsidR="001D1AB8" w:rsidRDefault="001D1AB8" w:rsidP="001D1AB8">
      <w:pPr>
        <w:pStyle w:val="Thesisnormal"/>
      </w:pPr>
      <w:r>
        <w:t xml:space="preserve">I’d like to thank my friends, Hannes Maib, John Howard, Aragorn Jones and Josh Greig, who have always been available for a drink/company when needed and who have made the PhD journey much easier and vastly more enjoyable. I’d also like to thank my girlfriend, Eve, for putting up with my many complaints during the writing phase and giving me a home for the end of my PhD. </w:t>
      </w:r>
    </w:p>
    <w:p w14:paraId="56337872" w14:textId="77777777" w:rsidR="001D1AB8" w:rsidRDefault="001D1AB8" w:rsidP="001D1AB8">
      <w:pPr>
        <w:pStyle w:val="Thesisnormal"/>
      </w:pPr>
    </w:p>
    <w:p w14:paraId="0FA08D53" w14:textId="77777777" w:rsidR="001D1AB8" w:rsidRDefault="001D1AB8" w:rsidP="001D1AB8">
      <w:pPr>
        <w:pStyle w:val="Thesisnormal"/>
      </w:pPr>
      <w:r>
        <w:t xml:space="preserve">Finally, I’d like to thank Emma Armitage. Emma got my project started before I arrived and then trained me in all I know. She has been warm and welcoming from the moment I started </w:t>
      </w:r>
      <w:r>
        <w:lastRenderedPageBreak/>
        <w:t xml:space="preserve">and has been a pleasure to work with for the past 4 years. She is integral to the lab from advice on experiments to looking out for all the (sometimes lost and/or confused) PhD students. It cannot be understated how sorely she will be missed when I move to my new position.  </w:t>
      </w:r>
    </w:p>
    <w:p w14:paraId="1D5A6FD0" w14:textId="77777777" w:rsidR="001D1AB8" w:rsidRDefault="001D1AB8" w:rsidP="001D1AB8">
      <w:pPr>
        <w:pStyle w:val="Thesisnormal"/>
      </w:pPr>
    </w:p>
    <w:p w14:paraId="31803D0E" w14:textId="77777777" w:rsidR="001D1AB8" w:rsidRDefault="001D1AB8" w:rsidP="001D1AB8"/>
    <w:p w14:paraId="1FB3084C" w14:textId="77777777" w:rsidR="001D1AB8" w:rsidRDefault="001D1AB8">
      <w:r>
        <w:br w:type="page"/>
      </w:r>
    </w:p>
    <w:p w14:paraId="325206A7" w14:textId="77777777" w:rsidR="001D1AB8" w:rsidRDefault="001D1AB8" w:rsidP="001D1AB8">
      <w:pPr>
        <w:pStyle w:val="Heading1"/>
      </w:pPr>
      <w:bookmarkStart w:id="6" w:name="_Toc1562809"/>
      <w:bookmarkStart w:id="7" w:name="_Toc1568179"/>
      <w:bookmarkStart w:id="8" w:name="_Toc1579801"/>
      <w:bookmarkStart w:id="9" w:name="_Toc1655879"/>
      <w:bookmarkStart w:id="10" w:name="_Toc1721713"/>
      <w:bookmarkStart w:id="11" w:name="_Toc4589250"/>
      <w:r>
        <w:lastRenderedPageBreak/>
        <w:t>Abstract</w:t>
      </w:r>
      <w:bookmarkEnd w:id="6"/>
      <w:bookmarkEnd w:id="7"/>
      <w:bookmarkEnd w:id="8"/>
      <w:bookmarkEnd w:id="9"/>
      <w:bookmarkEnd w:id="10"/>
      <w:bookmarkEnd w:id="11"/>
    </w:p>
    <w:p w14:paraId="0FD6139B" w14:textId="77777777" w:rsidR="001D1AB8" w:rsidRDefault="001D1AB8" w:rsidP="001D1AB8">
      <w:pPr>
        <w:pStyle w:val="Thesisnormal"/>
      </w:pPr>
    </w:p>
    <w:p w14:paraId="22BADA1B" w14:textId="3C9EDE59" w:rsidR="001D1AB8" w:rsidRPr="00AF14E5" w:rsidRDefault="001D1AB8" w:rsidP="001D1AB8">
      <w:pPr>
        <w:pStyle w:val="Thesisnormal"/>
      </w:pPr>
      <w:r w:rsidRPr="00AF14E5">
        <w:t xml:space="preserve">Macrophage heterogeneity is a firmly established principle in vertebrates, encompassing tissue-resident subpopulations and polarised activation states. However, there is much discussion over the exact types and functions of these different macrophage populations, presenting the need for a simpler model system. </w:t>
      </w:r>
      <w:r w:rsidRPr="00D61B4E">
        <w:rPr>
          <w:i/>
        </w:rPr>
        <w:t>Drosophila melanogaster</w:t>
      </w:r>
      <w:r w:rsidRPr="00AF14E5">
        <w:t xml:space="preserve"> </w:t>
      </w:r>
      <w:r w:rsidR="00D61B4E">
        <w:t>(</w:t>
      </w:r>
      <w:r w:rsidR="00D61B4E" w:rsidRPr="00D61B4E">
        <w:rPr>
          <w:i/>
        </w:rPr>
        <w:t>Drosophila</w:t>
      </w:r>
      <w:r w:rsidR="00D61B4E">
        <w:t xml:space="preserve">) </w:t>
      </w:r>
      <w:r w:rsidRPr="00AF14E5">
        <w:t>possess cells that are functionally equivalent to macrophages (plasmatocytes of the hemocyte lineage), but to date these cells have been largely considered to inhabit homogeneous populations, with only limited evidence suggesting macrophage heterogeneity might exist in flies.</w:t>
      </w:r>
    </w:p>
    <w:p w14:paraId="754E0B82" w14:textId="77777777" w:rsidR="001D1AB8" w:rsidRPr="00AF14E5" w:rsidRDefault="001D1AB8" w:rsidP="001D1AB8">
      <w:pPr>
        <w:pStyle w:val="Thesisnormal"/>
      </w:pPr>
    </w:p>
    <w:p w14:paraId="4E1C61ED" w14:textId="35C4C5FD" w:rsidR="001D1AB8" w:rsidRPr="00AF14E5" w:rsidRDefault="001D1AB8" w:rsidP="001D1AB8">
      <w:pPr>
        <w:pStyle w:val="Thesisnormal"/>
      </w:pPr>
      <w:r w:rsidRPr="00AF14E5">
        <w:t xml:space="preserve">However, our work and the work of others indicates that </w:t>
      </w:r>
      <w:r w:rsidRPr="00D61B4E">
        <w:rPr>
          <w:i/>
        </w:rPr>
        <w:t>Drosophila</w:t>
      </w:r>
      <w:r w:rsidRPr="00AF14E5">
        <w:t xml:space="preserve"> embryonic macrophages, much like their vertebrate counterparts, do not respond uniformly to a variety of immune stimuli, including phagocytic challenge and tissue damage, leading us to hypothesise that macrophage heterogeneity is an evolutionarily conserved facet of cellular innate immunity that is present in </w:t>
      </w:r>
      <w:r w:rsidRPr="00D61B4E">
        <w:rPr>
          <w:i/>
        </w:rPr>
        <w:t>Drosophila</w:t>
      </w:r>
      <w:r w:rsidRPr="00AF14E5">
        <w:t xml:space="preserve">. By screening the Vienna Tilling array library, we have identified enhancer-GAL4 lines that label molecularly-distinct subpopulations of </w:t>
      </w:r>
      <w:r w:rsidRPr="00D61B4E">
        <w:rPr>
          <w:i/>
        </w:rPr>
        <w:t>Drosophila</w:t>
      </w:r>
      <w:r w:rsidRPr="00AF14E5">
        <w:t xml:space="preserve"> macrophages in vivo. We have extensively evaluated the functions of these subpopulations, identifying enhancer lines that label subpopulations of macrophages. Importantly, some of these subpopulations of macrophages exhibit enhanced inflammatory responses to injury within the developing embryo. Furthermore, several subpopulations migrate at faster rates and/or display reduced rates of apoptotic cell clearance in vivo. Moreover, we have recently begun to investigate the underlying mechanisms behind these behaviours, uncovering roles for metabolism and ROS. Specifically, we have demonstrated that increased glycolysis within hemocytes induces more effective response to injury. </w:t>
      </w:r>
    </w:p>
    <w:p w14:paraId="31E5A9EC" w14:textId="77777777" w:rsidR="001D1AB8" w:rsidRPr="00AF14E5" w:rsidRDefault="001D1AB8" w:rsidP="001D1AB8">
      <w:pPr>
        <w:pStyle w:val="Thesisnormal"/>
      </w:pPr>
    </w:p>
    <w:p w14:paraId="52B4A0FE" w14:textId="77777777" w:rsidR="001D1AB8" w:rsidRPr="00AF14E5" w:rsidRDefault="001D1AB8" w:rsidP="001D1AB8">
      <w:pPr>
        <w:pStyle w:val="Thesisnormal"/>
      </w:pPr>
      <w:r w:rsidRPr="00AF14E5">
        <w:t xml:space="preserve">We have definitively demonstrated macrophage heterogeneity in </w:t>
      </w:r>
      <w:r w:rsidRPr="00D61B4E">
        <w:rPr>
          <w:i/>
        </w:rPr>
        <w:t>Drosophila</w:t>
      </w:r>
      <w:r w:rsidRPr="00AF14E5">
        <w:t xml:space="preserve"> for the first time and developed novel tools in which to examine macrophage subpopulations. This work extends the capacity of </w:t>
      </w:r>
      <w:r w:rsidRPr="00D61B4E">
        <w:rPr>
          <w:i/>
        </w:rPr>
        <w:t>Drosophila</w:t>
      </w:r>
      <w:r w:rsidRPr="00AF14E5">
        <w:t xml:space="preserve"> as a model organism for studying macrophage behaviour in vivo and shows that macrophage heterogeneity is a key feature of cellular innate immune systems that is conserved across evolution.</w:t>
      </w:r>
    </w:p>
    <w:p w14:paraId="76911D71" w14:textId="77777777" w:rsidR="001D1AB8" w:rsidRDefault="001D1AB8" w:rsidP="001D1AB8">
      <w:pPr>
        <w:pStyle w:val="Thesisnormal"/>
      </w:pPr>
    </w:p>
    <w:p w14:paraId="41C69E6F" w14:textId="77777777" w:rsidR="001D1AB8" w:rsidRDefault="001D1AB8" w:rsidP="001D1AB8">
      <w:pPr>
        <w:pStyle w:val="Heading1"/>
      </w:pPr>
      <w:bookmarkStart w:id="12" w:name="_Toc531876417"/>
      <w:bookmarkStart w:id="13" w:name="_Toc1562810"/>
      <w:bookmarkStart w:id="14" w:name="_Toc1568180"/>
      <w:bookmarkStart w:id="15" w:name="_Toc1579802"/>
      <w:bookmarkStart w:id="16" w:name="_Toc1655880"/>
      <w:bookmarkStart w:id="17" w:name="_Toc1721714"/>
      <w:bookmarkStart w:id="18" w:name="_Toc4589251"/>
      <w:r>
        <w:lastRenderedPageBreak/>
        <w:t>Abbreviations</w:t>
      </w:r>
      <w:bookmarkEnd w:id="12"/>
      <w:bookmarkEnd w:id="13"/>
      <w:bookmarkEnd w:id="14"/>
      <w:bookmarkEnd w:id="15"/>
      <w:bookmarkEnd w:id="16"/>
      <w:bookmarkEnd w:id="17"/>
      <w:bookmarkEnd w:id="18"/>
    </w:p>
    <w:p w14:paraId="7BB8EA7A" w14:textId="77777777" w:rsidR="001D1AB8" w:rsidRPr="00D56980" w:rsidRDefault="001D1AB8" w:rsidP="001D1AB8"/>
    <w:tbl>
      <w:tblPr>
        <w:tblW w:w="9634" w:type="dxa"/>
        <w:tblLook w:val="04A0" w:firstRow="1" w:lastRow="0" w:firstColumn="1" w:lastColumn="0" w:noHBand="0" w:noVBand="1"/>
      </w:tblPr>
      <w:tblGrid>
        <w:gridCol w:w="7792"/>
        <w:gridCol w:w="1842"/>
      </w:tblGrid>
      <w:tr w:rsidR="001D1AB8" w14:paraId="3B24BD59" w14:textId="77777777" w:rsidTr="001E4361">
        <w:tc>
          <w:tcPr>
            <w:tcW w:w="7792" w:type="dxa"/>
          </w:tcPr>
          <w:p w14:paraId="1D87B27A" w14:textId="77777777" w:rsidR="001D1AB8" w:rsidRPr="00D14257" w:rsidRDefault="001D1AB8" w:rsidP="001E4361">
            <w:pPr>
              <w:rPr>
                <w:i/>
              </w:rPr>
            </w:pPr>
            <w:r>
              <w:t>acetyl coenzyme-A</w:t>
            </w:r>
          </w:p>
        </w:tc>
        <w:tc>
          <w:tcPr>
            <w:tcW w:w="1842" w:type="dxa"/>
          </w:tcPr>
          <w:p w14:paraId="79D6A92B" w14:textId="77777777" w:rsidR="001D1AB8" w:rsidRDefault="001D1AB8" w:rsidP="001E4361">
            <w:r w:rsidRPr="002231EA">
              <w:t>acetyl-CoA</w:t>
            </w:r>
          </w:p>
        </w:tc>
      </w:tr>
      <w:tr w:rsidR="001D1AB8" w14:paraId="468F2AAC" w14:textId="77777777" w:rsidTr="001E4361">
        <w:trPr>
          <w:trHeight w:val="324"/>
        </w:trPr>
        <w:tc>
          <w:tcPr>
            <w:tcW w:w="7792" w:type="dxa"/>
          </w:tcPr>
          <w:p w14:paraId="0B80DA60" w14:textId="77777777" w:rsidR="001D1AB8" w:rsidRPr="00D14257" w:rsidRDefault="001D1AB8" w:rsidP="001E4361">
            <w:pPr>
              <w:rPr>
                <w:i/>
              </w:rPr>
            </w:pPr>
            <w:r>
              <w:t>apoptosis induced proliferation</w:t>
            </w:r>
          </w:p>
        </w:tc>
        <w:tc>
          <w:tcPr>
            <w:tcW w:w="1842" w:type="dxa"/>
          </w:tcPr>
          <w:p w14:paraId="69463C96" w14:textId="77777777" w:rsidR="001D1AB8" w:rsidRDefault="001D1AB8" w:rsidP="001E4361">
            <w:r>
              <w:t>AiP</w:t>
            </w:r>
          </w:p>
        </w:tc>
      </w:tr>
      <w:tr w:rsidR="001D1AB8" w14:paraId="716D8150" w14:textId="77777777" w:rsidTr="001E4361">
        <w:trPr>
          <w:trHeight w:val="323"/>
        </w:trPr>
        <w:tc>
          <w:tcPr>
            <w:tcW w:w="7792" w:type="dxa"/>
          </w:tcPr>
          <w:p w14:paraId="7D64DCB3" w14:textId="77777777" w:rsidR="001D1AB8" w:rsidRDefault="001D1AB8" w:rsidP="001E4361">
            <w:r>
              <w:t>A</w:t>
            </w:r>
            <w:r w:rsidRPr="00063131">
              <w:t>nti-microbial peptides</w:t>
            </w:r>
          </w:p>
        </w:tc>
        <w:tc>
          <w:tcPr>
            <w:tcW w:w="1842" w:type="dxa"/>
          </w:tcPr>
          <w:p w14:paraId="2173C587" w14:textId="77777777" w:rsidR="001D1AB8" w:rsidRDefault="001D1AB8" w:rsidP="001E4361">
            <w:r w:rsidRPr="00063131">
              <w:t>AMP</w:t>
            </w:r>
          </w:p>
        </w:tc>
      </w:tr>
      <w:tr w:rsidR="001D1AB8" w14:paraId="3EBCE5CE" w14:textId="77777777" w:rsidTr="001E4361">
        <w:tc>
          <w:tcPr>
            <w:tcW w:w="7792" w:type="dxa"/>
          </w:tcPr>
          <w:p w14:paraId="1106DFE3" w14:textId="77777777" w:rsidR="001D1AB8" w:rsidRDefault="001D1AB8" w:rsidP="001E4361">
            <w:r>
              <w:t>AMP-activated protein kinase</w:t>
            </w:r>
          </w:p>
        </w:tc>
        <w:tc>
          <w:tcPr>
            <w:tcW w:w="1842" w:type="dxa"/>
          </w:tcPr>
          <w:p w14:paraId="4FC7CAD3" w14:textId="77777777" w:rsidR="001D1AB8" w:rsidRDefault="001D1AB8" w:rsidP="001E4361">
            <w:r>
              <w:t>AMPK</w:t>
            </w:r>
          </w:p>
        </w:tc>
      </w:tr>
      <w:tr w:rsidR="001D1AB8" w14:paraId="0A6D3EAF" w14:textId="77777777" w:rsidTr="001E4361">
        <w:tc>
          <w:tcPr>
            <w:tcW w:w="7792" w:type="dxa"/>
          </w:tcPr>
          <w:p w14:paraId="6FC8F1EA" w14:textId="77777777" w:rsidR="001D1AB8" w:rsidRDefault="001D1AB8" w:rsidP="001E4361">
            <w:r>
              <w:t>Arginase</w:t>
            </w:r>
          </w:p>
        </w:tc>
        <w:tc>
          <w:tcPr>
            <w:tcW w:w="1842" w:type="dxa"/>
          </w:tcPr>
          <w:p w14:paraId="0AF5954C" w14:textId="77777777" w:rsidR="001D1AB8" w:rsidRDefault="001D1AB8" w:rsidP="001E4361">
            <w:r>
              <w:t>Arg</w:t>
            </w:r>
          </w:p>
        </w:tc>
      </w:tr>
      <w:tr w:rsidR="001D1AB8" w14:paraId="427E15E0" w14:textId="77777777" w:rsidTr="001E4361">
        <w:trPr>
          <w:trHeight w:val="323"/>
        </w:trPr>
        <w:tc>
          <w:tcPr>
            <w:tcW w:w="7792" w:type="dxa"/>
          </w:tcPr>
          <w:p w14:paraId="1C0A6A49" w14:textId="77777777" w:rsidR="001D1AB8" w:rsidRDefault="001D1AB8" w:rsidP="001E4361">
            <w:r>
              <w:t>cyclic AMP</w:t>
            </w:r>
          </w:p>
        </w:tc>
        <w:tc>
          <w:tcPr>
            <w:tcW w:w="1842" w:type="dxa"/>
          </w:tcPr>
          <w:p w14:paraId="569C3A86" w14:textId="77777777" w:rsidR="001D1AB8" w:rsidRDefault="001D1AB8" w:rsidP="001E4361">
            <w:r>
              <w:t>cAMP</w:t>
            </w:r>
          </w:p>
        </w:tc>
      </w:tr>
      <w:tr w:rsidR="001D1AB8" w14:paraId="689F7022" w14:textId="77777777" w:rsidTr="001E4361">
        <w:trPr>
          <w:trHeight w:val="323"/>
        </w:trPr>
        <w:tc>
          <w:tcPr>
            <w:tcW w:w="7792" w:type="dxa"/>
          </w:tcPr>
          <w:p w14:paraId="7A19FB21" w14:textId="77777777" w:rsidR="001D1AB8" w:rsidRDefault="001D1AB8" w:rsidP="001E4361">
            <w:r>
              <w:t>C-C motif chemokine ligands</w:t>
            </w:r>
          </w:p>
        </w:tc>
        <w:tc>
          <w:tcPr>
            <w:tcW w:w="1842" w:type="dxa"/>
          </w:tcPr>
          <w:p w14:paraId="51C40923" w14:textId="77777777" w:rsidR="001D1AB8" w:rsidRDefault="001D1AB8" w:rsidP="001E4361">
            <w:r>
              <w:t>CCL</w:t>
            </w:r>
          </w:p>
        </w:tc>
      </w:tr>
      <w:tr w:rsidR="001D1AB8" w14:paraId="5858B1A9" w14:textId="77777777" w:rsidTr="001E4361">
        <w:tc>
          <w:tcPr>
            <w:tcW w:w="7792" w:type="dxa"/>
          </w:tcPr>
          <w:p w14:paraId="479DC22F" w14:textId="77777777" w:rsidR="001D1AB8" w:rsidRPr="00B10252" w:rsidRDefault="001D1AB8" w:rsidP="001E4361">
            <w:r w:rsidRPr="00B10252">
              <w:t>charlatan</w:t>
            </w:r>
          </w:p>
        </w:tc>
        <w:tc>
          <w:tcPr>
            <w:tcW w:w="1842" w:type="dxa"/>
          </w:tcPr>
          <w:p w14:paraId="0A2F6C41" w14:textId="77777777" w:rsidR="001D1AB8" w:rsidRDefault="001D1AB8" w:rsidP="001E4361">
            <w:r>
              <w:t>chn</w:t>
            </w:r>
          </w:p>
        </w:tc>
      </w:tr>
      <w:tr w:rsidR="001D1AB8" w14:paraId="5E46B16B" w14:textId="77777777" w:rsidTr="001E4361">
        <w:tc>
          <w:tcPr>
            <w:tcW w:w="7792" w:type="dxa"/>
          </w:tcPr>
          <w:p w14:paraId="5DA47523" w14:textId="77777777" w:rsidR="001D1AB8" w:rsidRPr="00D14257" w:rsidRDefault="001D1AB8" w:rsidP="001E4361">
            <w:pPr>
              <w:rPr>
                <w:i/>
              </w:rPr>
            </w:pPr>
            <w:r>
              <w:t>calnexin 14D</w:t>
            </w:r>
          </w:p>
        </w:tc>
        <w:tc>
          <w:tcPr>
            <w:tcW w:w="1842" w:type="dxa"/>
          </w:tcPr>
          <w:p w14:paraId="092EAA44" w14:textId="77777777" w:rsidR="001D1AB8" w:rsidRDefault="001D1AB8" w:rsidP="001E4361">
            <w:r>
              <w:t>Cnx14D</w:t>
            </w:r>
          </w:p>
        </w:tc>
      </w:tr>
      <w:tr w:rsidR="001D1AB8" w14:paraId="6E0368E9" w14:textId="77777777" w:rsidTr="001E4361">
        <w:trPr>
          <w:trHeight w:val="323"/>
        </w:trPr>
        <w:tc>
          <w:tcPr>
            <w:tcW w:w="7792" w:type="dxa"/>
          </w:tcPr>
          <w:p w14:paraId="591130FC" w14:textId="77777777" w:rsidR="001D1AB8" w:rsidRDefault="001D1AB8" w:rsidP="001E4361">
            <w:r>
              <w:t>Croquemort</w:t>
            </w:r>
          </w:p>
        </w:tc>
        <w:tc>
          <w:tcPr>
            <w:tcW w:w="1842" w:type="dxa"/>
          </w:tcPr>
          <w:p w14:paraId="03910898" w14:textId="77777777" w:rsidR="001D1AB8" w:rsidRDefault="001D1AB8" w:rsidP="001E4361">
            <w:r>
              <w:t>Crq</w:t>
            </w:r>
          </w:p>
        </w:tc>
      </w:tr>
      <w:tr w:rsidR="001D1AB8" w14:paraId="63D019C6" w14:textId="77777777" w:rsidTr="001E4361">
        <w:trPr>
          <w:trHeight w:val="323"/>
        </w:trPr>
        <w:tc>
          <w:tcPr>
            <w:tcW w:w="7792" w:type="dxa"/>
          </w:tcPr>
          <w:p w14:paraId="13DCAD9B" w14:textId="77777777" w:rsidR="001D1AB8" w:rsidRDefault="001D1AB8" w:rsidP="001E4361">
            <w:r>
              <w:t>Damage associated molecular pattern</w:t>
            </w:r>
          </w:p>
        </w:tc>
        <w:tc>
          <w:tcPr>
            <w:tcW w:w="1842" w:type="dxa"/>
          </w:tcPr>
          <w:p w14:paraId="13FCC9A2" w14:textId="77777777" w:rsidR="001D1AB8" w:rsidRDefault="001D1AB8" w:rsidP="001E4361">
            <w:r>
              <w:t>DAMP</w:t>
            </w:r>
          </w:p>
        </w:tc>
      </w:tr>
      <w:tr w:rsidR="00E851A7" w14:paraId="0630F796" w14:textId="77777777" w:rsidTr="001E4361">
        <w:trPr>
          <w:trHeight w:val="323"/>
        </w:trPr>
        <w:tc>
          <w:tcPr>
            <w:tcW w:w="7792" w:type="dxa"/>
          </w:tcPr>
          <w:p w14:paraId="69D1ABE8" w14:textId="52E1A7EF" w:rsidR="00E851A7" w:rsidRDefault="00E851A7" w:rsidP="001E4361">
            <w:r>
              <w:rPr>
                <w:rStyle w:val="ilfuvd"/>
              </w:rPr>
              <w:t>DNA adenine methyltransferase identification</w:t>
            </w:r>
          </w:p>
        </w:tc>
        <w:tc>
          <w:tcPr>
            <w:tcW w:w="1842" w:type="dxa"/>
          </w:tcPr>
          <w:p w14:paraId="2BBCD480" w14:textId="35F470B7" w:rsidR="00E851A7" w:rsidRDefault="00E851A7" w:rsidP="001E4361">
            <w:r>
              <w:t>DamID</w:t>
            </w:r>
          </w:p>
        </w:tc>
      </w:tr>
      <w:tr w:rsidR="001D1AB8" w14:paraId="372D6FD1" w14:textId="77777777" w:rsidTr="001E4361">
        <w:tc>
          <w:tcPr>
            <w:tcW w:w="7792" w:type="dxa"/>
          </w:tcPr>
          <w:p w14:paraId="4179BD89" w14:textId="77777777" w:rsidR="001D1AB8" w:rsidRDefault="001D1AB8" w:rsidP="001E4361">
            <w:r>
              <w:t>Dihydrorhodamine 123</w:t>
            </w:r>
          </w:p>
        </w:tc>
        <w:tc>
          <w:tcPr>
            <w:tcW w:w="1842" w:type="dxa"/>
          </w:tcPr>
          <w:p w14:paraId="76690D3A" w14:textId="77777777" w:rsidR="001D1AB8" w:rsidRDefault="001D1AB8" w:rsidP="001E4361">
            <w:r>
              <w:t>DHR123</w:t>
            </w:r>
          </w:p>
        </w:tc>
      </w:tr>
      <w:tr w:rsidR="001D1AB8" w14:paraId="271E97DD" w14:textId="77777777" w:rsidTr="001E4361">
        <w:tc>
          <w:tcPr>
            <w:tcW w:w="7792" w:type="dxa"/>
          </w:tcPr>
          <w:p w14:paraId="6527879B" w14:textId="77777777" w:rsidR="001D1AB8" w:rsidRDefault="001D1AB8" w:rsidP="001E4361">
            <w:r w:rsidRPr="00A333D6">
              <w:rPr>
                <w:i/>
              </w:rPr>
              <w:t>Domeless</w:t>
            </w:r>
          </w:p>
        </w:tc>
        <w:tc>
          <w:tcPr>
            <w:tcW w:w="1842" w:type="dxa"/>
          </w:tcPr>
          <w:p w14:paraId="388A279E" w14:textId="77777777" w:rsidR="001D1AB8" w:rsidRDefault="001D1AB8" w:rsidP="001E4361">
            <w:r>
              <w:t>Dome</w:t>
            </w:r>
          </w:p>
        </w:tc>
      </w:tr>
      <w:tr w:rsidR="001D1AB8" w14:paraId="505F176B" w14:textId="77777777" w:rsidTr="001E4361">
        <w:trPr>
          <w:trHeight w:val="323"/>
        </w:trPr>
        <w:tc>
          <w:tcPr>
            <w:tcW w:w="7792" w:type="dxa"/>
          </w:tcPr>
          <w:p w14:paraId="5BB4CD5A" w14:textId="77777777" w:rsidR="001D1AB8" w:rsidRDefault="001D1AB8" w:rsidP="001E4361">
            <w:r>
              <w:t>Dual Oxidase</w:t>
            </w:r>
          </w:p>
        </w:tc>
        <w:tc>
          <w:tcPr>
            <w:tcW w:w="1842" w:type="dxa"/>
          </w:tcPr>
          <w:p w14:paraId="4236EE41" w14:textId="77777777" w:rsidR="001D1AB8" w:rsidRDefault="001D1AB8" w:rsidP="001E4361">
            <w:r>
              <w:t>DUOX</w:t>
            </w:r>
          </w:p>
        </w:tc>
      </w:tr>
      <w:tr w:rsidR="001D1AB8" w14:paraId="67CCC9FB" w14:textId="77777777" w:rsidTr="001E4361">
        <w:tc>
          <w:tcPr>
            <w:tcW w:w="7792" w:type="dxa"/>
          </w:tcPr>
          <w:p w14:paraId="6B123B9C" w14:textId="77777777" w:rsidR="001D1AB8" w:rsidRPr="00D14257" w:rsidRDefault="001D1AB8" w:rsidP="001E4361">
            <w:pPr>
              <w:rPr>
                <w:i/>
              </w:rPr>
            </w:pPr>
            <w:r>
              <w:t xml:space="preserve">enhancer RNA </w:t>
            </w:r>
          </w:p>
        </w:tc>
        <w:tc>
          <w:tcPr>
            <w:tcW w:w="1842" w:type="dxa"/>
          </w:tcPr>
          <w:p w14:paraId="3585C469" w14:textId="77777777" w:rsidR="001D1AB8" w:rsidRDefault="001D1AB8" w:rsidP="001E4361">
            <w:r>
              <w:t>eRNA</w:t>
            </w:r>
          </w:p>
        </w:tc>
      </w:tr>
      <w:tr w:rsidR="001D1AB8" w14:paraId="25AE0D86" w14:textId="77777777" w:rsidTr="001E4361">
        <w:tc>
          <w:tcPr>
            <w:tcW w:w="7792" w:type="dxa"/>
          </w:tcPr>
          <w:p w14:paraId="366D9A38" w14:textId="77777777" w:rsidR="001D1AB8" w:rsidRPr="00D14257" w:rsidRDefault="001D1AB8" w:rsidP="001E4361">
            <w:pPr>
              <w:rPr>
                <w:i/>
              </w:rPr>
            </w:pPr>
            <w:r>
              <w:t>extracellular ROS</w:t>
            </w:r>
          </w:p>
        </w:tc>
        <w:tc>
          <w:tcPr>
            <w:tcW w:w="1842" w:type="dxa"/>
          </w:tcPr>
          <w:p w14:paraId="25C22FBC" w14:textId="77777777" w:rsidR="001D1AB8" w:rsidRDefault="001D1AB8" w:rsidP="001E4361">
            <w:r>
              <w:t>eROS</w:t>
            </w:r>
          </w:p>
        </w:tc>
      </w:tr>
      <w:tr w:rsidR="001D1AB8" w14:paraId="72DB81DA" w14:textId="77777777" w:rsidTr="001E4361">
        <w:tc>
          <w:tcPr>
            <w:tcW w:w="7792" w:type="dxa"/>
          </w:tcPr>
          <w:p w14:paraId="2149996F" w14:textId="77777777" w:rsidR="001D1AB8" w:rsidRDefault="001D1AB8" w:rsidP="001E4361">
            <w:r>
              <w:t>Glial cell missing</w:t>
            </w:r>
          </w:p>
        </w:tc>
        <w:tc>
          <w:tcPr>
            <w:tcW w:w="1842" w:type="dxa"/>
          </w:tcPr>
          <w:p w14:paraId="1F90034E" w14:textId="77777777" w:rsidR="001D1AB8" w:rsidRDefault="001D1AB8" w:rsidP="001E4361">
            <w:r>
              <w:t>Gcm</w:t>
            </w:r>
          </w:p>
        </w:tc>
      </w:tr>
      <w:tr w:rsidR="001D1AB8" w14:paraId="3BDE94B9" w14:textId="77777777" w:rsidTr="001E4361">
        <w:tc>
          <w:tcPr>
            <w:tcW w:w="7792" w:type="dxa"/>
          </w:tcPr>
          <w:p w14:paraId="6A118313" w14:textId="77777777" w:rsidR="001D1AB8" w:rsidRPr="00D14257" w:rsidRDefault="001D1AB8" w:rsidP="001E4361">
            <w:pPr>
              <w:rPr>
                <w:i/>
              </w:rPr>
            </w:pPr>
            <w:r>
              <w:t>glutathione synthetase</w:t>
            </w:r>
          </w:p>
        </w:tc>
        <w:tc>
          <w:tcPr>
            <w:tcW w:w="1842" w:type="dxa"/>
          </w:tcPr>
          <w:p w14:paraId="3CDE6BE9" w14:textId="77777777" w:rsidR="001D1AB8" w:rsidRDefault="001D1AB8" w:rsidP="001E4361">
            <w:r>
              <w:t>GSS</w:t>
            </w:r>
          </w:p>
        </w:tc>
      </w:tr>
      <w:tr w:rsidR="001D1AB8" w14:paraId="76B99513" w14:textId="77777777" w:rsidTr="001E4361">
        <w:tc>
          <w:tcPr>
            <w:tcW w:w="7792" w:type="dxa"/>
          </w:tcPr>
          <w:p w14:paraId="64FC5732" w14:textId="77777777" w:rsidR="001D1AB8" w:rsidRPr="00D14257" w:rsidRDefault="001D1AB8" w:rsidP="001E4361">
            <w:pPr>
              <w:rPr>
                <w:i/>
              </w:rPr>
            </w:pPr>
            <w:r w:rsidRPr="00022D3A">
              <w:rPr>
                <w:i/>
              </w:rPr>
              <w:t>Hemese</w:t>
            </w:r>
          </w:p>
        </w:tc>
        <w:tc>
          <w:tcPr>
            <w:tcW w:w="1842" w:type="dxa"/>
          </w:tcPr>
          <w:p w14:paraId="3FA9F8C6" w14:textId="77777777" w:rsidR="001D1AB8" w:rsidRDefault="001D1AB8" w:rsidP="001E4361">
            <w:r>
              <w:t>He</w:t>
            </w:r>
          </w:p>
        </w:tc>
      </w:tr>
      <w:tr w:rsidR="001D1AB8" w14:paraId="71DFA0AA" w14:textId="77777777" w:rsidTr="001E4361">
        <w:tc>
          <w:tcPr>
            <w:tcW w:w="7792" w:type="dxa"/>
          </w:tcPr>
          <w:p w14:paraId="4898EF3D" w14:textId="77777777" w:rsidR="001D1AB8" w:rsidRDefault="001D1AB8" w:rsidP="001E4361">
            <w:r>
              <w:t>Hypoxia inducible factor-α</w:t>
            </w:r>
          </w:p>
        </w:tc>
        <w:tc>
          <w:tcPr>
            <w:tcW w:w="1842" w:type="dxa"/>
          </w:tcPr>
          <w:p w14:paraId="2E1EE262" w14:textId="77777777" w:rsidR="001D1AB8" w:rsidRDefault="001D1AB8" w:rsidP="001E4361">
            <w:r>
              <w:t>HIF1-α</w:t>
            </w:r>
          </w:p>
        </w:tc>
      </w:tr>
      <w:tr w:rsidR="001D1AB8" w14:paraId="4F59FD2D" w14:textId="77777777" w:rsidTr="001E4361">
        <w:tc>
          <w:tcPr>
            <w:tcW w:w="7792" w:type="dxa"/>
          </w:tcPr>
          <w:p w14:paraId="2B239C82" w14:textId="77777777" w:rsidR="001D1AB8" w:rsidRDefault="001D1AB8" w:rsidP="001E4361">
            <w:r w:rsidRPr="00D14257">
              <w:rPr>
                <w:i/>
              </w:rPr>
              <w:t>hemolectin</w:t>
            </w:r>
          </w:p>
        </w:tc>
        <w:tc>
          <w:tcPr>
            <w:tcW w:w="1842" w:type="dxa"/>
          </w:tcPr>
          <w:p w14:paraId="1037FFB8" w14:textId="77777777" w:rsidR="001D1AB8" w:rsidRDefault="001D1AB8" w:rsidP="001E4361">
            <w:r>
              <w:t>hml</w:t>
            </w:r>
          </w:p>
        </w:tc>
      </w:tr>
      <w:tr w:rsidR="001D1AB8" w14:paraId="31CBDFF0" w14:textId="77777777" w:rsidTr="001E4361">
        <w:tc>
          <w:tcPr>
            <w:tcW w:w="7792" w:type="dxa"/>
          </w:tcPr>
          <w:p w14:paraId="4A527E30" w14:textId="77777777" w:rsidR="001D1AB8" w:rsidRDefault="001D1AB8" w:rsidP="001E4361">
            <w:r w:rsidRPr="003953CA">
              <w:rPr>
                <w:i/>
              </w:rPr>
              <w:t>Hopscotch</w:t>
            </w:r>
          </w:p>
        </w:tc>
        <w:tc>
          <w:tcPr>
            <w:tcW w:w="1842" w:type="dxa"/>
          </w:tcPr>
          <w:p w14:paraId="59BFE548" w14:textId="77777777" w:rsidR="001D1AB8" w:rsidRDefault="001D1AB8" w:rsidP="001E4361">
            <w:r>
              <w:t>Hop</w:t>
            </w:r>
          </w:p>
        </w:tc>
      </w:tr>
      <w:tr w:rsidR="001D1AB8" w14:paraId="71425A42" w14:textId="77777777" w:rsidTr="001E4361">
        <w:tc>
          <w:tcPr>
            <w:tcW w:w="7792" w:type="dxa"/>
          </w:tcPr>
          <w:p w14:paraId="755AB96D" w14:textId="77777777" w:rsidR="001D1AB8" w:rsidRPr="00D14257" w:rsidRDefault="001D1AB8" w:rsidP="001E4361">
            <w:pPr>
              <w:rPr>
                <w:i/>
              </w:rPr>
            </w:pPr>
            <w:r>
              <w:t>human recombinant MANF</w:t>
            </w:r>
          </w:p>
        </w:tc>
        <w:tc>
          <w:tcPr>
            <w:tcW w:w="1842" w:type="dxa"/>
          </w:tcPr>
          <w:p w14:paraId="34887020" w14:textId="77777777" w:rsidR="001D1AB8" w:rsidRDefault="001D1AB8" w:rsidP="001E4361">
            <w:r>
              <w:t>hrMANF</w:t>
            </w:r>
          </w:p>
        </w:tc>
      </w:tr>
      <w:tr w:rsidR="001D1AB8" w14:paraId="376CABA5" w14:textId="77777777" w:rsidTr="001E4361">
        <w:trPr>
          <w:trHeight w:val="323"/>
        </w:trPr>
        <w:tc>
          <w:tcPr>
            <w:tcW w:w="7792" w:type="dxa"/>
          </w:tcPr>
          <w:p w14:paraId="198D7FA1" w14:textId="77777777" w:rsidR="001D1AB8" w:rsidRDefault="001D1AB8" w:rsidP="001E4361">
            <w:pPr>
              <w:tabs>
                <w:tab w:val="left" w:pos="6520"/>
              </w:tabs>
            </w:pPr>
            <w:r>
              <w:t>interferon-γ</w:t>
            </w:r>
          </w:p>
        </w:tc>
        <w:tc>
          <w:tcPr>
            <w:tcW w:w="1842" w:type="dxa"/>
          </w:tcPr>
          <w:p w14:paraId="6465FB75" w14:textId="77777777" w:rsidR="001D1AB8" w:rsidRDefault="001D1AB8" w:rsidP="001E4361">
            <w:r>
              <w:t>IFN-γ</w:t>
            </w:r>
          </w:p>
        </w:tc>
      </w:tr>
      <w:tr w:rsidR="001D1AB8" w14:paraId="2E02C97E" w14:textId="77777777" w:rsidTr="001E4361">
        <w:trPr>
          <w:trHeight w:val="305"/>
        </w:trPr>
        <w:tc>
          <w:tcPr>
            <w:tcW w:w="7792" w:type="dxa"/>
          </w:tcPr>
          <w:p w14:paraId="5F01A13F" w14:textId="77777777" w:rsidR="001D1AB8" w:rsidRDefault="001D1AB8" w:rsidP="001E4361">
            <w:r>
              <w:t>Interleukin 1</w:t>
            </w:r>
          </w:p>
        </w:tc>
        <w:tc>
          <w:tcPr>
            <w:tcW w:w="1842" w:type="dxa"/>
          </w:tcPr>
          <w:p w14:paraId="5C93D297" w14:textId="77777777" w:rsidR="001D1AB8" w:rsidRDefault="001D1AB8" w:rsidP="001E4361">
            <w:r>
              <w:t>IL-1</w:t>
            </w:r>
          </w:p>
        </w:tc>
      </w:tr>
      <w:tr w:rsidR="001D1AB8" w14:paraId="2FB0300E" w14:textId="77777777" w:rsidTr="001E4361">
        <w:trPr>
          <w:trHeight w:val="323"/>
        </w:trPr>
        <w:tc>
          <w:tcPr>
            <w:tcW w:w="7792" w:type="dxa"/>
          </w:tcPr>
          <w:p w14:paraId="3BF8AA0F" w14:textId="77777777" w:rsidR="001D1AB8" w:rsidRDefault="001D1AB8" w:rsidP="001E4361">
            <w:r>
              <w:t>Interleukin 4</w:t>
            </w:r>
          </w:p>
        </w:tc>
        <w:tc>
          <w:tcPr>
            <w:tcW w:w="1842" w:type="dxa"/>
          </w:tcPr>
          <w:p w14:paraId="4DA0DFA2" w14:textId="77777777" w:rsidR="001D1AB8" w:rsidRDefault="001D1AB8" w:rsidP="001E4361">
            <w:r w:rsidRPr="003E08C6">
              <w:t>IL-4</w:t>
            </w:r>
          </w:p>
        </w:tc>
      </w:tr>
      <w:tr w:rsidR="001D1AB8" w14:paraId="3792E784" w14:textId="77777777" w:rsidTr="001E4361">
        <w:tc>
          <w:tcPr>
            <w:tcW w:w="7792" w:type="dxa"/>
          </w:tcPr>
          <w:p w14:paraId="153059A3" w14:textId="77777777" w:rsidR="001D1AB8" w:rsidRDefault="001D1AB8" w:rsidP="001E4361">
            <w:r>
              <w:t>Interleukin 6</w:t>
            </w:r>
          </w:p>
        </w:tc>
        <w:tc>
          <w:tcPr>
            <w:tcW w:w="1842" w:type="dxa"/>
          </w:tcPr>
          <w:p w14:paraId="7AEB7FCD" w14:textId="77777777" w:rsidR="001D1AB8" w:rsidRDefault="001D1AB8" w:rsidP="001E4361">
            <w:r>
              <w:t>IL-6</w:t>
            </w:r>
          </w:p>
        </w:tc>
      </w:tr>
      <w:tr w:rsidR="001D1AB8" w14:paraId="4AA197E8" w14:textId="77777777" w:rsidTr="001E4361">
        <w:tc>
          <w:tcPr>
            <w:tcW w:w="7792" w:type="dxa"/>
          </w:tcPr>
          <w:p w14:paraId="19C8792A" w14:textId="77777777" w:rsidR="001D1AB8" w:rsidRDefault="001D1AB8" w:rsidP="001E4361">
            <w:r>
              <w:t>immune deficiency pathway</w:t>
            </w:r>
          </w:p>
        </w:tc>
        <w:tc>
          <w:tcPr>
            <w:tcW w:w="1842" w:type="dxa"/>
          </w:tcPr>
          <w:p w14:paraId="3ADCFB4D" w14:textId="77777777" w:rsidR="001D1AB8" w:rsidRDefault="001D1AB8" w:rsidP="001E4361">
            <w:r>
              <w:t>Imd</w:t>
            </w:r>
          </w:p>
        </w:tc>
      </w:tr>
      <w:tr w:rsidR="001D1AB8" w14:paraId="27BCE774" w14:textId="77777777" w:rsidTr="001E4361">
        <w:tc>
          <w:tcPr>
            <w:tcW w:w="7792" w:type="dxa"/>
          </w:tcPr>
          <w:p w14:paraId="344D7E71" w14:textId="77777777" w:rsidR="001D1AB8" w:rsidRDefault="001D1AB8" w:rsidP="001E4361">
            <w:r>
              <w:lastRenderedPageBreak/>
              <w:t xml:space="preserve">Inducible </w:t>
            </w:r>
            <w:r w:rsidRPr="003E08C6">
              <w:t>Nitric Oxide Synthase</w:t>
            </w:r>
          </w:p>
        </w:tc>
        <w:tc>
          <w:tcPr>
            <w:tcW w:w="1842" w:type="dxa"/>
          </w:tcPr>
          <w:p w14:paraId="1BF882C1" w14:textId="77777777" w:rsidR="001D1AB8" w:rsidRDefault="001D1AB8" w:rsidP="001E4361">
            <w:r w:rsidRPr="003E08C6">
              <w:t>iNOS</w:t>
            </w:r>
          </w:p>
        </w:tc>
      </w:tr>
      <w:tr w:rsidR="001D1AB8" w14:paraId="7476690F" w14:textId="77777777" w:rsidTr="001E4361">
        <w:tc>
          <w:tcPr>
            <w:tcW w:w="7792" w:type="dxa"/>
          </w:tcPr>
          <w:p w14:paraId="15080F9B" w14:textId="77777777" w:rsidR="001D1AB8" w:rsidRPr="00D14257" w:rsidRDefault="001D1AB8" w:rsidP="001E4361">
            <w:pPr>
              <w:rPr>
                <w:i/>
              </w:rPr>
            </w:pPr>
            <w:r>
              <w:t>Immune regulatory factor</w:t>
            </w:r>
          </w:p>
        </w:tc>
        <w:tc>
          <w:tcPr>
            <w:tcW w:w="1842" w:type="dxa"/>
          </w:tcPr>
          <w:p w14:paraId="714B6534" w14:textId="77777777" w:rsidR="001D1AB8" w:rsidRDefault="001D1AB8" w:rsidP="001E4361">
            <w:r>
              <w:t>IRF</w:t>
            </w:r>
          </w:p>
        </w:tc>
      </w:tr>
      <w:tr w:rsidR="001D1AB8" w14:paraId="3DCA1E67" w14:textId="77777777" w:rsidTr="001E4361">
        <w:tc>
          <w:tcPr>
            <w:tcW w:w="7792" w:type="dxa"/>
          </w:tcPr>
          <w:p w14:paraId="7DA95750" w14:textId="77777777" w:rsidR="001D1AB8" w:rsidRPr="00D14257" w:rsidRDefault="001D1AB8" w:rsidP="001E4361">
            <w:pPr>
              <w:rPr>
                <w:i/>
              </w:rPr>
            </w:pPr>
            <w:r>
              <w:t>Janus Kinase</w:t>
            </w:r>
          </w:p>
        </w:tc>
        <w:tc>
          <w:tcPr>
            <w:tcW w:w="1842" w:type="dxa"/>
          </w:tcPr>
          <w:p w14:paraId="6487836F" w14:textId="77777777" w:rsidR="001D1AB8" w:rsidRDefault="001D1AB8" w:rsidP="001E4361">
            <w:r>
              <w:t>JAK</w:t>
            </w:r>
          </w:p>
        </w:tc>
      </w:tr>
      <w:tr w:rsidR="001D1AB8" w14:paraId="1C6D69D7" w14:textId="77777777" w:rsidTr="001E4361">
        <w:tc>
          <w:tcPr>
            <w:tcW w:w="7792" w:type="dxa"/>
          </w:tcPr>
          <w:p w14:paraId="0DFD3089" w14:textId="77777777" w:rsidR="001D1AB8" w:rsidRPr="00D14257" w:rsidRDefault="001D1AB8" w:rsidP="001E4361">
            <w:pPr>
              <w:rPr>
                <w:i/>
              </w:rPr>
            </w:pPr>
            <w:r>
              <w:t>Kelch-like erythroid cell-derived protein with CNC homology-associated protein-1</w:t>
            </w:r>
          </w:p>
        </w:tc>
        <w:tc>
          <w:tcPr>
            <w:tcW w:w="1842" w:type="dxa"/>
          </w:tcPr>
          <w:p w14:paraId="453BA673" w14:textId="77777777" w:rsidR="001D1AB8" w:rsidRDefault="001D1AB8" w:rsidP="001E4361">
            <w:r>
              <w:t>Keap1</w:t>
            </w:r>
          </w:p>
        </w:tc>
      </w:tr>
      <w:tr w:rsidR="001D1AB8" w14:paraId="6F1B9E83" w14:textId="77777777" w:rsidTr="001E4361">
        <w:trPr>
          <w:trHeight w:val="252"/>
        </w:trPr>
        <w:tc>
          <w:tcPr>
            <w:tcW w:w="7792" w:type="dxa"/>
          </w:tcPr>
          <w:p w14:paraId="2C820B56" w14:textId="77777777" w:rsidR="001D1AB8" w:rsidRDefault="001D1AB8" w:rsidP="001E4361">
            <w:r>
              <w:t>lozenge</w:t>
            </w:r>
          </w:p>
        </w:tc>
        <w:tc>
          <w:tcPr>
            <w:tcW w:w="1842" w:type="dxa"/>
          </w:tcPr>
          <w:p w14:paraId="13F9BEDB" w14:textId="77777777" w:rsidR="001D1AB8" w:rsidRDefault="001D1AB8" w:rsidP="001E4361">
            <w:r>
              <w:t>Lz</w:t>
            </w:r>
          </w:p>
        </w:tc>
      </w:tr>
      <w:tr w:rsidR="001D1AB8" w14:paraId="64482F3C" w14:textId="77777777" w:rsidTr="001E4361">
        <w:trPr>
          <w:trHeight w:val="323"/>
        </w:trPr>
        <w:tc>
          <w:tcPr>
            <w:tcW w:w="7792" w:type="dxa"/>
          </w:tcPr>
          <w:p w14:paraId="119D0852" w14:textId="77777777" w:rsidR="001D1AB8" w:rsidRDefault="001D1AB8" w:rsidP="001E4361">
            <w:r w:rsidRPr="008E40EC">
              <w:t>Macrophage colony-stimulating factor</w:t>
            </w:r>
          </w:p>
        </w:tc>
        <w:tc>
          <w:tcPr>
            <w:tcW w:w="1842" w:type="dxa"/>
          </w:tcPr>
          <w:p w14:paraId="5054E7A9" w14:textId="77777777" w:rsidR="001D1AB8" w:rsidRDefault="001D1AB8" w:rsidP="001E4361">
            <w:r>
              <w:t>M-CSF</w:t>
            </w:r>
          </w:p>
        </w:tc>
      </w:tr>
      <w:tr w:rsidR="001D1AB8" w14:paraId="5C7CC305" w14:textId="77777777" w:rsidTr="001E4361">
        <w:trPr>
          <w:trHeight w:val="323"/>
        </w:trPr>
        <w:tc>
          <w:tcPr>
            <w:tcW w:w="7792" w:type="dxa"/>
          </w:tcPr>
          <w:p w14:paraId="4048FFC4" w14:textId="77777777" w:rsidR="001D1AB8" w:rsidRDefault="001D1AB8" w:rsidP="001E4361">
            <w:r>
              <w:t>Mesencephalic Astrocyte-derived Neurotrophic Factor</w:t>
            </w:r>
          </w:p>
        </w:tc>
        <w:tc>
          <w:tcPr>
            <w:tcW w:w="1842" w:type="dxa"/>
          </w:tcPr>
          <w:p w14:paraId="4B88DC6B" w14:textId="77777777" w:rsidR="001D1AB8" w:rsidRDefault="001D1AB8" w:rsidP="001E4361">
            <w:r>
              <w:t>MANF</w:t>
            </w:r>
          </w:p>
        </w:tc>
      </w:tr>
      <w:tr w:rsidR="001D1AB8" w14:paraId="0B9C9587" w14:textId="77777777" w:rsidTr="001E4361">
        <w:tc>
          <w:tcPr>
            <w:tcW w:w="7792" w:type="dxa"/>
          </w:tcPr>
          <w:p w14:paraId="395281F7" w14:textId="77777777" w:rsidR="001D1AB8" w:rsidRPr="00D14257" w:rsidRDefault="001D1AB8" w:rsidP="001E4361">
            <w:pPr>
              <w:rPr>
                <w:i/>
              </w:rPr>
            </w:pPr>
            <w:r>
              <w:t>Mitogen-activated protein kinase</w:t>
            </w:r>
          </w:p>
        </w:tc>
        <w:tc>
          <w:tcPr>
            <w:tcW w:w="1842" w:type="dxa"/>
          </w:tcPr>
          <w:p w14:paraId="2D50B0D5" w14:textId="77777777" w:rsidR="001D1AB8" w:rsidRDefault="001D1AB8" w:rsidP="001E4361">
            <w:r>
              <w:t>MAPK</w:t>
            </w:r>
          </w:p>
        </w:tc>
      </w:tr>
      <w:tr w:rsidR="001D1AB8" w14:paraId="07DFFFED" w14:textId="77777777" w:rsidTr="001E4361">
        <w:tc>
          <w:tcPr>
            <w:tcW w:w="7792" w:type="dxa"/>
          </w:tcPr>
          <w:p w14:paraId="11210DB9" w14:textId="77777777" w:rsidR="001D1AB8" w:rsidRPr="00D14257" w:rsidRDefault="001D1AB8" w:rsidP="001E4361">
            <w:pPr>
              <w:rPr>
                <w:i/>
              </w:rPr>
            </w:pPr>
            <w:r>
              <w:t>mechanistic target of Rapamycin</w:t>
            </w:r>
          </w:p>
        </w:tc>
        <w:tc>
          <w:tcPr>
            <w:tcW w:w="1842" w:type="dxa"/>
          </w:tcPr>
          <w:p w14:paraId="3C183618" w14:textId="77777777" w:rsidR="001D1AB8" w:rsidRDefault="001D1AB8" w:rsidP="001E4361">
            <w:r>
              <w:t>mTOR</w:t>
            </w:r>
          </w:p>
        </w:tc>
      </w:tr>
      <w:tr w:rsidR="001D1AB8" w14:paraId="082CB962" w14:textId="77777777" w:rsidTr="001E4361">
        <w:tc>
          <w:tcPr>
            <w:tcW w:w="7792" w:type="dxa"/>
          </w:tcPr>
          <w:p w14:paraId="3769EC55" w14:textId="77777777" w:rsidR="001D1AB8" w:rsidRDefault="001D1AB8" w:rsidP="001E4361">
            <w:r>
              <w:t>Nuclear factor-κB</w:t>
            </w:r>
          </w:p>
        </w:tc>
        <w:tc>
          <w:tcPr>
            <w:tcW w:w="1842" w:type="dxa"/>
          </w:tcPr>
          <w:p w14:paraId="759C4C6C" w14:textId="77777777" w:rsidR="001D1AB8" w:rsidRDefault="001D1AB8" w:rsidP="001E4361">
            <w:r>
              <w:t>NF-κB</w:t>
            </w:r>
          </w:p>
        </w:tc>
      </w:tr>
      <w:tr w:rsidR="001D1AB8" w14:paraId="2D0207B4" w14:textId="77777777" w:rsidTr="001E4361">
        <w:trPr>
          <w:trHeight w:val="323"/>
        </w:trPr>
        <w:tc>
          <w:tcPr>
            <w:tcW w:w="7792" w:type="dxa"/>
          </w:tcPr>
          <w:p w14:paraId="36D098AD" w14:textId="77777777" w:rsidR="001D1AB8" w:rsidRDefault="001D1AB8" w:rsidP="001E4361">
            <w:r>
              <w:t>Nitric oxide</w:t>
            </w:r>
          </w:p>
        </w:tc>
        <w:tc>
          <w:tcPr>
            <w:tcW w:w="1842" w:type="dxa"/>
          </w:tcPr>
          <w:p w14:paraId="7B7E07E6" w14:textId="77777777" w:rsidR="001D1AB8" w:rsidRDefault="001D1AB8" w:rsidP="001E4361">
            <w:r>
              <w:t>NO</w:t>
            </w:r>
          </w:p>
        </w:tc>
      </w:tr>
      <w:tr w:rsidR="001D1AB8" w14:paraId="6F37F0A9" w14:textId="77777777" w:rsidTr="001E4361">
        <w:trPr>
          <w:trHeight w:val="323"/>
        </w:trPr>
        <w:tc>
          <w:tcPr>
            <w:tcW w:w="7792" w:type="dxa"/>
          </w:tcPr>
          <w:p w14:paraId="41EE55B0" w14:textId="77777777" w:rsidR="001D1AB8" w:rsidRDefault="001D1AB8" w:rsidP="001E4361">
            <w:r w:rsidRPr="003E08C6">
              <w:t>Nitric Oxide Synthase</w:t>
            </w:r>
          </w:p>
        </w:tc>
        <w:tc>
          <w:tcPr>
            <w:tcW w:w="1842" w:type="dxa"/>
          </w:tcPr>
          <w:p w14:paraId="6F5A1DD9" w14:textId="77777777" w:rsidR="001D1AB8" w:rsidRDefault="001D1AB8" w:rsidP="001E4361">
            <w:r w:rsidRPr="003E08C6">
              <w:t>NOS</w:t>
            </w:r>
          </w:p>
        </w:tc>
      </w:tr>
      <w:tr w:rsidR="001D1AB8" w14:paraId="2C16040E" w14:textId="77777777" w:rsidTr="001E4361">
        <w:tc>
          <w:tcPr>
            <w:tcW w:w="7792" w:type="dxa"/>
          </w:tcPr>
          <w:p w14:paraId="501873B6" w14:textId="77777777" w:rsidR="001D1AB8" w:rsidRPr="00D14257" w:rsidRDefault="001D1AB8" w:rsidP="001E4361">
            <w:pPr>
              <w:rPr>
                <w:i/>
              </w:rPr>
            </w:pPr>
            <w:r>
              <w:t>Nuclear factor erythroid 2-related factor</w:t>
            </w:r>
          </w:p>
        </w:tc>
        <w:tc>
          <w:tcPr>
            <w:tcW w:w="1842" w:type="dxa"/>
          </w:tcPr>
          <w:p w14:paraId="551BF1BF" w14:textId="77777777" w:rsidR="001D1AB8" w:rsidRDefault="001D1AB8" w:rsidP="001E4361">
            <w:r>
              <w:t>Nrf2</w:t>
            </w:r>
          </w:p>
        </w:tc>
      </w:tr>
      <w:tr w:rsidR="001D1AB8" w14:paraId="61A194DA" w14:textId="77777777" w:rsidTr="001E4361">
        <w:trPr>
          <w:trHeight w:val="332"/>
        </w:trPr>
        <w:tc>
          <w:tcPr>
            <w:tcW w:w="7792" w:type="dxa"/>
          </w:tcPr>
          <w:p w14:paraId="63A6547E" w14:textId="77777777" w:rsidR="001D1AB8" w:rsidRDefault="001D1AB8" w:rsidP="001E4361">
            <w:r>
              <w:t>pathogen associated molecular patterns</w:t>
            </w:r>
          </w:p>
        </w:tc>
        <w:tc>
          <w:tcPr>
            <w:tcW w:w="1842" w:type="dxa"/>
          </w:tcPr>
          <w:p w14:paraId="7F044395" w14:textId="77777777" w:rsidR="001D1AB8" w:rsidRDefault="001D1AB8" w:rsidP="001E4361">
            <w:r w:rsidRPr="003E08C6">
              <w:t>PAMP</w:t>
            </w:r>
          </w:p>
        </w:tc>
      </w:tr>
      <w:tr w:rsidR="001D1AB8" w14:paraId="50176952" w14:textId="77777777" w:rsidTr="001E4361">
        <w:tc>
          <w:tcPr>
            <w:tcW w:w="7792" w:type="dxa"/>
          </w:tcPr>
          <w:p w14:paraId="0ED8546D" w14:textId="77777777" w:rsidR="001D1AB8" w:rsidRPr="00D14257" w:rsidRDefault="001D1AB8" w:rsidP="001E4361">
            <w:pPr>
              <w:rPr>
                <w:i/>
              </w:rPr>
            </w:pPr>
            <w:r>
              <w:t>pyruvate dehydrogenase</w:t>
            </w:r>
          </w:p>
        </w:tc>
        <w:tc>
          <w:tcPr>
            <w:tcW w:w="1842" w:type="dxa"/>
          </w:tcPr>
          <w:p w14:paraId="1C2B9C49" w14:textId="77777777" w:rsidR="001D1AB8" w:rsidRDefault="001D1AB8" w:rsidP="001E4361">
            <w:r>
              <w:t>PDH</w:t>
            </w:r>
          </w:p>
        </w:tc>
      </w:tr>
      <w:tr w:rsidR="001D1AB8" w14:paraId="5B0FE81D" w14:textId="77777777" w:rsidTr="001E4361">
        <w:tc>
          <w:tcPr>
            <w:tcW w:w="7792" w:type="dxa"/>
          </w:tcPr>
          <w:p w14:paraId="2D304F99" w14:textId="77777777" w:rsidR="001D1AB8" w:rsidRPr="00D14257" w:rsidRDefault="001D1AB8" w:rsidP="001E4361">
            <w:pPr>
              <w:rPr>
                <w:i/>
              </w:rPr>
            </w:pPr>
            <w:r>
              <w:t>pyruvate dehydrogenase kinase</w:t>
            </w:r>
          </w:p>
        </w:tc>
        <w:tc>
          <w:tcPr>
            <w:tcW w:w="1842" w:type="dxa"/>
          </w:tcPr>
          <w:p w14:paraId="316A6E22" w14:textId="77777777" w:rsidR="001D1AB8" w:rsidRDefault="001D1AB8" w:rsidP="001E4361">
            <w:r>
              <w:t>Pdk</w:t>
            </w:r>
          </w:p>
        </w:tc>
      </w:tr>
      <w:tr w:rsidR="001D1AB8" w14:paraId="33F9BC5B" w14:textId="77777777" w:rsidTr="001E4361">
        <w:tc>
          <w:tcPr>
            <w:tcW w:w="7792" w:type="dxa"/>
          </w:tcPr>
          <w:p w14:paraId="0C48919B" w14:textId="77777777" w:rsidR="001D1AB8" w:rsidRPr="00D14257" w:rsidRDefault="001D1AB8" w:rsidP="001E4361">
            <w:pPr>
              <w:rPr>
                <w:i/>
              </w:rPr>
            </w:pPr>
            <w:r>
              <w:t>pyruvate dehydrogenase phosphatase</w:t>
            </w:r>
          </w:p>
        </w:tc>
        <w:tc>
          <w:tcPr>
            <w:tcW w:w="1842" w:type="dxa"/>
          </w:tcPr>
          <w:p w14:paraId="57069E74" w14:textId="77777777" w:rsidR="001D1AB8" w:rsidRDefault="001D1AB8" w:rsidP="001E4361">
            <w:r>
              <w:t>pdp</w:t>
            </w:r>
          </w:p>
        </w:tc>
      </w:tr>
      <w:tr w:rsidR="001D1AB8" w14:paraId="2F68C4E1" w14:textId="77777777" w:rsidTr="001E4361">
        <w:tc>
          <w:tcPr>
            <w:tcW w:w="7792" w:type="dxa"/>
          </w:tcPr>
          <w:p w14:paraId="0EBBBE56" w14:textId="77777777" w:rsidR="001D1AB8" w:rsidRPr="00A333D6" w:rsidRDefault="001D1AB8" w:rsidP="001E4361">
            <w:pPr>
              <w:rPr>
                <w:i/>
              </w:rPr>
            </w:pPr>
            <w:r>
              <w:t>protein inhibitors of activated STAT</w:t>
            </w:r>
          </w:p>
        </w:tc>
        <w:tc>
          <w:tcPr>
            <w:tcW w:w="1842" w:type="dxa"/>
          </w:tcPr>
          <w:p w14:paraId="5381A376" w14:textId="77777777" w:rsidR="001D1AB8" w:rsidRDefault="001D1AB8" w:rsidP="001E4361">
            <w:r>
              <w:t>PIAS</w:t>
            </w:r>
          </w:p>
        </w:tc>
      </w:tr>
      <w:tr w:rsidR="001D1AB8" w14:paraId="7ABF001F" w14:textId="77777777" w:rsidTr="001E4361">
        <w:tc>
          <w:tcPr>
            <w:tcW w:w="7792" w:type="dxa"/>
          </w:tcPr>
          <w:p w14:paraId="6155AB80" w14:textId="77777777" w:rsidR="001D1AB8" w:rsidRDefault="001D1AB8" w:rsidP="001E4361">
            <w:r w:rsidRPr="00B10252">
              <w:t>Pannier</w:t>
            </w:r>
          </w:p>
        </w:tc>
        <w:tc>
          <w:tcPr>
            <w:tcW w:w="1842" w:type="dxa"/>
          </w:tcPr>
          <w:p w14:paraId="2EA13D72" w14:textId="77777777" w:rsidR="001D1AB8" w:rsidRDefault="001D1AB8" w:rsidP="001E4361">
            <w:r>
              <w:t>pnr</w:t>
            </w:r>
          </w:p>
        </w:tc>
      </w:tr>
      <w:tr w:rsidR="001D1AB8" w14:paraId="6A719B94" w14:textId="77777777" w:rsidTr="001E4361">
        <w:tc>
          <w:tcPr>
            <w:tcW w:w="7792" w:type="dxa"/>
          </w:tcPr>
          <w:p w14:paraId="0C74B0EE" w14:textId="77777777" w:rsidR="001D1AB8" w:rsidRDefault="001D1AB8" w:rsidP="001E4361">
            <w:r>
              <w:t>peripheral nervous system</w:t>
            </w:r>
          </w:p>
        </w:tc>
        <w:tc>
          <w:tcPr>
            <w:tcW w:w="1842" w:type="dxa"/>
          </w:tcPr>
          <w:p w14:paraId="73B4641D" w14:textId="77777777" w:rsidR="001D1AB8" w:rsidRDefault="001D1AB8" w:rsidP="001E4361">
            <w:r>
              <w:t>PNS</w:t>
            </w:r>
          </w:p>
        </w:tc>
      </w:tr>
      <w:tr w:rsidR="001D1AB8" w14:paraId="5E6958A3" w14:textId="77777777" w:rsidTr="001E4361">
        <w:tc>
          <w:tcPr>
            <w:tcW w:w="7792" w:type="dxa"/>
          </w:tcPr>
          <w:p w14:paraId="236A5E19" w14:textId="77777777" w:rsidR="001D1AB8" w:rsidRPr="00D14257" w:rsidRDefault="001D1AB8" w:rsidP="001E4361">
            <w:pPr>
              <w:rPr>
                <w:i/>
              </w:rPr>
            </w:pPr>
            <w:r>
              <w:t>p</w:t>
            </w:r>
            <w:r w:rsidRPr="008E0BDA">
              <w:t>roventriculus</w:t>
            </w:r>
          </w:p>
        </w:tc>
        <w:tc>
          <w:tcPr>
            <w:tcW w:w="1842" w:type="dxa"/>
          </w:tcPr>
          <w:p w14:paraId="42A8BD0C" w14:textId="77777777" w:rsidR="001D1AB8" w:rsidRDefault="001D1AB8" w:rsidP="001E4361">
            <w:r>
              <w:t>PV</w:t>
            </w:r>
          </w:p>
        </w:tc>
      </w:tr>
      <w:tr w:rsidR="001D1AB8" w14:paraId="3EB41925" w14:textId="77777777" w:rsidTr="001E4361">
        <w:trPr>
          <w:trHeight w:val="323"/>
        </w:trPr>
        <w:tc>
          <w:tcPr>
            <w:tcW w:w="7792" w:type="dxa"/>
          </w:tcPr>
          <w:p w14:paraId="0A7A58E8" w14:textId="77777777" w:rsidR="001D1AB8" w:rsidRDefault="001D1AB8" w:rsidP="001E4361">
            <w:r>
              <w:t>PDGF/Vegf-related ligands</w:t>
            </w:r>
          </w:p>
        </w:tc>
        <w:tc>
          <w:tcPr>
            <w:tcW w:w="1842" w:type="dxa"/>
          </w:tcPr>
          <w:p w14:paraId="12B18125" w14:textId="77777777" w:rsidR="001D1AB8" w:rsidRDefault="001D1AB8" w:rsidP="001E4361">
            <w:r>
              <w:t>Pvf</w:t>
            </w:r>
          </w:p>
        </w:tc>
      </w:tr>
      <w:tr w:rsidR="001D1AB8" w14:paraId="522AC7B0" w14:textId="77777777" w:rsidTr="001E4361">
        <w:trPr>
          <w:trHeight w:val="323"/>
        </w:trPr>
        <w:tc>
          <w:tcPr>
            <w:tcW w:w="7792" w:type="dxa"/>
          </w:tcPr>
          <w:p w14:paraId="1E357CD5" w14:textId="77777777" w:rsidR="001D1AB8" w:rsidRDefault="001D1AB8" w:rsidP="001E4361">
            <w:r>
              <w:t>Quantitative Polymerase Chain Reaction</w:t>
            </w:r>
          </w:p>
        </w:tc>
        <w:tc>
          <w:tcPr>
            <w:tcW w:w="1842" w:type="dxa"/>
          </w:tcPr>
          <w:p w14:paraId="0502A96F" w14:textId="77777777" w:rsidR="001D1AB8" w:rsidRDefault="001D1AB8" w:rsidP="001E4361">
            <w:r>
              <w:t>qPCR</w:t>
            </w:r>
          </w:p>
        </w:tc>
      </w:tr>
      <w:tr w:rsidR="001D1AB8" w14:paraId="1D2FEC7B" w14:textId="77777777" w:rsidTr="001E4361">
        <w:tc>
          <w:tcPr>
            <w:tcW w:w="7792" w:type="dxa"/>
          </w:tcPr>
          <w:p w14:paraId="4E3B85E6" w14:textId="77777777" w:rsidR="001D1AB8" w:rsidRDefault="001D1AB8" w:rsidP="001E4361">
            <w:r>
              <w:t>Reactive oxygen species</w:t>
            </w:r>
          </w:p>
        </w:tc>
        <w:tc>
          <w:tcPr>
            <w:tcW w:w="1842" w:type="dxa"/>
          </w:tcPr>
          <w:p w14:paraId="5C8CB606" w14:textId="77777777" w:rsidR="001D1AB8" w:rsidRDefault="001D1AB8" w:rsidP="001E4361">
            <w:r>
              <w:t>ROS</w:t>
            </w:r>
          </w:p>
        </w:tc>
      </w:tr>
      <w:tr w:rsidR="001D1AB8" w14:paraId="0437F0D6" w14:textId="77777777" w:rsidTr="001E4361">
        <w:tc>
          <w:tcPr>
            <w:tcW w:w="7792" w:type="dxa"/>
          </w:tcPr>
          <w:p w14:paraId="528FFE87" w14:textId="77777777" w:rsidR="001D1AB8" w:rsidRPr="00D14257" w:rsidRDefault="001D1AB8" w:rsidP="001E4361">
            <w:pPr>
              <w:rPr>
                <w:i/>
              </w:rPr>
            </w:pPr>
            <w:r>
              <w:t>Succinate dehydrogenase</w:t>
            </w:r>
          </w:p>
        </w:tc>
        <w:tc>
          <w:tcPr>
            <w:tcW w:w="1842" w:type="dxa"/>
          </w:tcPr>
          <w:p w14:paraId="792464B2" w14:textId="77777777" w:rsidR="001D1AB8" w:rsidRDefault="001D1AB8" w:rsidP="001E4361">
            <w:r>
              <w:t>Sdh</w:t>
            </w:r>
          </w:p>
        </w:tc>
      </w:tr>
      <w:tr w:rsidR="001D1AB8" w14:paraId="77680E6F" w14:textId="77777777" w:rsidTr="001E4361">
        <w:tc>
          <w:tcPr>
            <w:tcW w:w="7792" w:type="dxa"/>
          </w:tcPr>
          <w:p w14:paraId="711EF211" w14:textId="77777777" w:rsidR="001D1AB8" w:rsidRDefault="001D1AB8" w:rsidP="001E4361">
            <w:r>
              <w:t>Six-microns-under</w:t>
            </w:r>
          </w:p>
        </w:tc>
        <w:tc>
          <w:tcPr>
            <w:tcW w:w="1842" w:type="dxa"/>
          </w:tcPr>
          <w:p w14:paraId="4B397C72" w14:textId="77777777" w:rsidR="001D1AB8" w:rsidRDefault="001D1AB8" w:rsidP="001E4361">
            <w:r>
              <w:t>Simu</w:t>
            </w:r>
          </w:p>
        </w:tc>
      </w:tr>
      <w:tr w:rsidR="001D1AB8" w14:paraId="5668DF98" w14:textId="77777777" w:rsidTr="001E4361">
        <w:tc>
          <w:tcPr>
            <w:tcW w:w="7792" w:type="dxa"/>
          </w:tcPr>
          <w:p w14:paraId="6DFE9D2D" w14:textId="77777777" w:rsidR="001D1AB8" w:rsidRPr="00A333D6" w:rsidRDefault="001D1AB8" w:rsidP="001E4361">
            <w:pPr>
              <w:rPr>
                <w:i/>
              </w:rPr>
            </w:pPr>
            <w:r>
              <w:t>suppressor of cytokine signalling</w:t>
            </w:r>
          </w:p>
        </w:tc>
        <w:tc>
          <w:tcPr>
            <w:tcW w:w="1842" w:type="dxa"/>
          </w:tcPr>
          <w:p w14:paraId="5BE0B411" w14:textId="77777777" w:rsidR="001D1AB8" w:rsidRDefault="001D1AB8" w:rsidP="001E4361">
            <w:r>
              <w:t>SOCS</w:t>
            </w:r>
          </w:p>
        </w:tc>
      </w:tr>
      <w:tr w:rsidR="001D1AB8" w14:paraId="4B328813" w14:textId="77777777" w:rsidTr="001E4361">
        <w:tc>
          <w:tcPr>
            <w:tcW w:w="7792" w:type="dxa"/>
          </w:tcPr>
          <w:p w14:paraId="1056A7E2" w14:textId="77777777" w:rsidR="001D1AB8" w:rsidRDefault="001D1AB8" w:rsidP="001E4361">
            <w:r>
              <w:t>Spätzle</w:t>
            </w:r>
          </w:p>
        </w:tc>
        <w:tc>
          <w:tcPr>
            <w:tcW w:w="1842" w:type="dxa"/>
          </w:tcPr>
          <w:p w14:paraId="67733E86" w14:textId="77777777" w:rsidR="001D1AB8" w:rsidRDefault="001D1AB8" w:rsidP="001E4361">
            <w:r>
              <w:t>Spz</w:t>
            </w:r>
          </w:p>
        </w:tc>
      </w:tr>
      <w:tr w:rsidR="001D1AB8" w14:paraId="5B9E2F45" w14:textId="77777777" w:rsidTr="001E4361">
        <w:trPr>
          <w:trHeight w:val="323"/>
        </w:trPr>
        <w:tc>
          <w:tcPr>
            <w:tcW w:w="7792" w:type="dxa"/>
          </w:tcPr>
          <w:p w14:paraId="6C9B223B" w14:textId="77777777" w:rsidR="001D1AB8" w:rsidRDefault="001D1AB8" w:rsidP="001E4361">
            <w:r>
              <w:t>Serpent</w:t>
            </w:r>
          </w:p>
        </w:tc>
        <w:tc>
          <w:tcPr>
            <w:tcW w:w="1842" w:type="dxa"/>
          </w:tcPr>
          <w:p w14:paraId="167D2FC4" w14:textId="77777777" w:rsidR="001D1AB8" w:rsidRDefault="001D1AB8" w:rsidP="001E4361">
            <w:r>
              <w:t>Srp</w:t>
            </w:r>
          </w:p>
        </w:tc>
      </w:tr>
      <w:tr w:rsidR="001D1AB8" w14:paraId="0A4601F5" w14:textId="77777777" w:rsidTr="001E4361">
        <w:tc>
          <w:tcPr>
            <w:tcW w:w="7792" w:type="dxa"/>
          </w:tcPr>
          <w:p w14:paraId="5E884554" w14:textId="77777777" w:rsidR="001D1AB8" w:rsidRPr="00D14257" w:rsidRDefault="001D1AB8" w:rsidP="001E4361">
            <w:pPr>
              <w:rPr>
                <w:i/>
              </w:rPr>
            </w:pPr>
            <w:r>
              <w:t>Signal transducer and activator of transcription</w:t>
            </w:r>
          </w:p>
        </w:tc>
        <w:tc>
          <w:tcPr>
            <w:tcW w:w="1842" w:type="dxa"/>
          </w:tcPr>
          <w:p w14:paraId="2CD88A7F" w14:textId="77777777" w:rsidR="001D1AB8" w:rsidRDefault="001D1AB8" w:rsidP="001E4361">
            <w:r>
              <w:t>STAT</w:t>
            </w:r>
          </w:p>
        </w:tc>
      </w:tr>
      <w:tr w:rsidR="001D1AB8" w14:paraId="62A82A02" w14:textId="77777777" w:rsidTr="001E4361">
        <w:trPr>
          <w:trHeight w:val="323"/>
        </w:trPr>
        <w:tc>
          <w:tcPr>
            <w:tcW w:w="7792" w:type="dxa"/>
          </w:tcPr>
          <w:p w14:paraId="3AC5C2FC" w14:textId="77777777" w:rsidR="001D1AB8" w:rsidRDefault="001D1AB8" w:rsidP="001E4361">
            <w:r>
              <w:t>Tumour-associated macrophages</w:t>
            </w:r>
          </w:p>
        </w:tc>
        <w:tc>
          <w:tcPr>
            <w:tcW w:w="1842" w:type="dxa"/>
          </w:tcPr>
          <w:p w14:paraId="4FD6131D" w14:textId="77777777" w:rsidR="001D1AB8" w:rsidRDefault="001D1AB8" w:rsidP="001E4361">
            <w:r>
              <w:t>TAM</w:t>
            </w:r>
          </w:p>
        </w:tc>
      </w:tr>
      <w:tr w:rsidR="001D1AB8" w14:paraId="5D96477D" w14:textId="77777777" w:rsidTr="001E4361">
        <w:trPr>
          <w:trHeight w:val="323"/>
        </w:trPr>
        <w:tc>
          <w:tcPr>
            <w:tcW w:w="7792" w:type="dxa"/>
          </w:tcPr>
          <w:p w14:paraId="68606CD6" w14:textId="77777777" w:rsidR="001D1AB8" w:rsidRDefault="001D1AB8" w:rsidP="001E4361">
            <w:r>
              <w:lastRenderedPageBreak/>
              <w:t xml:space="preserve">Tuberculosis </w:t>
            </w:r>
          </w:p>
        </w:tc>
        <w:tc>
          <w:tcPr>
            <w:tcW w:w="1842" w:type="dxa"/>
          </w:tcPr>
          <w:p w14:paraId="563C2CFA" w14:textId="77777777" w:rsidR="001D1AB8" w:rsidRDefault="001D1AB8" w:rsidP="001E4361">
            <w:r>
              <w:t>TB</w:t>
            </w:r>
          </w:p>
        </w:tc>
      </w:tr>
      <w:tr w:rsidR="001D1AB8" w14:paraId="4DBA24E9" w14:textId="77777777" w:rsidTr="001E4361">
        <w:tc>
          <w:tcPr>
            <w:tcW w:w="7792" w:type="dxa"/>
          </w:tcPr>
          <w:p w14:paraId="694169FD" w14:textId="77777777" w:rsidR="001D1AB8" w:rsidRDefault="001D1AB8" w:rsidP="001E4361">
            <w:r>
              <w:t xml:space="preserve">Tricarboxylic Acid cycle </w:t>
            </w:r>
          </w:p>
        </w:tc>
        <w:tc>
          <w:tcPr>
            <w:tcW w:w="1842" w:type="dxa"/>
          </w:tcPr>
          <w:p w14:paraId="0D8BF81D" w14:textId="77777777" w:rsidR="001D1AB8" w:rsidRDefault="001D1AB8" w:rsidP="001E4361">
            <w:r>
              <w:t>TCA</w:t>
            </w:r>
          </w:p>
        </w:tc>
      </w:tr>
      <w:tr w:rsidR="001D1AB8" w14:paraId="40FF0A2B" w14:textId="77777777" w:rsidTr="001E4361">
        <w:tc>
          <w:tcPr>
            <w:tcW w:w="7792" w:type="dxa"/>
          </w:tcPr>
          <w:p w14:paraId="7926D735" w14:textId="77777777" w:rsidR="001D1AB8" w:rsidRDefault="001D1AB8" w:rsidP="001E4361">
            <w:r>
              <w:t xml:space="preserve">Tissue growth factor </w:t>
            </w:r>
            <w:r w:rsidRPr="003E08C6">
              <w:t>β</w:t>
            </w:r>
          </w:p>
        </w:tc>
        <w:tc>
          <w:tcPr>
            <w:tcW w:w="1842" w:type="dxa"/>
          </w:tcPr>
          <w:p w14:paraId="621B00EA" w14:textId="77777777" w:rsidR="001D1AB8" w:rsidRDefault="001D1AB8" w:rsidP="001E4361">
            <w:r w:rsidRPr="003E08C6">
              <w:t>TGF-β</w:t>
            </w:r>
          </w:p>
        </w:tc>
      </w:tr>
      <w:tr w:rsidR="001D1AB8" w14:paraId="62174E98" w14:textId="77777777" w:rsidTr="001E4361">
        <w:trPr>
          <w:trHeight w:val="323"/>
        </w:trPr>
        <w:tc>
          <w:tcPr>
            <w:tcW w:w="7792" w:type="dxa"/>
          </w:tcPr>
          <w:p w14:paraId="1335E273" w14:textId="77777777" w:rsidR="001D1AB8" w:rsidRDefault="001D1AB8" w:rsidP="001E4361">
            <w:r w:rsidRPr="00B2320A">
              <w:rPr>
                <w:iCs/>
              </w:rPr>
              <w:t>Toll-like receptors</w:t>
            </w:r>
          </w:p>
        </w:tc>
        <w:tc>
          <w:tcPr>
            <w:tcW w:w="1842" w:type="dxa"/>
          </w:tcPr>
          <w:p w14:paraId="153D0C8E" w14:textId="77777777" w:rsidR="001D1AB8" w:rsidRDefault="001D1AB8" w:rsidP="001E4361">
            <w:r w:rsidRPr="00B2320A">
              <w:rPr>
                <w:iCs/>
              </w:rPr>
              <w:t>TLR</w:t>
            </w:r>
          </w:p>
        </w:tc>
      </w:tr>
      <w:tr w:rsidR="001D1AB8" w14:paraId="0A270801" w14:textId="77777777" w:rsidTr="001E4361">
        <w:trPr>
          <w:trHeight w:val="323"/>
        </w:trPr>
        <w:tc>
          <w:tcPr>
            <w:tcW w:w="7792" w:type="dxa"/>
          </w:tcPr>
          <w:p w14:paraId="332F0119" w14:textId="77777777" w:rsidR="001D1AB8" w:rsidRDefault="001D1AB8" w:rsidP="001E4361">
            <w:r>
              <w:t>Tumour necrosis factor α</w:t>
            </w:r>
          </w:p>
        </w:tc>
        <w:tc>
          <w:tcPr>
            <w:tcW w:w="1842" w:type="dxa"/>
          </w:tcPr>
          <w:p w14:paraId="2D49FACB" w14:textId="77777777" w:rsidR="001D1AB8" w:rsidRDefault="001D1AB8" w:rsidP="001E4361">
            <w:r>
              <w:t>TNF-α</w:t>
            </w:r>
          </w:p>
        </w:tc>
      </w:tr>
      <w:tr w:rsidR="001D1AB8" w14:paraId="5DFEB75A" w14:textId="77777777" w:rsidTr="001E4361">
        <w:tc>
          <w:tcPr>
            <w:tcW w:w="7792" w:type="dxa"/>
          </w:tcPr>
          <w:p w14:paraId="166AC211" w14:textId="77777777" w:rsidR="001D1AB8" w:rsidRDefault="001D1AB8" w:rsidP="001E4361">
            <w:r>
              <w:t>Unpaired</w:t>
            </w:r>
          </w:p>
        </w:tc>
        <w:tc>
          <w:tcPr>
            <w:tcW w:w="1842" w:type="dxa"/>
          </w:tcPr>
          <w:p w14:paraId="18A3C664" w14:textId="77777777" w:rsidR="001D1AB8" w:rsidRDefault="001D1AB8" w:rsidP="001E4361">
            <w:r>
              <w:t>Upd</w:t>
            </w:r>
          </w:p>
        </w:tc>
      </w:tr>
      <w:tr w:rsidR="001D1AB8" w14:paraId="34E015C5" w14:textId="77777777" w:rsidTr="001E4361">
        <w:tc>
          <w:tcPr>
            <w:tcW w:w="7792" w:type="dxa"/>
          </w:tcPr>
          <w:p w14:paraId="0FCCED69" w14:textId="77777777" w:rsidR="001D1AB8" w:rsidRDefault="001D1AB8" w:rsidP="001E4361">
            <w:r w:rsidRPr="00E51B39">
              <w:t>U-shaped</w:t>
            </w:r>
          </w:p>
        </w:tc>
        <w:tc>
          <w:tcPr>
            <w:tcW w:w="1842" w:type="dxa"/>
          </w:tcPr>
          <w:p w14:paraId="43BC9655" w14:textId="77777777" w:rsidR="001D1AB8" w:rsidRDefault="001D1AB8" w:rsidP="001E4361">
            <w:r>
              <w:t>Ush</w:t>
            </w:r>
          </w:p>
        </w:tc>
      </w:tr>
      <w:tr w:rsidR="001D1AB8" w14:paraId="5091C608" w14:textId="77777777" w:rsidTr="001E4361">
        <w:trPr>
          <w:trHeight w:val="198"/>
        </w:trPr>
        <w:tc>
          <w:tcPr>
            <w:tcW w:w="7792" w:type="dxa"/>
          </w:tcPr>
          <w:p w14:paraId="13AFE6B5" w14:textId="77777777" w:rsidR="001D1AB8" w:rsidRDefault="001D1AB8" w:rsidP="001E4361">
            <w:r>
              <w:t>ventral nerve cord</w:t>
            </w:r>
          </w:p>
        </w:tc>
        <w:tc>
          <w:tcPr>
            <w:tcW w:w="1842" w:type="dxa"/>
          </w:tcPr>
          <w:p w14:paraId="5E3273CF" w14:textId="77777777" w:rsidR="001D1AB8" w:rsidRDefault="001D1AB8" w:rsidP="001E4361">
            <w:r>
              <w:t>VNC</w:t>
            </w:r>
          </w:p>
        </w:tc>
      </w:tr>
      <w:tr w:rsidR="001D1AB8" w14:paraId="05451061" w14:textId="77777777" w:rsidTr="001E4361">
        <w:tc>
          <w:tcPr>
            <w:tcW w:w="7792" w:type="dxa"/>
          </w:tcPr>
          <w:p w14:paraId="03670816" w14:textId="77777777" w:rsidR="001D1AB8" w:rsidRPr="00D14257" w:rsidRDefault="001D1AB8" w:rsidP="001E4361">
            <w:pPr>
              <w:rPr>
                <w:i/>
              </w:rPr>
            </w:pPr>
            <w:r w:rsidRPr="00E223B9">
              <w:t>Vienna Tilling array</w:t>
            </w:r>
          </w:p>
        </w:tc>
        <w:tc>
          <w:tcPr>
            <w:tcW w:w="1842" w:type="dxa"/>
          </w:tcPr>
          <w:p w14:paraId="22ADEC0A" w14:textId="77777777" w:rsidR="001D1AB8" w:rsidRDefault="001D1AB8" w:rsidP="001E4361">
            <w:r>
              <w:t>VT</w:t>
            </w:r>
          </w:p>
        </w:tc>
      </w:tr>
    </w:tbl>
    <w:p w14:paraId="45921D6C" w14:textId="77777777" w:rsidR="001D1AB8" w:rsidRDefault="001D1AB8" w:rsidP="001D1AB8"/>
    <w:p w14:paraId="117F9D51" w14:textId="77777777" w:rsidR="001D1AB8" w:rsidRDefault="001D1AB8">
      <w:r>
        <w:br w:type="page"/>
      </w:r>
    </w:p>
    <w:sdt>
      <w:sdtPr>
        <w:rPr>
          <w:rFonts w:asciiTheme="minorHAnsi" w:eastAsiaTheme="minorHAnsi" w:hAnsiTheme="minorHAnsi" w:cstheme="minorBidi"/>
          <w:color w:val="auto"/>
          <w:sz w:val="22"/>
          <w:szCs w:val="22"/>
          <w:lang w:val="en-GB"/>
        </w:rPr>
        <w:id w:val="415906681"/>
        <w:docPartObj>
          <w:docPartGallery w:val="Table of Contents"/>
          <w:docPartUnique/>
        </w:docPartObj>
      </w:sdtPr>
      <w:sdtEndPr>
        <w:rPr>
          <w:b/>
          <w:bCs/>
          <w:noProof/>
        </w:rPr>
      </w:sdtEndPr>
      <w:sdtContent>
        <w:p w14:paraId="67C2E12C" w14:textId="77777777" w:rsidR="001D1AB8" w:rsidRDefault="001D1AB8">
          <w:pPr>
            <w:pStyle w:val="TOCHeading"/>
          </w:pPr>
          <w:r>
            <w:t>Contents</w:t>
          </w:r>
        </w:p>
        <w:p w14:paraId="3AB853D3" w14:textId="4CBC2352" w:rsidR="00CE0689" w:rsidRDefault="001D1AB8">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4589249" w:history="1">
            <w:r w:rsidR="00CE0689" w:rsidRPr="00794030">
              <w:rPr>
                <w:rStyle w:val="Hyperlink"/>
                <w:noProof/>
              </w:rPr>
              <w:t>Acknowledgements</w:t>
            </w:r>
            <w:r w:rsidR="00CE0689">
              <w:rPr>
                <w:noProof/>
                <w:webHidden/>
              </w:rPr>
              <w:tab/>
            </w:r>
            <w:r w:rsidR="00CE0689">
              <w:rPr>
                <w:noProof/>
                <w:webHidden/>
              </w:rPr>
              <w:fldChar w:fldCharType="begin"/>
            </w:r>
            <w:r w:rsidR="00CE0689">
              <w:rPr>
                <w:noProof/>
                <w:webHidden/>
              </w:rPr>
              <w:instrText xml:space="preserve"> PAGEREF _Toc4589249 \h </w:instrText>
            </w:r>
            <w:r w:rsidR="00CE0689">
              <w:rPr>
                <w:noProof/>
                <w:webHidden/>
              </w:rPr>
            </w:r>
            <w:r w:rsidR="00CE0689">
              <w:rPr>
                <w:noProof/>
                <w:webHidden/>
              </w:rPr>
              <w:fldChar w:fldCharType="separate"/>
            </w:r>
            <w:r w:rsidR="00CE0689">
              <w:rPr>
                <w:noProof/>
                <w:webHidden/>
              </w:rPr>
              <w:t>2</w:t>
            </w:r>
            <w:r w:rsidR="00CE0689">
              <w:rPr>
                <w:noProof/>
                <w:webHidden/>
              </w:rPr>
              <w:fldChar w:fldCharType="end"/>
            </w:r>
          </w:hyperlink>
        </w:p>
        <w:p w14:paraId="4C74A03D" w14:textId="1BFEC87B" w:rsidR="00CE0689" w:rsidRDefault="004C61E0">
          <w:pPr>
            <w:pStyle w:val="TOC1"/>
            <w:tabs>
              <w:tab w:val="right" w:leader="dot" w:pos="9016"/>
            </w:tabs>
            <w:rPr>
              <w:rFonts w:eastAsiaTheme="minorEastAsia"/>
              <w:noProof/>
              <w:lang w:eastAsia="en-GB"/>
            </w:rPr>
          </w:pPr>
          <w:hyperlink w:anchor="_Toc4589250" w:history="1">
            <w:r w:rsidR="00CE0689" w:rsidRPr="00794030">
              <w:rPr>
                <w:rStyle w:val="Hyperlink"/>
                <w:noProof/>
              </w:rPr>
              <w:t>Abstract</w:t>
            </w:r>
            <w:r w:rsidR="00CE0689">
              <w:rPr>
                <w:noProof/>
                <w:webHidden/>
              </w:rPr>
              <w:tab/>
            </w:r>
            <w:r w:rsidR="00CE0689">
              <w:rPr>
                <w:noProof/>
                <w:webHidden/>
              </w:rPr>
              <w:fldChar w:fldCharType="begin"/>
            </w:r>
            <w:r w:rsidR="00CE0689">
              <w:rPr>
                <w:noProof/>
                <w:webHidden/>
              </w:rPr>
              <w:instrText xml:space="preserve"> PAGEREF _Toc4589250 \h </w:instrText>
            </w:r>
            <w:r w:rsidR="00CE0689">
              <w:rPr>
                <w:noProof/>
                <w:webHidden/>
              </w:rPr>
            </w:r>
            <w:r w:rsidR="00CE0689">
              <w:rPr>
                <w:noProof/>
                <w:webHidden/>
              </w:rPr>
              <w:fldChar w:fldCharType="separate"/>
            </w:r>
            <w:r w:rsidR="00CE0689">
              <w:rPr>
                <w:noProof/>
                <w:webHidden/>
              </w:rPr>
              <w:t>4</w:t>
            </w:r>
            <w:r w:rsidR="00CE0689">
              <w:rPr>
                <w:noProof/>
                <w:webHidden/>
              </w:rPr>
              <w:fldChar w:fldCharType="end"/>
            </w:r>
          </w:hyperlink>
        </w:p>
        <w:p w14:paraId="31343527" w14:textId="20144F93" w:rsidR="00CE0689" w:rsidRDefault="004C61E0">
          <w:pPr>
            <w:pStyle w:val="TOC1"/>
            <w:tabs>
              <w:tab w:val="right" w:leader="dot" w:pos="9016"/>
            </w:tabs>
            <w:rPr>
              <w:rFonts w:eastAsiaTheme="minorEastAsia"/>
              <w:noProof/>
              <w:lang w:eastAsia="en-GB"/>
            </w:rPr>
          </w:pPr>
          <w:hyperlink w:anchor="_Toc4589251" w:history="1">
            <w:r w:rsidR="00CE0689" w:rsidRPr="00794030">
              <w:rPr>
                <w:rStyle w:val="Hyperlink"/>
                <w:noProof/>
              </w:rPr>
              <w:t>Abbreviations</w:t>
            </w:r>
            <w:r w:rsidR="00CE0689">
              <w:rPr>
                <w:noProof/>
                <w:webHidden/>
              </w:rPr>
              <w:tab/>
            </w:r>
            <w:r w:rsidR="00CE0689">
              <w:rPr>
                <w:noProof/>
                <w:webHidden/>
              </w:rPr>
              <w:fldChar w:fldCharType="begin"/>
            </w:r>
            <w:r w:rsidR="00CE0689">
              <w:rPr>
                <w:noProof/>
                <w:webHidden/>
              </w:rPr>
              <w:instrText xml:space="preserve"> PAGEREF _Toc4589251 \h </w:instrText>
            </w:r>
            <w:r w:rsidR="00CE0689">
              <w:rPr>
                <w:noProof/>
                <w:webHidden/>
              </w:rPr>
            </w:r>
            <w:r w:rsidR="00CE0689">
              <w:rPr>
                <w:noProof/>
                <w:webHidden/>
              </w:rPr>
              <w:fldChar w:fldCharType="separate"/>
            </w:r>
            <w:r w:rsidR="00CE0689">
              <w:rPr>
                <w:noProof/>
                <w:webHidden/>
              </w:rPr>
              <w:t>5</w:t>
            </w:r>
            <w:r w:rsidR="00CE0689">
              <w:rPr>
                <w:noProof/>
                <w:webHidden/>
              </w:rPr>
              <w:fldChar w:fldCharType="end"/>
            </w:r>
          </w:hyperlink>
        </w:p>
        <w:p w14:paraId="3AE7EFB6" w14:textId="0A43147D" w:rsidR="00CE0689" w:rsidRDefault="004C61E0">
          <w:pPr>
            <w:pStyle w:val="TOC1"/>
            <w:tabs>
              <w:tab w:val="right" w:leader="dot" w:pos="9016"/>
            </w:tabs>
            <w:rPr>
              <w:rFonts w:eastAsiaTheme="minorEastAsia"/>
              <w:noProof/>
              <w:lang w:eastAsia="en-GB"/>
            </w:rPr>
          </w:pPr>
          <w:hyperlink w:anchor="_Toc4589252" w:history="1">
            <w:r w:rsidR="00CE0689" w:rsidRPr="00794030">
              <w:rPr>
                <w:rStyle w:val="Hyperlink"/>
                <w:noProof/>
              </w:rPr>
              <w:t>Table of figures</w:t>
            </w:r>
            <w:r w:rsidR="00CE0689">
              <w:rPr>
                <w:noProof/>
                <w:webHidden/>
              </w:rPr>
              <w:tab/>
            </w:r>
            <w:r w:rsidR="00CE0689">
              <w:rPr>
                <w:noProof/>
                <w:webHidden/>
              </w:rPr>
              <w:fldChar w:fldCharType="begin"/>
            </w:r>
            <w:r w:rsidR="00CE0689">
              <w:rPr>
                <w:noProof/>
                <w:webHidden/>
              </w:rPr>
              <w:instrText xml:space="preserve"> PAGEREF _Toc4589252 \h </w:instrText>
            </w:r>
            <w:r w:rsidR="00CE0689">
              <w:rPr>
                <w:noProof/>
                <w:webHidden/>
              </w:rPr>
            </w:r>
            <w:r w:rsidR="00CE0689">
              <w:rPr>
                <w:noProof/>
                <w:webHidden/>
              </w:rPr>
              <w:fldChar w:fldCharType="separate"/>
            </w:r>
            <w:r w:rsidR="00CE0689">
              <w:rPr>
                <w:noProof/>
                <w:webHidden/>
              </w:rPr>
              <w:t>1</w:t>
            </w:r>
            <w:r w:rsidR="00CE0689">
              <w:rPr>
                <w:noProof/>
                <w:webHidden/>
              </w:rPr>
              <w:fldChar w:fldCharType="end"/>
            </w:r>
          </w:hyperlink>
        </w:p>
        <w:p w14:paraId="6EE3EB16" w14:textId="7008CBEE" w:rsidR="00CE0689" w:rsidRDefault="004C61E0">
          <w:pPr>
            <w:pStyle w:val="TOC1"/>
            <w:tabs>
              <w:tab w:val="right" w:leader="dot" w:pos="9016"/>
            </w:tabs>
            <w:rPr>
              <w:rFonts w:eastAsiaTheme="minorEastAsia"/>
              <w:noProof/>
              <w:lang w:eastAsia="en-GB"/>
            </w:rPr>
          </w:pPr>
          <w:hyperlink w:anchor="_Toc4589253" w:history="1">
            <w:r w:rsidR="00CE0689" w:rsidRPr="00794030">
              <w:rPr>
                <w:rStyle w:val="Hyperlink"/>
                <w:noProof/>
              </w:rPr>
              <w:t>Table of tables</w:t>
            </w:r>
            <w:r w:rsidR="00CE0689">
              <w:rPr>
                <w:noProof/>
                <w:webHidden/>
              </w:rPr>
              <w:tab/>
            </w:r>
            <w:r w:rsidR="00CE0689">
              <w:rPr>
                <w:noProof/>
                <w:webHidden/>
              </w:rPr>
              <w:fldChar w:fldCharType="begin"/>
            </w:r>
            <w:r w:rsidR="00CE0689">
              <w:rPr>
                <w:noProof/>
                <w:webHidden/>
              </w:rPr>
              <w:instrText xml:space="preserve"> PAGEREF _Toc4589253 \h </w:instrText>
            </w:r>
            <w:r w:rsidR="00CE0689">
              <w:rPr>
                <w:noProof/>
                <w:webHidden/>
              </w:rPr>
            </w:r>
            <w:r w:rsidR="00CE0689">
              <w:rPr>
                <w:noProof/>
                <w:webHidden/>
              </w:rPr>
              <w:fldChar w:fldCharType="separate"/>
            </w:r>
            <w:r w:rsidR="00CE0689">
              <w:rPr>
                <w:noProof/>
                <w:webHidden/>
              </w:rPr>
              <w:t>3</w:t>
            </w:r>
            <w:r w:rsidR="00CE0689">
              <w:rPr>
                <w:noProof/>
                <w:webHidden/>
              </w:rPr>
              <w:fldChar w:fldCharType="end"/>
            </w:r>
          </w:hyperlink>
        </w:p>
        <w:p w14:paraId="38BEA041" w14:textId="7F46D25D" w:rsidR="00CE0689" w:rsidRDefault="004C61E0">
          <w:pPr>
            <w:pStyle w:val="TOC1"/>
            <w:tabs>
              <w:tab w:val="right" w:leader="dot" w:pos="9016"/>
            </w:tabs>
            <w:rPr>
              <w:rFonts w:eastAsiaTheme="minorEastAsia"/>
              <w:noProof/>
              <w:lang w:eastAsia="en-GB"/>
            </w:rPr>
          </w:pPr>
          <w:hyperlink w:anchor="_Toc4589254" w:history="1">
            <w:r w:rsidR="00CE0689" w:rsidRPr="00794030">
              <w:rPr>
                <w:rStyle w:val="Hyperlink"/>
                <w:noProof/>
              </w:rPr>
              <w:t>Chapter 1. Introduction</w:t>
            </w:r>
            <w:r w:rsidR="00CE0689">
              <w:rPr>
                <w:noProof/>
                <w:webHidden/>
              </w:rPr>
              <w:tab/>
            </w:r>
            <w:r w:rsidR="00CE0689">
              <w:rPr>
                <w:noProof/>
                <w:webHidden/>
              </w:rPr>
              <w:fldChar w:fldCharType="begin"/>
            </w:r>
            <w:r w:rsidR="00CE0689">
              <w:rPr>
                <w:noProof/>
                <w:webHidden/>
              </w:rPr>
              <w:instrText xml:space="preserve"> PAGEREF _Toc4589254 \h </w:instrText>
            </w:r>
            <w:r w:rsidR="00CE0689">
              <w:rPr>
                <w:noProof/>
                <w:webHidden/>
              </w:rPr>
            </w:r>
            <w:r w:rsidR="00CE0689">
              <w:rPr>
                <w:noProof/>
                <w:webHidden/>
              </w:rPr>
              <w:fldChar w:fldCharType="separate"/>
            </w:r>
            <w:r w:rsidR="00CE0689">
              <w:rPr>
                <w:noProof/>
                <w:webHidden/>
              </w:rPr>
              <w:t>4</w:t>
            </w:r>
            <w:r w:rsidR="00CE0689">
              <w:rPr>
                <w:noProof/>
                <w:webHidden/>
              </w:rPr>
              <w:fldChar w:fldCharType="end"/>
            </w:r>
          </w:hyperlink>
        </w:p>
        <w:p w14:paraId="0416C1CC" w14:textId="5364C0E3" w:rsidR="00CE0689" w:rsidRDefault="004C61E0">
          <w:pPr>
            <w:pStyle w:val="TOC2"/>
            <w:tabs>
              <w:tab w:val="left" w:pos="880"/>
              <w:tab w:val="right" w:leader="dot" w:pos="9016"/>
            </w:tabs>
            <w:rPr>
              <w:rFonts w:eastAsiaTheme="minorEastAsia"/>
              <w:noProof/>
              <w:lang w:eastAsia="en-GB"/>
            </w:rPr>
          </w:pPr>
          <w:hyperlink w:anchor="_Toc4589255" w:history="1">
            <w:r w:rsidR="00CE0689" w:rsidRPr="00794030">
              <w:rPr>
                <w:rStyle w:val="Hyperlink"/>
                <w:noProof/>
              </w:rPr>
              <w:t>1.1</w:t>
            </w:r>
            <w:r w:rsidR="00CE0689">
              <w:rPr>
                <w:rFonts w:eastAsiaTheme="minorEastAsia"/>
                <w:noProof/>
                <w:lang w:eastAsia="en-GB"/>
              </w:rPr>
              <w:tab/>
            </w:r>
            <w:r w:rsidR="00CE0689" w:rsidRPr="00794030">
              <w:rPr>
                <w:rStyle w:val="Hyperlink"/>
                <w:noProof/>
              </w:rPr>
              <w:t>Overview</w:t>
            </w:r>
            <w:r w:rsidR="00CE0689">
              <w:rPr>
                <w:noProof/>
                <w:webHidden/>
              </w:rPr>
              <w:tab/>
            </w:r>
            <w:r w:rsidR="00CE0689">
              <w:rPr>
                <w:noProof/>
                <w:webHidden/>
              </w:rPr>
              <w:fldChar w:fldCharType="begin"/>
            </w:r>
            <w:r w:rsidR="00CE0689">
              <w:rPr>
                <w:noProof/>
                <w:webHidden/>
              </w:rPr>
              <w:instrText xml:space="preserve"> PAGEREF _Toc4589255 \h </w:instrText>
            </w:r>
            <w:r w:rsidR="00CE0689">
              <w:rPr>
                <w:noProof/>
                <w:webHidden/>
              </w:rPr>
            </w:r>
            <w:r w:rsidR="00CE0689">
              <w:rPr>
                <w:noProof/>
                <w:webHidden/>
              </w:rPr>
              <w:fldChar w:fldCharType="separate"/>
            </w:r>
            <w:r w:rsidR="00CE0689">
              <w:rPr>
                <w:noProof/>
                <w:webHidden/>
              </w:rPr>
              <w:t>4</w:t>
            </w:r>
            <w:r w:rsidR="00CE0689">
              <w:rPr>
                <w:noProof/>
                <w:webHidden/>
              </w:rPr>
              <w:fldChar w:fldCharType="end"/>
            </w:r>
          </w:hyperlink>
        </w:p>
        <w:p w14:paraId="78155CF6" w14:textId="199C8432" w:rsidR="00CE0689" w:rsidRDefault="004C61E0">
          <w:pPr>
            <w:pStyle w:val="TOC3"/>
            <w:tabs>
              <w:tab w:val="right" w:leader="dot" w:pos="9016"/>
            </w:tabs>
            <w:rPr>
              <w:rFonts w:eastAsiaTheme="minorEastAsia"/>
              <w:noProof/>
              <w:lang w:eastAsia="en-GB"/>
            </w:rPr>
          </w:pPr>
          <w:hyperlink w:anchor="_Toc4589256" w:history="1">
            <w:r w:rsidR="00CE0689" w:rsidRPr="00794030">
              <w:rPr>
                <w:rStyle w:val="Hyperlink"/>
                <w:noProof/>
              </w:rPr>
              <w:t>1.1.1 Vertebrate hematopoiesis</w:t>
            </w:r>
            <w:r w:rsidR="00CE0689">
              <w:rPr>
                <w:noProof/>
                <w:webHidden/>
              </w:rPr>
              <w:tab/>
            </w:r>
            <w:r w:rsidR="00CE0689">
              <w:rPr>
                <w:noProof/>
                <w:webHidden/>
              </w:rPr>
              <w:fldChar w:fldCharType="begin"/>
            </w:r>
            <w:r w:rsidR="00CE0689">
              <w:rPr>
                <w:noProof/>
                <w:webHidden/>
              </w:rPr>
              <w:instrText xml:space="preserve"> PAGEREF _Toc4589256 \h </w:instrText>
            </w:r>
            <w:r w:rsidR="00CE0689">
              <w:rPr>
                <w:noProof/>
                <w:webHidden/>
              </w:rPr>
            </w:r>
            <w:r w:rsidR="00CE0689">
              <w:rPr>
                <w:noProof/>
                <w:webHidden/>
              </w:rPr>
              <w:fldChar w:fldCharType="separate"/>
            </w:r>
            <w:r w:rsidR="00CE0689">
              <w:rPr>
                <w:noProof/>
                <w:webHidden/>
              </w:rPr>
              <w:t>4</w:t>
            </w:r>
            <w:r w:rsidR="00CE0689">
              <w:rPr>
                <w:noProof/>
                <w:webHidden/>
              </w:rPr>
              <w:fldChar w:fldCharType="end"/>
            </w:r>
          </w:hyperlink>
        </w:p>
        <w:p w14:paraId="669C4FDD" w14:textId="37A7501B" w:rsidR="00CE0689" w:rsidRDefault="004C61E0">
          <w:pPr>
            <w:pStyle w:val="TOC3"/>
            <w:tabs>
              <w:tab w:val="right" w:leader="dot" w:pos="9016"/>
            </w:tabs>
            <w:rPr>
              <w:rFonts w:eastAsiaTheme="minorEastAsia"/>
              <w:noProof/>
              <w:lang w:eastAsia="en-GB"/>
            </w:rPr>
          </w:pPr>
          <w:hyperlink w:anchor="_Toc4589257" w:history="1">
            <w:r w:rsidR="00CE0689" w:rsidRPr="00794030">
              <w:rPr>
                <w:rStyle w:val="Hyperlink"/>
                <w:noProof/>
              </w:rPr>
              <w:t>1.1.2 Macrophages</w:t>
            </w:r>
            <w:r w:rsidR="00CE0689">
              <w:rPr>
                <w:noProof/>
                <w:webHidden/>
              </w:rPr>
              <w:tab/>
            </w:r>
            <w:r w:rsidR="00CE0689">
              <w:rPr>
                <w:noProof/>
                <w:webHidden/>
              </w:rPr>
              <w:fldChar w:fldCharType="begin"/>
            </w:r>
            <w:r w:rsidR="00CE0689">
              <w:rPr>
                <w:noProof/>
                <w:webHidden/>
              </w:rPr>
              <w:instrText xml:space="preserve"> PAGEREF _Toc4589257 \h </w:instrText>
            </w:r>
            <w:r w:rsidR="00CE0689">
              <w:rPr>
                <w:noProof/>
                <w:webHidden/>
              </w:rPr>
            </w:r>
            <w:r w:rsidR="00CE0689">
              <w:rPr>
                <w:noProof/>
                <w:webHidden/>
              </w:rPr>
              <w:fldChar w:fldCharType="separate"/>
            </w:r>
            <w:r w:rsidR="00CE0689">
              <w:rPr>
                <w:noProof/>
                <w:webHidden/>
              </w:rPr>
              <w:t>5</w:t>
            </w:r>
            <w:r w:rsidR="00CE0689">
              <w:rPr>
                <w:noProof/>
                <w:webHidden/>
              </w:rPr>
              <w:fldChar w:fldCharType="end"/>
            </w:r>
          </w:hyperlink>
        </w:p>
        <w:p w14:paraId="15B0ACED" w14:textId="625B709F" w:rsidR="00CE0689" w:rsidRDefault="004C61E0">
          <w:pPr>
            <w:pStyle w:val="TOC2"/>
            <w:tabs>
              <w:tab w:val="right" w:leader="dot" w:pos="9016"/>
            </w:tabs>
            <w:rPr>
              <w:rFonts w:eastAsiaTheme="minorEastAsia"/>
              <w:noProof/>
              <w:lang w:eastAsia="en-GB"/>
            </w:rPr>
          </w:pPr>
          <w:hyperlink w:anchor="_Toc4589258" w:history="1">
            <w:r w:rsidR="00CE0689" w:rsidRPr="00794030">
              <w:rPr>
                <w:rStyle w:val="Hyperlink"/>
                <w:noProof/>
              </w:rPr>
              <w:t>1.2 Macrophage subtypes</w:t>
            </w:r>
            <w:r w:rsidR="00CE0689">
              <w:rPr>
                <w:noProof/>
                <w:webHidden/>
              </w:rPr>
              <w:tab/>
            </w:r>
            <w:r w:rsidR="00CE0689">
              <w:rPr>
                <w:noProof/>
                <w:webHidden/>
              </w:rPr>
              <w:fldChar w:fldCharType="begin"/>
            </w:r>
            <w:r w:rsidR="00CE0689">
              <w:rPr>
                <w:noProof/>
                <w:webHidden/>
              </w:rPr>
              <w:instrText xml:space="preserve"> PAGEREF _Toc4589258 \h </w:instrText>
            </w:r>
            <w:r w:rsidR="00CE0689">
              <w:rPr>
                <w:noProof/>
                <w:webHidden/>
              </w:rPr>
            </w:r>
            <w:r w:rsidR="00CE0689">
              <w:rPr>
                <w:noProof/>
                <w:webHidden/>
              </w:rPr>
              <w:fldChar w:fldCharType="separate"/>
            </w:r>
            <w:r w:rsidR="00CE0689">
              <w:rPr>
                <w:noProof/>
                <w:webHidden/>
              </w:rPr>
              <w:t>6</w:t>
            </w:r>
            <w:r w:rsidR="00CE0689">
              <w:rPr>
                <w:noProof/>
                <w:webHidden/>
              </w:rPr>
              <w:fldChar w:fldCharType="end"/>
            </w:r>
          </w:hyperlink>
        </w:p>
        <w:p w14:paraId="35E6B932" w14:textId="42B72A4E" w:rsidR="00CE0689" w:rsidRDefault="004C61E0">
          <w:pPr>
            <w:pStyle w:val="TOC3"/>
            <w:tabs>
              <w:tab w:val="right" w:leader="dot" w:pos="9016"/>
            </w:tabs>
            <w:rPr>
              <w:rFonts w:eastAsiaTheme="minorEastAsia"/>
              <w:noProof/>
              <w:lang w:eastAsia="en-GB"/>
            </w:rPr>
          </w:pPr>
          <w:hyperlink w:anchor="_Toc4589259" w:history="1">
            <w:r w:rsidR="00CE0689" w:rsidRPr="00794030">
              <w:rPr>
                <w:rStyle w:val="Hyperlink"/>
                <w:noProof/>
              </w:rPr>
              <w:t>1.2.1 M1 macrophages</w:t>
            </w:r>
            <w:r w:rsidR="00CE0689">
              <w:rPr>
                <w:noProof/>
                <w:webHidden/>
              </w:rPr>
              <w:tab/>
            </w:r>
            <w:r w:rsidR="00CE0689">
              <w:rPr>
                <w:noProof/>
                <w:webHidden/>
              </w:rPr>
              <w:fldChar w:fldCharType="begin"/>
            </w:r>
            <w:r w:rsidR="00CE0689">
              <w:rPr>
                <w:noProof/>
                <w:webHidden/>
              </w:rPr>
              <w:instrText xml:space="preserve"> PAGEREF _Toc4589259 \h </w:instrText>
            </w:r>
            <w:r w:rsidR="00CE0689">
              <w:rPr>
                <w:noProof/>
                <w:webHidden/>
              </w:rPr>
            </w:r>
            <w:r w:rsidR="00CE0689">
              <w:rPr>
                <w:noProof/>
                <w:webHidden/>
              </w:rPr>
              <w:fldChar w:fldCharType="separate"/>
            </w:r>
            <w:r w:rsidR="00CE0689">
              <w:rPr>
                <w:noProof/>
                <w:webHidden/>
              </w:rPr>
              <w:t>6</w:t>
            </w:r>
            <w:r w:rsidR="00CE0689">
              <w:rPr>
                <w:noProof/>
                <w:webHidden/>
              </w:rPr>
              <w:fldChar w:fldCharType="end"/>
            </w:r>
          </w:hyperlink>
        </w:p>
        <w:p w14:paraId="6F5B765F" w14:textId="2CD35B40" w:rsidR="00CE0689" w:rsidRDefault="004C61E0">
          <w:pPr>
            <w:pStyle w:val="TOC3"/>
            <w:tabs>
              <w:tab w:val="right" w:leader="dot" w:pos="9016"/>
            </w:tabs>
            <w:rPr>
              <w:rFonts w:eastAsiaTheme="minorEastAsia"/>
              <w:noProof/>
              <w:lang w:eastAsia="en-GB"/>
            </w:rPr>
          </w:pPr>
          <w:hyperlink w:anchor="_Toc4589260" w:history="1">
            <w:r w:rsidR="00CE0689" w:rsidRPr="00794030">
              <w:rPr>
                <w:rStyle w:val="Hyperlink"/>
                <w:noProof/>
              </w:rPr>
              <w:t>1.2.2 M2 macrophages</w:t>
            </w:r>
            <w:r w:rsidR="00CE0689">
              <w:rPr>
                <w:noProof/>
                <w:webHidden/>
              </w:rPr>
              <w:tab/>
            </w:r>
            <w:r w:rsidR="00CE0689">
              <w:rPr>
                <w:noProof/>
                <w:webHidden/>
              </w:rPr>
              <w:fldChar w:fldCharType="begin"/>
            </w:r>
            <w:r w:rsidR="00CE0689">
              <w:rPr>
                <w:noProof/>
                <w:webHidden/>
              </w:rPr>
              <w:instrText xml:space="preserve"> PAGEREF _Toc4589260 \h </w:instrText>
            </w:r>
            <w:r w:rsidR="00CE0689">
              <w:rPr>
                <w:noProof/>
                <w:webHidden/>
              </w:rPr>
            </w:r>
            <w:r w:rsidR="00CE0689">
              <w:rPr>
                <w:noProof/>
                <w:webHidden/>
              </w:rPr>
              <w:fldChar w:fldCharType="separate"/>
            </w:r>
            <w:r w:rsidR="00CE0689">
              <w:rPr>
                <w:noProof/>
                <w:webHidden/>
              </w:rPr>
              <w:t>7</w:t>
            </w:r>
            <w:r w:rsidR="00CE0689">
              <w:rPr>
                <w:noProof/>
                <w:webHidden/>
              </w:rPr>
              <w:fldChar w:fldCharType="end"/>
            </w:r>
          </w:hyperlink>
        </w:p>
        <w:p w14:paraId="22D91818" w14:textId="732C35ED" w:rsidR="00CE0689" w:rsidRDefault="004C61E0">
          <w:pPr>
            <w:pStyle w:val="TOC3"/>
            <w:tabs>
              <w:tab w:val="right" w:leader="dot" w:pos="9016"/>
            </w:tabs>
            <w:rPr>
              <w:rFonts w:eastAsiaTheme="minorEastAsia"/>
              <w:noProof/>
              <w:lang w:eastAsia="en-GB"/>
            </w:rPr>
          </w:pPr>
          <w:hyperlink w:anchor="_Toc4589261" w:history="1">
            <w:r w:rsidR="00CE0689" w:rsidRPr="00794030">
              <w:rPr>
                <w:rStyle w:val="Hyperlink"/>
                <w:noProof/>
              </w:rPr>
              <w:t>1.2.3 Other macrophages</w:t>
            </w:r>
            <w:r w:rsidR="00CE0689">
              <w:rPr>
                <w:noProof/>
                <w:webHidden/>
              </w:rPr>
              <w:tab/>
            </w:r>
            <w:r w:rsidR="00CE0689">
              <w:rPr>
                <w:noProof/>
                <w:webHidden/>
              </w:rPr>
              <w:fldChar w:fldCharType="begin"/>
            </w:r>
            <w:r w:rsidR="00CE0689">
              <w:rPr>
                <w:noProof/>
                <w:webHidden/>
              </w:rPr>
              <w:instrText xml:space="preserve"> PAGEREF _Toc4589261 \h </w:instrText>
            </w:r>
            <w:r w:rsidR="00CE0689">
              <w:rPr>
                <w:noProof/>
                <w:webHidden/>
              </w:rPr>
            </w:r>
            <w:r w:rsidR="00CE0689">
              <w:rPr>
                <w:noProof/>
                <w:webHidden/>
              </w:rPr>
              <w:fldChar w:fldCharType="separate"/>
            </w:r>
            <w:r w:rsidR="00CE0689">
              <w:rPr>
                <w:noProof/>
                <w:webHidden/>
              </w:rPr>
              <w:t>9</w:t>
            </w:r>
            <w:r w:rsidR="00CE0689">
              <w:rPr>
                <w:noProof/>
                <w:webHidden/>
              </w:rPr>
              <w:fldChar w:fldCharType="end"/>
            </w:r>
          </w:hyperlink>
        </w:p>
        <w:p w14:paraId="7D7E14AD" w14:textId="2386CB58" w:rsidR="00CE0689" w:rsidRDefault="004C61E0">
          <w:pPr>
            <w:pStyle w:val="TOC3"/>
            <w:tabs>
              <w:tab w:val="right" w:leader="dot" w:pos="9016"/>
            </w:tabs>
            <w:rPr>
              <w:rFonts w:eastAsiaTheme="minorEastAsia"/>
              <w:noProof/>
              <w:lang w:eastAsia="en-GB"/>
            </w:rPr>
          </w:pPr>
          <w:hyperlink w:anchor="_Toc4589262" w:history="1">
            <w:r w:rsidR="00CE0689" w:rsidRPr="00794030">
              <w:rPr>
                <w:rStyle w:val="Hyperlink"/>
                <w:noProof/>
              </w:rPr>
              <w:t>1.2.4 Current model of macrophage polarisation</w:t>
            </w:r>
            <w:r w:rsidR="00CE0689">
              <w:rPr>
                <w:noProof/>
                <w:webHidden/>
              </w:rPr>
              <w:tab/>
            </w:r>
            <w:r w:rsidR="00CE0689">
              <w:rPr>
                <w:noProof/>
                <w:webHidden/>
              </w:rPr>
              <w:fldChar w:fldCharType="begin"/>
            </w:r>
            <w:r w:rsidR="00CE0689">
              <w:rPr>
                <w:noProof/>
                <w:webHidden/>
              </w:rPr>
              <w:instrText xml:space="preserve"> PAGEREF _Toc4589262 \h </w:instrText>
            </w:r>
            <w:r w:rsidR="00CE0689">
              <w:rPr>
                <w:noProof/>
                <w:webHidden/>
              </w:rPr>
            </w:r>
            <w:r w:rsidR="00CE0689">
              <w:rPr>
                <w:noProof/>
                <w:webHidden/>
              </w:rPr>
              <w:fldChar w:fldCharType="separate"/>
            </w:r>
            <w:r w:rsidR="00CE0689">
              <w:rPr>
                <w:noProof/>
                <w:webHidden/>
              </w:rPr>
              <w:t>10</w:t>
            </w:r>
            <w:r w:rsidR="00CE0689">
              <w:rPr>
                <w:noProof/>
                <w:webHidden/>
              </w:rPr>
              <w:fldChar w:fldCharType="end"/>
            </w:r>
          </w:hyperlink>
        </w:p>
        <w:p w14:paraId="68EC2762" w14:textId="5D889751" w:rsidR="00CE0689" w:rsidRDefault="004C61E0">
          <w:pPr>
            <w:pStyle w:val="TOC2"/>
            <w:tabs>
              <w:tab w:val="right" w:leader="dot" w:pos="9016"/>
            </w:tabs>
            <w:rPr>
              <w:rFonts w:eastAsiaTheme="minorEastAsia"/>
              <w:noProof/>
              <w:lang w:eastAsia="en-GB"/>
            </w:rPr>
          </w:pPr>
          <w:hyperlink w:anchor="_Toc4589263" w:history="1">
            <w:r w:rsidR="00CE0689" w:rsidRPr="00794030">
              <w:rPr>
                <w:rStyle w:val="Hyperlink"/>
                <w:noProof/>
              </w:rPr>
              <w:t>1.3 Macrophage heterogeneity throughout evolution</w:t>
            </w:r>
            <w:r w:rsidR="00CE0689">
              <w:rPr>
                <w:noProof/>
                <w:webHidden/>
              </w:rPr>
              <w:tab/>
            </w:r>
            <w:r w:rsidR="00CE0689">
              <w:rPr>
                <w:noProof/>
                <w:webHidden/>
              </w:rPr>
              <w:fldChar w:fldCharType="begin"/>
            </w:r>
            <w:r w:rsidR="00CE0689">
              <w:rPr>
                <w:noProof/>
                <w:webHidden/>
              </w:rPr>
              <w:instrText xml:space="preserve"> PAGEREF _Toc4589263 \h </w:instrText>
            </w:r>
            <w:r w:rsidR="00CE0689">
              <w:rPr>
                <w:noProof/>
                <w:webHidden/>
              </w:rPr>
            </w:r>
            <w:r w:rsidR="00CE0689">
              <w:rPr>
                <w:noProof/>
                <w:webHidden/>
              </w:rPr>
              <w:fldChar w:fldCharType="separate"/>
            </w:r>
            <w:r w:rsidR="00CE0689">
              <w:rPr>
                <w:noProof/>
                <w:webHidden/>
              </w:rPr>
              <w:t>13</w:t>
            </w:r>
            <w:r w:rsidR="00CE0689">
              <w:rPr>
                <w:noProof/>
                <w:webHidden/>
              </w:rPr>
              <w:fldChar w:fldCharType="end"/>
            </w:r>
          </w:hyperlink>
        </w:p>
        <w:p w14:paraId="46AFC23A" w14:textId="43C72FBA" w:rsidR="00CE0689" w:rsidRDefault="004C61E0">
          <w:pPr>
            <w:pStyle w:val="TOC2"/>
            <w:tabs>
              <w:tab w:val="right" w:leader="dot" w:pos="9016"/>
            </w:tabs>
            <w:rPr>
              <w:rFonts w:eastAsiaTheme="minorEastAsia"/>
              <w:noProof/>
              <w:lang w:eastAsia="en-GB"/>
            </w:rPr>
          </w:pPr>
          <w:hyperlink w:anchor="_Toc4589264" w:history="1">
            <w:r w:rsidR="00CE0689" w:rsidRPr="00794030">
              <w:rPr>
                <w:rStyle w:val="Hyperlink"/>
                <w:noProof/>
              </w:rPr>
              <w:t xml:space="preserve">1.4 </w:t>
            </w:r>
            <w:r w:rsidR="00CE0689" w:rsidRPr="00794030">
              <w:rPr>
                <w:rStyle w:val="Hyperlink"/>
                <w:i/>
                <w:noProof/>
              </w:rPr>
              <w:t>Drosophila</w:t>
            </w:r>
            <w:r w:rsidR="00CE0689" w:rsidRPr="00794030">
              <w:rPr>
                <w:rStyle w:val="Hyperlink"/>
                <w:noProof/>
              </w:rPr>
              <w:t xml:space="preserve"> as a model to study macrophage biology</w:t>
            </w:r>
            <w:r w:rsidR="00CE0689">
              <w:rPr>
                <w:noProof/>
                <w:webHidden/>
              </w:rPr>
              <w:tab/>
            </w:r>
            <w:r w:rsidR="00CE0689">
              <w:rPr>
                <w:noProof/>
                <w:webHidden/>
              </w:rPr>
              <w:fldChar w:fldCharType="begin"/>
            </w:r>
            <w:r w:rsidR="00CE0689">
              <w:rPr>
                <w:noProof/>
                <w:webHidden/>
              </w:rPr>
              <w:instrText xml:space="preserve"> PAGEREF _Toc4589264 \h </w:instrText>
            </w:r>
            <w:r w:rsidR="00CE0689">
              <w:rPr>
                <w:noProof/>
                <w:webHidden/>
              </w:rPr>
            </w:r>
            <w:r w:rsidR="00CE0689">
              <w:rPr>
                <w:noProof/>
                <w:webHidden/>
              </w:rPr>
              <w:fldChar w:fldCharType="separate"/>
            </w:r>
            <w:r w:rsidR="00CE0689">
              <w:rPr>
                <w:noProof/>
                <w:webHidden/>
              </w:rPr>
              <w:t>15</w:t>
            </w:r>
            <w:r w:rsidR="00CE0689">
              <w:rPr>
                <w:noProof/>
                <w:webHidden/>
              </w:rPr>
              <w:fldChar w:fldCharType="end"/>
            </w:r>
          </w:hyperlink>
        </w:p>
        <w:p w14:paraId="5FBB0CED" w14:textId="5375C0D5" w:rsidR="00CE0689" w:rsidRDefault="004C61E0">
          <w:pPr>
            <w:pStyle w:val="TOC3"/>
            <w:tabs>
              <w:tab w:val="right" w:leader="dot" w:pos="9016"/>
            </w:tabs>
            <w:rPr>
              <w:rFonts w:eastAsiaTheme="minorEastAsia"/>
              <w:noProof/>
              <w:lang w:eastAsia="en-GB"/>
            </w:rPr>
          </w:pPr>
          <w:hyperlink w:anchor="_Toc4589265" w:history="1">
            <w:r w:rsidR="00CE0689" w:rsidRPr="00794030">
              <w:rPr>
                <w:rStyle w:val="Hyperlink"/>
                <w:noProof/>
              </w:rPr>
              <w:t xml:space="preserve">1.4.1 The </w:t>
            </w:r>
            <w:r w:rsidR="00CE0689" w:rsidRPr="00794030">
              <w:rPr>
                <w:rStyle w:val="Hyperlink"/>
                <w:i/>
                <w:noProof/>
              </w:rPr>
              <w:t>GAL4-UAS</w:t>
            </w:r>
            <w:r w:rsidR="00CE0689" w:rsidRPr="00794030">
              <w:rPr>
                <w:rStyle w:val="Hyperlink"/>
                <w:noProof/>
              </w:rPr>
              <w:t xml:space="preserve"> system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_Toc4589265 \h </w:instrText>
            </w:r>
            <w:r w:rsidR="00CE0689">
              <w:rPr>
                <w:noProof/>
                <w:webHidden/>
              </w:rPr>
            </w:r>
            <w:r w:rsidR="00CE0689">
              <w:rPr>
                <w:noProof/>
                <w:webHidden/>
              </w:rPr>
              <w:fldChar w:fldCharType="separate"/>
            </w:r>
            <w:r w:rsidR="00CE0689">
              <w:rPr>
                <w:noProof/>
                <w:webHidden/>
              </w:rPr>
              <w:t>16</w:t>
            </w:r>
            <w:r w:rsidR="00CE0689">
              <w:rPr>
                <w:noProof/>
                <w:webHidden/>
              </w:rPr>
              <w:fldChar w:fldCharType="end"/>
            </w:r>
          </w:hyperlink>
        </w:p>
        <w:p w14:paraId="25EBC27B" w14:textId="15BE68CF" w:rsidR="00CE0689" w:rsidRDefault="004C61E0">
          <w:pPr>
            <w:pStyle w:val="TOC3"/>
            <w:tabs>
              <w:tab w:val="right" w:leader="dot" w:pos="9016"/>
            </w:tabs>
            <w:rPr>
              <w:rFonts w:eastAsiaTheme="minorEastAsia"/>
              <w:noProof/>
              <w:lang w:eastAsia="en-GB"/>
            </w:rPr>
          </w:pPr>
          <w:hyperlink w:anchor="_Toc4589266" w:history="1">
            <w:r w:rsidR="00CE0689" w:rsidRPr="00794030">
              <w:rPr>
                <w:rStyle w:val="Hyperlink"/>
                <w:noProof/>
              </w:rPr>
              <w:t xml:space="preserve">1.4.2 Enhancer traps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_Toc4589266 \h </w:instrText>
            </w:r>
            <w:r w:rsidR="00CE0689">
              <w:rPr>
                <w:noProof/>
                <w:webHidden/>
              </w:rPr>
            </w:r>
            <w:r w:rsidR="00CE0689">
              <w:rPr>
                <w:noProof/>
                <w:webHidden/>
              </w:rPr>
              <w:fldChar w:fldCharType="separate"/>
            </w:r>
            <w:r w:rsidR="00CE0689">
              <w:rPr>
                <w:noProof/>
                <w:webHidden/>
              </w:rPr>
              <w:t>17</w:t>
            </w:r>
            <w:r w:rsidR="00CE0689">
              <w:rPr>
                <w:noProof/>
                <w:webHidden/>
              </w:rPr>
              <w:fldChar w:fldCharType="end"/>
            </w:r>
          </w:hyperlink>
        </w:p>
        <w:p w14:paraId="6090AF1D" w14:textId="5A83C7B6" w:rsidR="00CE0689" w:rsidRDefault="004C61E0">
          <w:pPr>
            <w:pStyle w:val="TOC2"/>
            <w:tabs>
              <w:tab w:val="right" w:leader="dot" w:pos="9016"/>
            </w:tabs>
            <w:rPr>
              <w:rFonts w:eastAsiaTheme="minorEastAsia"/>
              <w:noProof/>
              <w:lang w:eastAsia="en-GB"/>
            </w:rPr>
          </w:pPr>
          <w:hyperlink w:anchor="_Toc4589267" w:history="1">
            <w:r w:rsidR="00CE0689" w:rsidRPr="00794030">
              <w:rPr>
                <w:rStyle w:val="Hyperlink"/>
                <w:noProof/>
              </w:rPr>
              <w:t xml:space="preserve">1.5 </w:t>
            </w:r>
            <w:r w:rsidR="00CE0689" w:rsidRPr="00794030">
              <w:rPr>
                <w:rStyle w:val="Hyperlink"/>
                <w:i/>
                <w:noProof/>
              </w:rPr>
              <w:t>Drosophila</w:t>
            </w:r>
            <w:r w:rsidR="00CE0689" w:rsidRPr="00794030">
              <w:rPr>
                <w:rStyle w:val="Hyperlink"/>
                <w:noProof/>
              </w:rPr>
              <w:t xml:space="preserve"> hemocytes</w:t>
            </w:r>
            <w:r w:rsidR="00CE0689">
              <w:rPr>
                <w:noProof/>
                <w:webHidden/>
              </w:rPr>
              <w:tab/>
            </w:r>
            <w:r w:rsidR="00CE0689">
              <w:rPr>
                <w:noProof/>
                <w:webHidden/>
              </w:rPr>
              <w:fldChar w:fldCharType="begin"/>
            </w:r>
            <w:r w:rsidR="00CE0689">
              <w:rPr>
                <w:noProof/>
                <w:webHidden/>
              </w:rPr>
              <w:instrText xml:space="preserve"> PAGEREF _Toc4589267 \h </w:instrText>
            </w:r>
            <w:r w:rsidR="00CE0689">
              <w:rPr>
                <w:noProof/>
                <w:webHidden/>
              </w:rPr>
            </w:r>
            <w:r w:rsidR="00CE0689">
              <w:rPr>
                <w:noProof/>
                <w:webHidden/>
              </w:rPr>
              <w:fldChar w:fldCharType="separate"/>
            </w:r>
            <w:r w:rsidR="00CE0689">
              <w:rPr>
                <w:noProof/>
                <w:webHidden/>
              </w:rPr>
              <w:t>17</w:t>
            </w:r>
            <w:r w:rsidR="00CE0689">
              <w:rPr>
                <w:noProof/>
                <w:webHidden/>
              </w:rPr>
              <w:fldChar w:fldCharType="end"/>
            </w:r>
          </w:hyperlink>
        </w:p>
        <w:p w14:paraId="299AE1D9" w14:textId="6CDB2754" w:rsidR="00CE0689" w:rsidRDefault="004C61E0">
          <w:pPr>
            <w:pStyle w:val="TOC3"/>
            <w:tabs>
              <w:tab w:val="right" w:leader="dot" w:pos="9016"/>
            </w:tabs>
            <w:rPr>
              <w:rFonts w:eastAsiaTheme="minorEastAsia"/>
              <w:noProof/>
              <w:lang w:eastAsia="en-GB"/>
            </w:rPr>
          </w:pPr>
          <w:hyperlink w:anchor="_Toc4589268" w:history="1">
            <w:r w:rsidR="00CE0689" w:rsidRPr="00794030">
              <w:rPr>
                <w:rStyle w:val="Hyperlink"/>
                <w:noProof/>
              </w:rPr>
              <w:t>1.5.1 Crystal cells</w:t>
            </w:r>
            <w:r w:rsidR="00CE0689">
              <w:rPr>
                <w:noProof/>
                <w:webHidden/>
              </w:rPr>
              <w:tab/>
            </w:r>
            <w:r w:rsidR="00CE0689">
              <w:rPr>
                <w:noProof/>
                <w:webHidden/>
              </w:rPr>
              <w:fldChar w:fldCharType="begin"/>
            </w:r>
            <w:r w:rsidR="00CE0689">
              <w:rPr>
                <w:noProof/>
                <w:webHidden/>
              </w:rPr>
              <w:instrText xml:space="preserve"> PAGEREF _Toc4589268 \h </w:instrText>
            </w:r>
            <w:r w:rsidR="00CE0689">
              <w:rPr>
                <w:noProof/>
                <w:webHidden/>
              </w:rPr>
            </w:r>
            <w:r w:rsidR="00CE0689">
              <w:rPr>
                <w:noProof/>
                <w:webHidden/>
              </w:rPr>
              <w:fldChar w:fldCharType="separate"/>
            </w:r>
            <w:r w:rsidR="00CE0689">
              <w:rPr>
                <w:noProof/>
                <w:webHidden/>
              </w:rPr>
              <w:t>18</w:t>
            </w:r>
            <w:r w:rsidR="00CE0689">
              <w:rPr>
                <w:noProof/>
                <w:webHidden/>
              </w:rPr>
              <w:fldChar w:fldCharType="end"/>
            </w:r>
          </w:hyperlink>
        </w:p>
        <w:p w14:paraId="35D71467" w14:textId="2DFD53FB" w:rsidR="00CE0689" w:rsidRDefault="004C61E0">
          <w:pPr>
            <w:pStyle w:val="TOC3"/>
            <w:tabs>
              <w:tab w:val="right" w:leader="dot" w:pos="9016"/>
            </w:tabs>
            <w:rPr>
              <w:rFonts w:eastAsiaTheme="minorEastAsia"/>
              <w:noProof/>
              <w:lang w:eastAsia="en-GB"/>
            </w:rPr>
          </w:pPr>
          <w:hyperlink w:anchor="_Toc4589269" w:history="1">
            <w:r w:rsidR="00CE0689" w:rsidRPr="00794030">
              <w:rPr>
                <w:rStyle w:val="Hyperlink"/>
                <w:noProof/>
              </w:rPr>
              <w:t>1.5.2 Lamellocytes</w:t>
            </w:r>
            <w:r w:rsidR="00CE0689">
              <w:rPr>
                <w:noProof/>
                <w:webHidden/>
              </w:rPr>
              <w:tab/>
            </w:r>
            <w:r w:rsidR="00CE0689">
              <w:rPr>
                <w:noProof/>
                <w:webHidden/>
              </w:rPr>
              <w:fldChar w:fldCharType="begin"/>
            </w:r>
            <w:r w:rsidR="00CE0689">
              <w:rPr>
                <w:noProof/>
                <w:webHidden/>
              </w:rPr>
              <w:instrText xml:space="preserve"> PAGEREF _Toc4589269 \h </w:instrText>
            </w:r>
            <w:r w:rsidR="00CE0689">
              <w:rPr>
                <w:noProof/>
                <w:webHidden/>
              </w:rPr>
            </w:r>
            <w:r w:rsidR="00CE0689">
              <w:rPr>
                <w:noProof/>
                <w:webHidden/>
              </w:rPr>
              <w:fldChar w:fldCharType="separate"/>
            </w:r>
            <w:r w:rsidR="00CE0689">
              <w:rPr>
                <w:noProof/>
                <w:webHidden/>
              </w:rPr>
              <w:t>18</w:t>
            </w:r>
            <w:r w:rsidR="00CE0689">
              <w:rPr>
                <w:noProof/>
                <w:webHidden/>
              </w:rPr>
              <w:fldChar w:fldCharType="end"/>
            </w:r>
          </w:hyperlink>
        </w:p>
        <w:p w14:paraId="173693B4" w14:textId="1BC324CC" w:rsidR="00CE0689" w:rsidRDefault="004C61E0">
          <w:pPr>
            <w:pStyle w:val="TOC3"/>
            <w:tabs>
              <w:tab w:val="right" w:leader="dot" w:pos="9016"/>
            </w:tabs>
            <w:rPr>
              <w:rFonts w:eastAsiaTheme="minorEastAsia"/>
              <w:noProof/>
              <w:lang w:eastAsia="en-GB"/>
            </w:rPr>
          </w:pPr>
          <w:hyperlink w:anchor="_Toc4589270" w:history="1">
            <w:r w:rsidR="00CE0689" w:rsidRPr="00794030">
              <w:rPr>
                <w:rStyle w:val="Hyperlink"/>
                <w:noProof/>
              </w:rPr>
              <w:t>1.5.3 Plasmatocytes</w:t>
            </w:r>
            <w:r w:rsidR="00CE0689">
              <w:rPr>
                <w:noProof/>
                <w:webHidden/>
              </w:rPr>
              <w:tab/>
            </w:r>
            <w:r w:rsidR="00CE0689">
              <w:rPr>
                <w:noProof/>
                <w:webHidden/>
              </w:rPr>
              <w:fldChar w:fldCharType="begin"/>
            </w:r>
            <w:r w:rsidR="00CE0689">
              <w:rPr>
                <w:noProof/>
                <w:webHidden/>
              </w:rPr>
              <w:instrText xml:space="preserve"> PAGEREF _Toc4589270 \h </w:instrText>
            </w:r>
            <w:r w:rsidR="00CE0689">
              <w:rPr>
                <w:noProof/>
                <w:webHidden/>
              </w:rPr>
            </w:r>
            <w:r w:rsidR="00CE0689">
              <w:rPr>
                <w:noProof/>
                <w:webHidden/>
              </w:rPr>
              <w:fldChar w:fldCharType="separate"/>
            </w:r>
            <w:r w:rsidR="00CE0689">
              <w:rPr>
                <w:noProof/>
                <w:webHidden/>
              </w:rPr>
              <w:t>19</w:t>
            </w:r>
            <w:r w:rsidR="00CE0689">
              <w:rPr>
                <w:noProof/>
                <w:webHidden/>
              </w:rPr>
              <w:fldChar w:fldCharType="end"/>
            </w:r>
          </w:hyperlink>
        </w:p>
        <w:p w14:paraId="23CD2387" w14:textId="7F476674" w:rsidR="00CE0689" w:rsidRDefault="004C61E0">
          <w:pPr>
            <w:pStyle w:val="TOC2"/>
            <w:tabs>
              <w:tab w:val="right" w:leader="dot" w:pos="9016"/>
            </w:tabs>
            <w:rPr>
              <w:rFonts w:eastAsiaTheme="minorEastAsia"/>
              <w:noProof/>
              <w:lang w:eastAsia="en-GB"/>
            </w:rPr>
          </w:pPr>
          <w:hyperlink w:anchor="_Toc4589271" w:history="1">
            <w:r w:rsidR="00CE0689" w:rsidRPr="00794030">
              <w:rPr>
                <w:rStyle w:val="Hyperlink"/>
                <w:noProof/>
              </w:rPr>
              <w:t xml:space="preserve">1.6 </w:t>
            </w:r>
            <w:r w:rsidR="00CE0689" w:rsidRPr="00794030">
              <w:rPr>
                <w:rStyle w:val="Hyperlink"/>
                <w:i/>
                <w:noProof/>
              </w:rPr>
              <w:t>Drosophila</w:t>
            </w:r>
            <w:r w:rsidR="00CE0689" w:rsidRPr="00794030">
              <w:rPr>
                <w:rStyle w:val="Hyperlink"/>
                <w:noProof/>
              </w:rPr>
              <w:t xml:space="preserve"> hematopoiesis</w:t>
            </w:r>
            <w:r w:rsidR="00CE0689">
              <w:rPr>
                <w:noProof/>
                <w:webHidden/>
              </w:rPr>
              <w:tab/>
            </w:r>
            <w:r w:rsidR="00CE0689">
              <w:rPr>
                <w:noProof/>
                <w:webHidden/>
              </w:rPr>
              <w:fldChar w:fldCharType="begin"/>
            </w:r>
            <w:r w:rsidR="00CE0689">
              <w:rPr>
                <w:noProof/>
                <w:webHidden/>
              </w:rPr>
              <w:instrText xml:space="preserve"> PAGEREF _Toc4589271 \h </w:instrText>
            </w:r>
            <w:r w:rsidR="00CE0689">
              <w:rPr>
                <w:noProof/>
                <w:webHidden/>
              </w:rPr>
            </w:r>
            <w:r w:rsidR="00CE0689">
              <w:rPr>
                <w:noProof/>
                <w:webHidden/>
              </w:rPr>
              <w:fldChar w:fldCharType="separate"/>
            </w:r>
            <w:r w:rsidR="00CE0689">
              <w:rPr>
                <w:noProof/>
                <w:webHidden/>
              </w:rPr>
              <w:t>23</w:t>
            </w:r>
            <w:r w:rsidR="00CE0689">
              <w:rPr>
                <w:noProof/>
                <w:webHidden/>
              </w:rPr>
              <w:fldChar w:fldCharType="end"/>
            </w:r>
          </w:hyperlink>
        </w:p>
        <w:p w14:paraId="0FD8C24B" w14:textId="1764B33A" w:rsidR="00CE0689" w:rsidRDefault="004C61E0">
          <w:pPr>
            <w:pStyle w:val="TOC2"/>
            <w:tabs>
              <w:tab w:val="right" w:leader="dot" w:pos="9016"/>
            </w:tabs>
            <w:rPr>
              <w:rFonts w:eastAsiaTheme="minorEastAsia"/>
              <w:noProof/>
              <w:lang w:eastAsia="en-GB"/>
            </w:rPr>
          </w:pPr>
          <w:hyperlink w:anchor="_Toc4589272" w:history="1">
            <w:r w:rsidR="00CE0689" w:rsidRPr="00794030">
              <w:rPr>
                <w:rStyle w:val="Hyperlink"/>
                <w:noProof/>
              </w:rPr>
              <w:t xml:space="preserve">1.7 Evidence for macrophage heterogeneity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_Toc4589272 \h </w:instrText>
            </w:r>
            <w:r w:rsidR="00CE0689">
              <w:rPr>
                <w:noProof/>
                <w:webHidden/>
              </w:rPr>
            </w:r>
            <w:r w:rsidR="00CE0689">
              <w:rPr>
                <w:noProof/>
                <w:webHidden/>
              </w:rPr>
              <w:fldChar w:fldCharType="separate"/>
            </w:r>
            <w:r w:rsidR="00CE0689">
              <w:rPr>
                <w:noProof/>
                <w:webHidden/>
              </w:rPr>
              <w:t>28</w:t>
            </w:r>
            <w:r w:rsidR="00CE0689">
              <w:rPr>
                <w:noProof/>
                <w:webHidden/>
              </w:rPr>
              <w:fldChar w:fldCharType="end"/>
            </w:r>
          </w:hyperlink>
        </w:p>
        <w:p w14:paraId="09A27F55" w14:textId="6019DEBC" w:rsidR="00CE0689" w:rsidRDefault="004C61E0">
          <w:pPr>
            <w:pStyle w:val="TOC2"/>
            <w:tabs>
              <w:tab w:val="right" w:leader="dot" w:pos="9016"/>
            </w:tabs>
            <w:rPr>
              <w:rFonts w:eastAsiaTheme="minorEastAsia"/>
              <w:noProof/>
              <w:lang w:eastAsia="en-GB"/>
            </w:rPr>
          </w:pPr>
          <w:hyperlink w:anchor="_Toc4589273" w:history="1">
            <w:r w:rsidR="00CE0689" w:rsidRPr="00794030">
              <w:rPr>
                <w:rStyle w:val="Hyperlink"/>
                <w:noProof/>
              </w:rPr>
              <w:t>1.8 Hypothesis and aims</w:t>
            </w:r>
            <w:r w:rsidR="00CE0689">
              <w:rPr>
                <w:noProof/>
                <w:webHidden/>
              </w:rPr>
              <w:tab/>
            </w:r>
            <w:r w:rsidR="00CE0689">
              <w:rPr>
                <w:noProof/>
                <w:webHidden/>
              </w:rPr>
              <w:fldChar w:fldCharType="begin"/>
            </w:r>
            <w:r w:rsidR="00CE0689">
              <w:rPr>
                <w:noProof/>
                <w:webHidden/>
              </w:rPr>
              <w:instrText xml:space="preserve"> PAGEREF _Toc4589273 \h </w:instrText>
            </w:r>
            <w:r w:rsidR="00CE0689">
              <w:rPr>
                <w:noProof/>
                <w:webHidden/>
              </w:rPr>
            </w:r>
            <w:r w:rsidR="00CE0689">
              <w:rPr>
                <w:noProof/>
                <w:webHidden/>
              </w:rPr>
              <w:fldChar w:fldCharType="separate"/>
            </w:r>
            <w:r w:rsidR="00CE0689">
              <w:rPr>
                <w:noProof/>
                <w:webHidden/>
              </w:rPr>
              <w:t>30</w:t>
            </w:r>
            <w:r w:rsidR="00CE0689">
              <w:rPr>
                <w:noProof/>
                <w:webHidden/>
              </w:rPr>
              <w:fldChar w:fldCharType="end"/>
            </w:r>
          </w:hyperlink>
        </w:p>
        <w:p w14:paraId="39FB8951" w14:textId="4A875277" w:rsidR="00CE0689" w:rsidRDefault="004C61E0">
          <w:pPr>
            <w:pStyle w:val="TOC1"/>
            <w:tabs>
              <w:tab w:val="right" w:leader="dot" w:pos="9016"/>
            </w:tabs>
            <w:rPr>
              <w:rFonts w:eastAsiaTheme="minorEastAsia"/>
              <w:noProof/>
              <w:lang w:eastAsia="en-GB"/>
            </w:rPr>
          </w:pPr>
          <w:hyperlink w:anchor="_Toc4589274" w:history="1">
            <w:r w:rsidR="00CE0689" w:rsidRPr="00794030">
              <w:rPr>
                <w:rStyle w:val="Hyperlink"/>
                <w:noProof/>
              </w:rPr>
              <w:t>Chapter 2. Materials and Methods</w:t>
            </w:r>
            <w:r w:rsidR="00CE0689">
              <w:rPr>
                <w:noProof/>
                <w:webHidden/>
              </w:rPr>
              <w:tab/>
            </w:r>
            <w:r w:rsidR="00CE0689">
              <w:rPr>
                <w:noProof/>
                <w:webHidden/>
              </w:rPr>
              <w:fldChar w:fldCharType="begin"/>
            </w:r>
            <w:r w:rsidR="00CE0689">
              <w:rPr>
                <w:noProof/>
                <w:webHidden/>
              </w:rPr>
              <w:instrText xml:space="preserve"> PAGEREF _Toc4589274 \h </w:instrText>
            </w:r>
            <w:r w:rsidR="00CE0689">
              <w:rPr>
                <w:noProof/>
                <w:webHidden/>
              </w:rPr>
            </w:r>
            <w:r w:rsidR="00CE0689">
              <w:rPr>
                <w:noProof/>
                <w:webHidden/>
              </w:rPr>
              <w:fldChar w:fldCharType="separate"/>
            </w:r>
            <w:r w:rsidR="00CE0689">
              <w:rPr>
                <w:noProof/>
                <w:webHidden/>
              </w:rPr>
              <w:t>32</w:t>
            </w:r>
            <w:r w:rsidR="00CE0689">
              <w:rPr>
                <w:noProof/>
                <w:webHidden/>
              </w:rPr>
              <w:fldChar w:fldCharType="end"/>
            </w:r>
          </w:hyperlink>
        </w:p>
        <w:p w14:paraId="01CFAD10" w14:textId="73F6F774" w:rsidR="00CE0689" w:rsidRDefault="004C61E0">
          <w:pPr>
            <w:pStyle w:val="TOC2"/>
            <w:tabs>
              <w:tab w:val="right" w:leader="dot" w:pos="9016"/>
            </w:tabs>
            <w:rPr>
              <w:rFonts w:eastAsiaTheme="minorEastAsia"/>
              <w:noProof/>
              <w:lang w:eastAsia="en-GB"/>
            </w:rPr>
          </w:pPr>
          <w:hyperlink w:anchor="_Toc4589275" w:history="1">
            <w:r w:rsidR="00CE0689" w:rsidRPr="00794030">
              <w:rPr>
                <w:rStyle w:val="Hyperlink"/>
                <w:noProof/>
              </w:rPr>
              <w:t>2.1 Materials</w:t>
            </w:r>
            <w:r w:rsidR="00CE0689">
              <w:rPr>
                <w:noProof/>
                <w:webHidden/>
              </w:rPr>
              <w:tab/>
            </w:r>
            <w:r w:rsidR="00CE0689">
              <w:rPr>
                <w:noProof/>
                <w:webHidden/>
              </w:rPr>
              <w:fldChar w:fldCharType="begin"/>
            </w:r>
            <w:r w:rsidR="00CE0689">
              <w:rPr>
                <w:noProof/>
                <w:webHidden/>
              </w:rPr>
              <w:instrText xml:space="preserve"> PAGEREF _Toc4589275 \h </w:instrText>
            </w:r>
            <w:r w:rsidR="00CE0689">
              <w:rPr>
                <w:noProof/>
                <w:webHidden/>
              </w:rPr>
            </w:r>
            <w:r w:rsidR="00CE0689">
              <w:rPr>
                <w:noProof/>
                <w:webHidden/>
              </w:rPr>
              <w:fldChar w:fldCharType="separate"/>
            </w:r>
            <w:r w:rsidR="00CE0689">
              <w:rPr>
                <w:noProof/>
                <w:webHidden/>
              </w:rPr>
              <w:t>32</w:t>
            </w:r>
            <w:r w:rsidR="00CE0689">
              <w:rPr>
                <w:noProof/>
                <w:webHidden/>
              </w:rPr>
              <w:fldChar w:fldCharType="end"/>
            </w:r>
          </w:hyperlink>
        </w:p>
        <w:p w14:paraId="172F00FA" w14:textId="69A94898" w:rsidR="00CE0689" w:rsidRDefault="004C61E0">
          <w:pPr>
            <w:pStyle w:val="TOC3"/>
            <w:tabs>
              <w:tab w:val="right" w:leader="dot" w:pos="9016"/>
            </w:tabs>
            <w:rPr>
              <w:rFonts w:eastAsiaTheme="minorEastAsia"/>
              <w:noProof/>
              <w:lang w:eastAsia="en-GB"/>
            </w:rPr>
          </w:pPr>
          <w:hyperlink w:anchor="_Toc4589276" w:history="1">
            <w:r w:rsidR="00CE0689" w:rsidRPr="00794030">
              <w:rPr>
                <w:rStyle w:val="Hyperlink"/>
                <w:noProof/>
              </w:rPr>
              <w:t>2.1.1 Fly stocks used in this study</w:t>
            </w:r>
            <w:r w:rsidR="00CE0689">
              <w:rPr>
                <w:noProof/>
                <w:webHidden/>
              </w:rPr>
              <w:tab/>
            </w:r>
            <w:r w:rsidR="00CE0689">
              <w:rPr>
                <w:noProof/>
                <w:webHidden/>
              </w:rPr>
              <w:fldChar w:fldCharType="begin"/>
            </w:r>
            <w:r w:rsidR="00CE0689">
              <w:rPr>
                <w:noProof/>
                <w:webHidden/>
              </w:rPr>
              <w:instrText xml:space="preserve"> PAGEREF _Toc4589276 \h </w:instrText>
            </w:r>
            <w:r w:rsidR="00CE0689">
              <w:rPr>
                <w:noProof/>
                <w:webHidden/>
              </w:rPr>
            </w:r>
            <w:r w:rsidR="00CE0689">
              <w:rPr>
                <w:noProof/>
                <w:webHidden/>
              </w:rPr>
              <w:fldChar w:fldCharType="separate"/>
            </w:r>
            <w:r w:rsidR="00CE0689">
              <w:rPr>
                <w:noProof/>
                <w:webHidden/>
              </w:rPr>
              <w:t>32</w:t>
            </w:r>
            <w:r w:rsidR="00CE0689">
              <w:rPr>
                <w:noProof/>
                <w:webHidden/>
              </w:rPr>
              <w:fldChar w:fldCharType="end"/>
            </w:r>
          </w:hyperlink>
        </w:p>
        <w:p w14:paraId="01453937" w14:textId="5638D804" w:rsidR="00CE0689" w:rsidRDefault="004C61E0">
          <w:pPr>
            <w:pStyle w:val="TOC3"/>
            <w:tabs>
              <w:tab w:val="right" w:leader="dot" w:pos="9016"/>
            </w:tabs>
            <w:rPr>
              <w:rFonts w:eastAsiaTheme="minorEastAsia"/>
              <w:noProof/>
              <w:lang w:eastAsia="en-GB"/>
            </w:rPr>
          </w:pPr>
          <w:hyperlink w:anchor="_Toc4589277" w:history="1">
            <w:r w:rsidR="00CE0689" w:rsidRPr="00794030">
              <w:rPr>
                <w:rStyle w:val="Hyperlink"/>
                <w:noProof/>
              </w:rPr>
              <w:t>2.1.1.2 The GAL4-UAS system</w:t>
            </w:r>
            <w:r w:rsidR="00CE0689">
              <w:rPr>
                <w:noProof/>
                <w:webHidden/>
              </w:rPr>
              <w:tab/>
            </w:r>
            <w:r w:rsidR="00CE0689">
              <w:rPr>
                <w:noProof/>
                <w:webHidden/>
              </w:rPr>
              <w:fldChar w:fldCharType="begin"/>
            </w:r>
            <w:r w:rsidR="00CE0689">
              <w:rPr>
                <w:noProof/>
                <w:webHidden/>
              </w:rPr>
              <w:instrText xml:space="preserve"> PAGEREF _Toc4589277 \h </w:instrText>
            </w:r>
            <w:r w:rsidR="00CE0689">
              <w:rPr>
                <w:noProof/>
                <w:webHidden/>
              </w:rPr>
            </w:r>
            <w:r w:rsidR="00CE0689">
              <w:rPr>
                <w:noProof/>
                <w:webHidden/>
              </w:rPr>
              <w:fldChar w:fldCharType="separate"/>
            </w:r>
            <w:r w:rsidR="00CE0689">
              <w:rPr>
                <w:noProof/>
                <w:webHidden/>
              </w:rPr>
              <w:t>32</w:t>
            </w:r>
            <w:r w:rsidR="00CE0689">
              <w:rPr>
                <w:noProof/>
                <w:webHidden/>
              </w:rPr>
              <w:fldChar w:fldCharType="end"/>
            </w:r>
          </w:hyperlink>
        </w:p>
        <w:p w14:paraId="57B0948C" w14:textId="612CA063" w:rsidR="00CE0689" w:rsidRDefault="004C61E0">
          <w:pPr>
            <w:pStyle w:val="TOC3"/>
            <w:tabs>
              <w:tab w:val="right" w:leader="dot" w:pos="9016"/>
            </w:tabs>
            <w:rPr>
              <w:rFonts w:eastAsiaTheme="minorEastAsia"/>
              <w:noProof/>
              <w:lang w:eastAsia="en-GB"/>
            </w:rPr>
          </w:pPr>
          <w:hyperlink w:anchor="_Toc4589278" w:history="1">
            <w:r w:rsidR="00CE0689" w:rsidRPr="00794030">
              <w:rPr>
                <w:rStyle w:val="Hyperlink"/>
                <w:noProof/>
              </w:rPr>
              <w:t>2.1.2 Immunostaining reagents</w:t>
            </w:r>
            <w:r w:rsidR="00CE0689">
              <w:rPr>
                <w:noProof/>
                <w:webHidden/>
              </w:rPr>
              <w:tab/>
            </w:r>
            <w:r w:rsidR="00CE0689">
              <w:rPr>
                <w:noProof/>
                <w:webHidden/>
              </w:rPr>
              <w:fldChar w:fldCharType="begin"/>
            </w:r>
            <w:r w:rsidR="00CE0689">
              <w:rPr>
                <w:noProof/>
                <w:webHidden/>
              </w:rPr>
              <w:instrText xml:space="preserve"> PAGEREF _Toc4589278 \h </w:instrText>
            </w:r>
            <w:r w:rsidR="00CE0689">
              <w:rPr>
                <w:noProof/>
                <w:webHidden/>
              </w:rPr>
            </w:r>
            <w:r w:rsidR="00CE0689">
              <w:rPr>
                <w:noProof/>
                <w:webHidden/>
              </w:rPr>
              <w:fldChar w:fldCharType="separate"/>
            </w:r>
            <w:r w:rsidR="00CE0689">
              <w:rPr>
                <w:noProof/>
                <w:webHidden/>
              </w:rPr>
              <w:t>35</w:t>
            </w:r>
            <w:r w:rsidR="00CE0689">
              <w:rPr>
                <w:noProof/>
                <w:webHidden/>
              </w:rPr>
              <w:fldChar w:fldCharType="end"/>
            </w:r>
          </w:hyperlink>
        </w:p>
        <w:p w14:paraId="2C3FA716" w14:textId="3C33DD1A" w:rsidR="00CE0689" w:rsidRDefault="004C61E0">
          <w:pPr>
            <w:pStyle w:val="TOC3"/>
            <w:tabs>
              <w:tab w:val="right" w:leader="dot" w:pos="9016"/>
            </w:tabs>
            <w:rPr>
              <w:rFonts w:eastAsiaTheme="minorEastAsia"/>
              <w:noProof/>
              <w:lang w:eastAsia="en-GB"/>
            </w:rPr>
          </w:pPr>
          <w:hyperlink w:anchor="_Toc4589279" w:history="1">
            <w:r w:rsidR="00CE0689" w:rsidRPr="00794030">
              <w:rPr>
                <w:rStyle w:val="Hyperlink"/>
                <w:noProof/>
              </w:rPr>
              <w:t>2.1.3 Fluorescent reagents used</w:t>
            </w:r>
            <w:r w:rsidR="00CE0689">
              <w:rPr>
                <w:noProof/>
                <w:webHidden/>
              </w:rPr>
              <w:tab/>
            </w:r>
            <w:r w:rsidR="00CE0689">
              <w:rPr>
                <w:noProof/>
                <w:webHidden/>
              </w:rPr>
              <w:fldChar w:fldCharType="begin"/>
            </w:r>
            <w:r w:rsidR="00CE0689">
              <w:rPr>
                <w:noProof/>
                <w:webHidden/>
              </w:rPr>
              <w:instrText xml:space="preserve"> PAGEREF _Toc4589279 \h </w:instrText>
            </w:r>
            <w:r w:rsidR="00CE0689">
              <w:rPr>
                <w:noProof/>
                <w:webHidden/>
              </w:rPr>
            </w:r>
            <w:r w:rsidR="00CE0689">
              <w:rPr>
                <w:noProof/>
                <w:webHidden/>
              </w:rPr>
              <w:fldChar w:fldCharType="separate"/>
            </w:r>
            <w:r w:rsidR="00CE0689">
              <w:rPr>
                <w:noProof/>
                <w:webHidden/>
              </w:rPr>
              <w:t>36</w:t>
            </w:r>
            <w:r w:rsidR="00CE0689">
              <w:rPr>
                <w:noProof/>
                <w:webHidden/>
              </w:rPr>
              <w:fldChar w:fldCharType="end"/>
            </w:r>
          </w:hyperlink>
        </w:p>
        <w:p w14:paraId="20F9CF56" w14:textId="4EB188FC" w:rsidR="00CE0689" w:rsidRDefault="004C61E0">
          <w:pPr>
            <w:pStyle w:val="TOC2"/>
            <w:tabs>
              <w:tab w:val="right" w:leader="dot" w:pos="9016"/>
            </w:tabs>
            <w:rPr>
              <w:rFonts w:eastAsiaTheme="minorEastAsia"/>
              <w:noProof/>
              <w:lang w:eastAsia="en-GB"/>
            </w:rPr>
          </w:pPr>
          <w:hyperlink w:anchor="_Toc4589280" w:history="1">
            <w:r w:rsidR="00CE0689" w:rsidRPr="00794030">
              <w:rPr>
                <w:rStyle w:val="Hyperlink"/>
                <w:noProof/>
              </w:rPr>
              <w:t>2.2 Fly work</w:t>
            </w:r>
            <w:r w:rsidR="00CE0689">
              <w:rPr>
                <w:noProof/>
                <w:webHidden/>
              </w:rPr>
              <w:tab/>
            </w:r>
            <w:r w:rsidR="00CE0689">
              <w:rPr>
                <w:noProof/>
                <w:webHidden/>
              </w:rPr>
              <w:fldChar w:fldCharType="begin"/>
            </w:r>
            <w:r w:rsidR="00CE0689">
              <w:rPr>
                <w:noProof/>
                <w:webHidden/>
              </w:rPr>
              <w:instrText xml:space="preserve"> PAGEREF _Toc4589280 \h </w:instrText>
            </w:r>
            <w:r w:rsidR="00CE0689">
              <w:rPr>
                <w:noProof/>
                <w:webHidden/>
              </w:rPr>
            </w:r>
            <w:r w:rsidR="00CE0689">
              <w:rPr>
                <w:noProof/>
                <w:webHidden/>
              </w:rPr>
              <w:fldChar w:fldCharType="separate"/>
            </w:r>
            <w:r w:rsidR="00CE0689">
              <w:rPr>
                <w:noProof/>
                <w:webHidden/>
              </w:rPr>
              <w:t>36</w:t>
            </w:r>
            <w:r w:rsidR="00CE0689">
              <w:rPr>
                <w:noProof/>
                <w:webHidden/>
              </w:rPr>
              <w:fldChar w:fldCharType="end"/>
            </w:r>
          </w:hyperlink>
        </w:p>
        <w:p w14:paraId="2A93CFA4" w14:textId="1FD6582D" w:rsidR="00CE0689" w:rsidRDefault="004C61E0">
          <w:pPr>
            <w:pStyle w:val="TOC3"/>
            <w:tabs>
              <w:tab w:val="right" w:leader="dot" w:pos="9016"/>
            </w:tabs>
            <w:rPr>
              <w:rFonts w:eastAsiaTheme="minorEastAsia"/>
              <w:noProof/>
              <w:lang w:eastAsia="en-GB"/>
            </w:rPr>
          </w:pPr>
          <w:hyperlink w:anchor="_Toc4589281" w:history="1">
            <w:r w:rsidR="00CE0689" w:rsidRPr="00794030">
              <w:rPr>
                <w:rStyle w:val="Hyperlink"/>
                <w:noProof/>
              </w:rPr>
              <w:t>2.2.1 Housing conditions</w:t>
            </w:r>
            <w:r w:rsidR="00CE0689">
              <w:rPr>
                <w:noProof/>
                <w:webHidden/>
              </w:rPr>
              <w:tab/>
            </w:r>
            <w:r w:rsidR="00CE0689">
              <w:rPr>
                <w:noProof/>
                <w:webHidden/>
              </w:rPr>
              <w:fldChar w:fldCharType="begin"/>
            </w:r>
            <w:r w:rsidR="00CE0689">
              <w:rPr>
                <w:noProof/>
                <w:webHidden/>
              </w:rPr>
              <w:instrText xml:space="preserve"> PAGEREF _Toc4589281 \h </w:instrText>
            </w:r>
            <w:r w:rsidR="00CE0689">
              <w:rPr>
                <w:noProof/>
                <w:webHidden/>
              </w:rPr>
            </w:r>
            <w:r w:rsidR="00CE0689">
              <w:rPr>
                <w:noProof/>
                <w:webHidden/>
              </w:rPr>
              <w:fldChar w:fldCharType="separate"/>
            </w:r>
            <w:r w:rsidR="00CE0689">
              <w:rPr>
                <w:noProof/>
                <w:webHidden/>
              </w:rPr>
              <w:t>36</w:t>
            </w:r>
            <w:r w:rsidR="00CE0689">
              <w:rPr>
                <w:noProof/>
                <w:webHidden/>
              </w:rPr>
              <w:fldChar w:fldCharType="end"/>
            </w:r>
          </w:hyperlink>
        </w:p>
        <w:p w14:paraId="03917F4E" w14:textId="522E5898" w:rsidR="00CE0689" w:rsidRDefault="004C61E0">
          <w:pPr>
            <w:pStyle w:val="TOC3"/>
            <w:tabs>
              <w:tab w:val="right" w:leader="dot" w:pos="9016"/>
            </w:tabs>
            <w:rPr>
              <w:rFonts w:eastAsiaTheme="minorEastAsia"/>
              <w:noProof/>
              <w:lang w:eastAsia="en-GB"/>
            </w:rPr>
          </w:pPr>
          <w:hyperlink w:anchor="_Toc4589282" w:history="1">
            <w:r w:rsidR="00CE0689" w:rsidRPr="00794030">
              <w:rPr>
                <w:rStyle w:val="Hyperlink"/>
                <w:noProof/>
              </w:rPr>
              <w:t>2.2.2 Collection of flies and crosses</w:t>
            </w:r>
            <w:r w:rsidR="00CE0689">
              <w:rPr>
                <w:noProof/>
                <w:webHidden/>
              </w:rPr>
              <w:tab/>
            </w:r>
            <w:r w:rsidR="00CE0689">
              <w:rPr>
                <w:noProof/>
                <w:webHidden/>
              </w:rPr>
              <w:fldChar w:fldCharType="begin"/>
            </w:r>
            <w:r w:rsidR="00CE0689">
              <w:rPr>
                <w:noProof/>
                <w:webHidden/>
              </w:rPr>
              <w:instrText xml:space="preserve"> PAGEREF _Toc4589282 \h </w:instrText>
            </w:r>
            <w:r w:rsidR="00CE0689">
              <w:rPr>
                <w:noProof/>
                <w:webHidden/>
              </w:rPr>
            </w:r>
            <w:r w:rsidR="00CE0689">
              <w:rPr>
                <w:noProof/>
                <w:webHidden/>
              </w:rPr>
              <w:fldChar w:fldCharType="separate"/>
            </w:r>
            <w:r w:rsidR="00CE0689">
              <w:rPr>
                <w:noProof/>
                <w:webHidden/>
              </w:rPr>
              <w:t>37</w:t>
            </w:r>
            <w:r w:rsidR="00CE0689">
              <w:rPr>
                <w:noProof/>
                <w:webHidden/>
              </w:rPr>
              <w:fldChar w:fldCharType="end"/>
            </w:r>
          </w:hyperlink>
        </w:p>
        <w:p w14:paraId="7FCD73B4" w14:textId="742BD38B" w:rsidR="00CE0689" w:rsidRDefault="004C61E0">
          <w:pPr>
            <w:pStyle w:val="TOC3"/>
            <w:tabs>
              <w:tab w:val="right" w:leader="dot" w:pos="9016"/>
            </w:tabs>
            <w:rPr>
              <w:rFonts w:eastAsiaTheme="minorEastAsia"/>
              <w:noProof/>
              <w:lang w:eastAsia="en-GB"/>
            </w:rPr>
          </w:pPr>
          <w:hyperlink w:anchor="_Toc4589283" w:history="1">
            <w:r w:rsidR="00CE0689" w:rsidRPr="00794030">
              <w:rPr>
                <w:rStyle w:val="Hyperlink"/>
                <w:noProof/>
              </w:rPr>
              <w:t>2.2.3 Collection of embryos</w:t>
            </w:r>
            <w:r w:rsidR="00CE0689">
              <w:rPr>
                <w:noProof/>
                <w:webHidden/>
              </w:rPr>
              <w:tab/>
            </w:r>
            <w:r w:rsidR="00CE0689">
              <w:rPr>
                <w:noProof/>
                <w:webHidden/>
              </w:rPr>
              <w:fldChar w:fldCharType="begin"/>
            </w:r>
            <w:r w:rsidR="00CE0689">
              <w:rPr>
                <w:noProof/>
                <w:webHidden/>
              </w:rPr>
              <w:instrText xml:space="preserve"> PAGEREF _Toc4589283 \h </w:instrText>
            </w:r>
            <w:r w:rsidR="00CE0689">
              <w:rPr>
                <w:noProof/>
                <w:webHidden/>
              </w:rPr>
            </w:r>
            <w:r w:rsidR="00CE0689">
              <w:rPr>
                <w:noProof/>
                <w:webHidden/>
              </w:rPr>
              <w:fldChar w:fldCharType="separate"/>
            </w:r>
            <w:r w:rsidR="00CE0689">
              <w:rPr>
                <w:noProof/>
                <w:webHidden/>
              </w:rPr>
              <w:t>37</w:t>
            </w:r>
            <w:r w:rsidR="00CE0689">
              <w:rPr>
                <w:noProof/>
                <w:webHidden/>
              </w:rPr>
              <w:fldChar w:fldCharType="end"/>
            </w:r>
          </w:hyperlink>
        </w:p>
        <w:p w14:paraId="07DCAC37" w14:textId="2BA81246" w:rsidR="00CE0689" w:rsidRDefault="004C61E0">
          <w:pPr>
            <w:pStyle w:val="TOC3"/>
            <w:tabs>
              <w:tab w:val="right" w:leader="dot" w:pos="9016"/>
            </w:tabs>
            <w:rPr>
              <w:rFonts w:eastAsiaTheme="minorEastAsia"/>
              <w:noProof/>
              <w:lang w:eastAsia="en-GB"/>
            </w:rPr>
          </w:pPr>
          <w:hyperlink w:anchor="_Toc4589284" w:history="1">
            <w:r w:rsidR="00CE0689" w:rsidRPr="00794030">
              <w:rPr>
                <w:rStyle w:val="Hyperlink"/>
                <w:noProof/>
              </w:rPr>
              <w:t>2.2.4 Collection of larvae</w:t>
            </w:r>
            <w:r w:rsidR="00CE0689">
              <w:rPr>
                <w:noProof/>
                <w:webHidden/>
              </w:rPr>
              <w:tab/>
            </w:r>
            <w:r w:rsidR="00CE0689">
              <w:rPr>
                <w:noProof/>
                <w:webHidden/>
              </w:rPr>
              <w:fldChar w:fldCharType="begin"/>
            </w:r>
            <w:r w:rsidR="00CE0689">
              <w:rPr>
                <w:noProof/>
                <w:webHidden/>
              </w:rPr>
              <w:instrText xml:space="preserve"> PAGEREF _Toc4589284 \h </w:instrText>
            </w:r>
            <w:r w:rsidR="00CE0689">
              <w:rPr>
                <w:noProof/>
                <w:webHidden/>
              </w:rPr>
            </w:r>
            <w:r w:rsidR="00CE0689">
              <w:rPr>
                <w:noProof/>
                <w:webHidden/>
              </w:rPr>
              <w:fldChar w:fldCharType="separate"/>
            </w:r>
            <w:r w:rsidR="00CE0689">
              <w:rPr>
                <w:noProof/>
                <w:webHidden/>
              </w:rPr>
              <w:t>37</w:t>
            </w:r>
            <w:r w:rsidR="00CE0689">
              <w:rPr>
                <w:noProof/>
                <w:webHidden/>
              </w:rPr>
              <w:fldChar w:fldCharType="end"/>
            </w:r>
          </w:hyperlink>
        </w:p>
        <w:p w14:paraId="37C77C25" w14:textId="20B91D88" w:rsidR="00CE0689" w:rsidRDefault="004C61E0">
          <w:pPr>
            <w:pStyle w:val="TOC3"/>
            <w:tabs>
              <w:tab w:val="right" w:leader="dot" w:pos="9016"/>
            </w:tabs>
            <w:rPr>
              <w:rFonts w:eastAsiaTheme="minorEastAsia"/>
              <w:noProof/>
              <w:lang w:eastAsia="en-GB"/>
            </w:rPr>
          </w:pPr>
          <w:hyperlink w:anchor="_Toc4589285" w:history="1">
            <w:r w:rsidR="00CE0689" w:rsidRPr="00794030">
              <w:rPr>
                <w:rStyle w:val="Hyperlink"/>
                <w:noProof/>
              </w:rPr>
              <w:t>2.2.5 Staging embryos and larvae</w:t>
            </w:r>
            <w:r w:rsidR="00CE0689">
              <w:rPr>
                <w:noProof/>
                <w:webHidden/>
              </w:rPr>
              <w:tab/>
            </w:r>
            <w:r w:rsidR="00CE0689">
              <w:rPr>
                <w:noProof/>
                <w:webHidden/>
              </w:rPr>
              <w:fldChar w:fldCharType="begin"/>
            </w:r>
            <w:r w:rsidR="00CE0689">
              <w:rPr>
                <w:noProof/>
                <w:webHidden/>
              </w:rPr>
              <w:instrText xml:space="preserve"> PAGEREF _Toc4589285 \h </w:instrText>
            </w:r>
            <w:r w:rsidR="00CE0689">
              <w:rPr>
                <w:noProof/>
                <w:webHidden/>
              </w:rPr>
            </w:r>
            <w:r w:rsidR="00CE0689">
              <w:rPr>
                <w:noProof/>
                <w:webHidden/>
              </w:rPr>
              <w:fldChar w:fldCharType="separate"/>
            </w:r>
            <w:r w:rsidR="00CE0689">
              <w:rPr>
                <w:noProof/>
                <w:webHidden/>
              </w:rPr>
              <w:t>37</w:t>
            </w:r>
            <w:r w:rsidR="00CE0689">
              <w:rPr>
                <w:noProof/>
                <w:webHidden/>
              </w:rPr>
              <w:fldChar w:fldCharType="end"/>
            </w:r>
          </w:hyperlink>
        </w:p>
        <w:p w14:paraId="7AF259D3" w14:textId="19F5E62F" w:rsidR="00CE0689" w:rsidRDefault="004C61E0">
          <w:pPr>
            <w:pStyle w:val="TOC2"/>
            <w:tabs>
              <w:tab w:val="right" w:leader="dot" w:pos="9016"/>
            </w:tabs>
            <w:rPr>
              <w:rFonts w:eastAsiaTheme="minorEastAsia"/>
              <w:noProof/>
              <w:lang w:eastAsia="en-GB"/>
            </w:rPr>
          </w:pPr>
          <w:hyperlink w:anchor="_Toc4589286" w:history="1">
            <w:r w:rsidR="00CE0689" w:rsidRPr="00794030">
              <w:rPr>
                <w:rStyle w:val="Hyperlink"/>
                <w:noProof/>
              </w:rPr>
              <w:t>2.3 Live samples</w:t>
            </w:r>
            <w:r w:rsidR="00CE0689">
              <w:rPr>
                <w:noProof/>
                <w:webHidden/>
              </w:rPr>
              <w:tab/>
            </w:r>
            <w:r w:rsidR="00CE0689">
              <w:rPr>
                <w:noProof/>
                <w:webHidden/>
              </w:rPr>
              <w:fldChar w:fldCharType="begin"/>
            </w:r>
            <w:r w:rsidR="00CE0689">
              <w:rPr>
                <w:noProof/>
                <w:webHidden/>
              </w:rPr>
              <w:instrText xml:space="preserve"> PAGEREF _Toc4589286 \h </w:instrText>
            </w:r>
            <w:r w:rsidR="00CE0689">
              <w:rPr>
                <w:noProof/>
                <w:webHidden/>
              </w:rPr>
            </w:r>
            <w:r w:rsidR="00CE0689">
              <w:rPr>
                <w:noProof/>
                <w:webHidden/>
              </w:rPr>
              <w:fldChar w:fldCharType="separate"/>
            </w:r>
            <w:r w:rsidR="00CE0689">
              <w:rPr>
                <w:noProof/>
                <w:webHidden/>
              </w:rPr>
              <w:t>38</w:t>
            </w:r>
            <w:r w:rsidR="00CE0689">
              <w:rPr>
                <w:noProof/>
                <w:webHidden/>
              </w:rPr>
              <w:fldChar w:fldCharType="end"/>
            </w:r>
          </w:hyperlink>
        </w:p>
        <w:p w14:paraId="3E6CF14F" w14:textId="19822FD2" w:rsidR="00CE0689" w:rsidRDefault="004C61E0">
          <w:pPr>
            <w:pStyle w:val="TOC3"/>
            <w:tabs>
              <w:tab w:val="right" w:leader="dot" w:pos="9016"/>
            </w:tabs>
            <w:rPr>
              <w:rFonts w:eastAsiaTheme="minorEastAsia"/>
              <w:noProof/>
              <w:lang w:eastAsia="en-GB"/>
            </w:rPr>
          </w:pPr>
          <w:hyperlink w:anchor="_Toc4589287" w:history="1">
            <w:r w:rsidR="00CE0689" w:rsidRPr="00794030">
              <w:rPr>
                <w:rStyle w:val="Hyperlink"/>
                <w:noProof/>
              </w:rPr>
              <w:t>2.3.1 Mounting embryos for live imaging</w:t>
            </w:r>
            <w:r w:rsidR="00CE0689">
              <w:rPr>
                <w:noProof/>
                <w:webHidden/>
              </w:rPr>
              <w:tab/>
            </w:r>
            <w:r w:rsidR="00CE0689">
              <w:rPr>
                <w:noProof/>
                <w:webHidden/>
              </w:rPr>
              <w:fldChar w:fldCharType="begin"/>
            </w:r>
            <w:r w:rsidR="00CE0689">
              <w:rPr>
                <w:noProof/>
                <w:webHidden/>
              </w:rPr>
              <w:instrText xml:space="preserve"> PAGEREF _Toc4589287 \h </w:instrText>
            </w:r>
            <w:r w:rsidR="00CE0689">
              <w:rPr>
                <w:noProof/>
                <w:webHidden/>
              </w:rPr>
            </w:r>
            <w:r w:rsidR="00CE0689">
              <w:rPr>
                <w:noProof/>
                <w:webHidden/>
              </w:rPr>
              <w:fldChar w:fldCharType="separate"/>
            </w:r>
            <w:r w:rsidR="00CE0689">
              <w:rPr>
                <w:noProof/>
                <w:webHidden/>
              </w:rPr>
              <w:t>38</w:t>
            </w:r>
            <w:r w:rsidR="00CE0689">
              <w:rPr>
                <w:noProof/>
                <w:webHidden/>
              </w:rPr>
              <w:fldChar w:fldCharType="end"/>
            </w:r>
          </w:hyperlink>
        </w:p>
        <w:p w14:paraId="74722EB3" w14:textId="2B51B2A4" w:rsidR="00CE0689" w:rsidRDefault="004C61E0">
          <w:pPr>
            <w:pStyle w:val="TOC3"/>
            <w:tabs>
              <w:tab w:val="right" w:leader="dot" w:pos="9016"/>
            </w:tabs>
            <w:rPr>
              <w:rFonts w:eastAsiaTheme="minorEastAsia"/>
              <w:noProof/>
              <w:lang w:eastAsia="en-GB"/>
            </w:rPr>
          </w:pPr>
          <w:hyperlink w:anchor="_Toc4589288" w:history="1">
            <w:r w:rsidR="00CE0689" w:rsidRPr="00794030">
              <w:rPr>
                <w:rStyle w:val="Hyperlink"/>
                <w:noProof/>
              </w:rPr>
              <w:t>2.3.2 Wounding</w:t>
            </w:r>
            <w:r w:rsidR="00CE0689">
              <w:rPr>
                <w:noProof/>
                <w:webHidden/>
              </w:rPr>
              <w:tab/>
            </w:r>
            <w:r w:rsidR="00CE0689">
              <w:rPr>
                <w:noProof/>
                <w:webHidden/>
              </w:rPr>
              <w:fldChar w:fldCharType="begin"/>
            </w:r>
            <w:r w:rsidR="00CE0689">
              <w:rPr>
                <w:noProof/>
                <w:webHidden/>
              </w:rPr>
              <w:instrText xml:space="preserve"> PAGEREF _Toc4589288 \h </w:instrText>
            </w:r>
            <w:r w:rsidR="00CE0689">
              <w:rPr>
                <w:noProof/>
                <w:webHidden/>
              </w:rPr>
            </w:r>
            <w:r w:rsidR="00CE0689">
              <w:rPr>
                <w:noProof/>
                <w:webHidden/>
              </w:rPr>
              <w:fldChar w:fldCharType="separate"/>
            </w:r>
            <w:r w:rsidR="00CE0689">
              <w:rPr>
                <w:noProof/>
                <w:webHidden/>
              </w:rPr>
              <w:t>38</w:t>
            </w:r>
            <w:r w:rsidR="00CE0689">
              <w:rPr>
                <w:noProof/>
                <w:webHidden/>
              </w:rPr>
              <w:fldChar w:fldCharType="end"/>
            </w:r>
          </w:hyperlink>
        </w:p>
        <w:p w14:paraId="5B768269" w14:textId="2644AF1A" w:rsidR="00CE0689" w:rsidRDefault="004C61E0">
          <w:pPr>
            <w:pStyle w:val="TOC3"/>
            <w:tabs>
              <w:tab w:val="right" w:leader="dot" w:pos="9016"/>
            </w:tabs>
            <w:rPr>
              <w:rFonts w:eastAsiaTheme="minorEastAsia"/>
              <w:noProof/>
              <w:lang w:eastAsia="en-GB"/>
            </w:rPr>
          </w:pPr>
          <w:hyperlink w:anchor="_Toc4589289" w:history="1">
            <w:r w:rsidR="00CE0689" w:rsidRPr="00794030">
              <w:rPr>
                <w:rStyle w:val="Hyperlink"/>
                <w:noProof/>
              </w:rPr>
              <w:t>2.3.3 pHRodo injections</w:t>
            </w:r>
            <w:r w:rsidR="00CE0689">
              <w:rPr>
                <w:noProof/>
                <w:webHidden/>
              </w:rPr>
              <w:tab/>
            </w:r>
            <w:r w:rsidR="00CE0689">
              <w:rPr>
                <w:noProof/>
                <w:webHidden/>
              </w:rPr>
              <w:fldChar w:fldCharType="begin"/>
            </w:r>
            <w:r w:rsidR="00CE0689">
              <w:rPr>
                <w:noProof/>
                <w:webHidden/>
              </w:rPr>
              <w:instrText xml:space="preserve"> PAGEREF _Toc4589289 \h </w:instrText>
            </w:r>
            <w:r w:rsidR="00CE0689">
              <w:rPr>
                <w:noProof/>
                <w:webHidden/>
              </w:rPr>
            </w:r>
            <w:r w:rsidR="00CE0689">
              <w:rPr>
                <w:noProof/>
                <w:webHidden/>
              </w:rPr>
              <w:fldChar w:fldCharType="separate"/>
            </w:r>
            <w:r w:rsidR="00CE0689">
              <w:rPr>
                <w:noProof/>
                <w:webHidden/>
              </w:rPr>
              <w:t>39</w:t>
            </w:r>
            <w:r w:rsidR="00CE0689">
              <w:rPr>
                <w:noProof/>
                <w:webHidden/>
              </w:rPr>
              <w:fldChar w:fldCharType="end"/>
            </w:r>
          </w:hyperlink>
        </w:p>
        <w:p w14:paraId="6C75D9DF" w14:textId="5771FA78" w:rsidR="00CE0689" w:rsidRDefault="004C61E0">
          <w:pPr>
            <w:pStyle w:val="TOC3"/>
            <w:tabs>
              <w:tab w:val="right" w:leader="dot" w:pos="9016"/>
            </w:tabs>
            <w:rPr>
              <w:rFonts w:eastAsiaTheme="minorEastAsia"/>
              <w:noProof/>
              <w:lang w:eastAsia="en-GB"/>
            </w:rPr>
          </w:pPr>
          <w:hyperlink w:anchor="_Toc4589290" w:history="1">
            <w:r w:rsidR="00CE0689" w:rsidRPr="00794030">
              <w:rPr>
                <w:rStyle w:val="Hyperlink"/>
                <w:noProof/>
              </w:rPr>
              <w:t>2.3.4 Time-lapse imaging</w:t>
            </w:r>
            <w:r w:rsidR="00CE0689">
              <w:rPr>
                <w:noProof/>
                <w:webHidden/>
              </w:rPr>
              <w:tab/>
            </w:r>
            <w:r w:rsidR="00CE0689">
              <w:rPr>
                <w:noProof/>
                <w:webHidden/>
              </w:rPr>
              <w:fldChar w:fldCharType="begin"/>
            </w:r>
            <w:r w:rsidR="00CE0689">
              <w:rPr>
                <w:noProof/>
                <w:webHidden/>
              </w:rPr>
              <w:instrText xml:space="preserve"> PAGEREF _Toc4589290 \h </w:instrText>
            </w:r>
            <w:r w:rsidR="00CE0689">
              <w:rPr>
                <w:noProof/>
                <w:webHidden/>
              </w:rPr>
            </w:r>
            <w:r w:rsidR="00CE0689">
              <w:rPr>
                <w:noProof/>
                <w:webHidden/>
              </w:rPr>
              <w:fldChar w:fldCharType="separate"/>
            </w:r>
            <w:r w:rsidR="00CE0689">
              <w:rPr>
                <w:noProof/>
                <w:webHidden/>
              </w:rPr>
              <w:t>39</w:t>
            </w:r>
            <w:r w:rsidR="00CE0689">
              <w:rPr>
                <w:noProof/>
                <w:webHidden/>
              </w:rPr>
              <w:fldChar w:fldCharType="end"/>
            </w:r>
          </w:hyperlink>
        </w:p>
        <w:p w14:paraId="00343727" w14:textId="4F437C5B" w:rsidR="00CE0689" w:rsidRDefault="004C61E0">
          <w:pPr>
            <w:pStyle w:val="TOC3"/>
            <w:tabs>
              <w:tab w:val="right" w:leader="dot" w:pos="9016"/>
            </w:tabs>
            <w:rPr>
              <w:rFonts w:eastAsiaTheme="minorEastAsia"/>
              <w:noProof/>
              <w:lang w:eastAsia="en-GB"/>
            </w:rPr>
          </w:pPr>
          <w:hyperlink w:anchor="_Toc4589291" w:history="1">
            <w:r w:rsidR="00CE0689" w:rsidRPr="00794030">
              <w:rPr>
                <w:rStyle w:val="Hyperlink"/>
                <w:noProof/>
              </w:rPr>
              <w:t>2.3.5 Lightsheet imaging</w:t>
            </w:r>
            <w:r w:rsidR="00CE0689">
              <w:rPr>
                <w:noProof/>
                <w:webHidden/>
              </w:rPr>
              <w:tab/>
            </w:r>
            <w:r w:rsidR="00CE0689">
              <w:rPr>
                <w:noProof/>
                <w:webHidden/>
              </w:rPr>
              <w:fldChar w:fldCharType="begin"/>
            </w:r>
            <w:r w:rsidR="00CE0689">
              <w:rPr>
                <w:noProof/>
                <w:webHidden/>
              </w:rPr>
              <w:instrText xml:space="preserve"> PAGEREF _Toc4589291 \h </w:instrText>
            </w:r>
            <w:r w:rsidR="00CE0689">
              <w:rPr>
                <w:noProof/>
                <w:webHidden/>
              </w:rPr>
            </w:r>
            <w:r w:rsidR="00CE0689">
              <w:rPr>
                <w:noProof/>
                <w:webHidden/>
              </w:rPr>
              <w:fldChar w:fldCharType="separate"/>
            </w:r>
            <w:r w:rsidR="00CE0689">
              <w:rPr>
                <w:noProof/>
                <w:webHidden/>
              </w:rPr>
              <w:t>40</w:t>
            </w:r>
            <w:r w:rsidR="00CE0689">
              <w:rPr>
                <w:noProof/>
                <w:webHidden/>
              </w:rPr>
              <w:fldChar w:fldCharType="end"/>
            </w:r>
          </w:hyperlink>
        </w:p>
        <w:p w14:paraId="6E347F73" w14:textId="550C230E" w:rsidR="00CE0689" w:rsidRDefault="004C61E0">
          <w:pPr>
            <w:pStyle w:val="TOC3"/>
            <w:tabs>
              <w:tab w:val="right" w:leader="dot" w:pos="9016"/>
            </w:tabs>
            <w:rPr>
              <w:rFonts w:eastAsiaTheme="minorEastAsia"/>
              <w:noProof/>
              <w:lang w:eastAsia="en-GB"/>
            </w:rPr>
          </w:pPr>
          <w:hyperlink w:anchor="_Toc4589292" w:history="1">
            <w:r w:rsidR="00CE0689" w:rsidRPr="00794030">
              <w:rPr>
                <w:rStyle w:val="Hyperlink"/>
                <w:noProof/>
              </w:rPr>
              <w:t>2.3.6 Reactive Oxygen Species staining</w:t>
            </w:r>
            <w:r w:rsidR="00CE0689">
              <w:rPr>
                <w:noProof/>
                <w:webHidden/>
              </w:rPr>
              <w:tab/>
            </w:r>
            <w:r w:rsidR="00CE0689">
              <w:rPr>
                <w:noProof/>
                <w:webHidden/>
              </w:rPr>
              <w:fldChar w:fldCharType="begin"/>
            </w:r>
            <w:r w:rsidR="00CE0689">
              <w:rPr>
                <w:noProof/>
                <w:webHidden/>
              </w:rPr>
              <w:instrText xml:space="preserve"> PAGEREF _Toc4589292 \h </w:instrText>
            </w:r>
            <w:r w:rsidR="00CE0689">
              <w:rPr>
                <w:noProof/>
                <w:webHidden/>
              </w:rPr>
            </w:r>
            <w:r w:rsidR="00CE0689">
              <w:rPr>
                <w:noProof/>
                <w:webHidden/>
              </w:rPr>
              <w:fldChar w:fldCharType="separate"/>
            </w:r>
            <w:r w:rsidR="00CE0689">
              <w:rPr>
                <w:noProof/>
                <w:webHidden/>
              </w:rPr>
              <w:t>40</w:t>
            </w:r>
            <w:r w:rsidR="00CE0689">
              <w:rPr>
                <w:noProof/>
                <w:webHidden/>
              </w:rPr>
              <w:fldChar w:fldCharType="end"/>
            </w:r>
          </w:hyperlink>
        </w:p>
        <w:p w14:paraId="6F0A4607" w14:textId="3CC8E55F" w:rsidR="00CE0689" w:rsidRDefault="004C61E0">
          <w:pPr>
            <w:pStyle w:val="TOC2"/>
            <w:tabs>
              <w:tab w:val="right" w:leader="dot" w:pos="9016"/>
            </w:tabs>
            <w:rPr>
              <w:rFonts w:eastAsiaTheme="minorEastAsia"/>
              <w:noProof/>
              <w:lang w:eastAsia="en-GB"/>
            </w:rPr>
          </w:pPr>
          <w:hyperlink w:anchor="_Toc4589293" w:history="1">
            <w:r w:rsidR="00CE0689" w:rsidRPr="00794030">
              <w:rPr>
                <w:rStyle w:val="Hyperlink"/>
                <w:noProof/>
              </w:rPr>
              <w:t>2.4 Fixed samples</w:t>
            </w:r>
            <w:r w:rsidR="00CE0689">
              <w:rPr>
                <w:noProof/>
                <w:webHidden/>
              </w:rPr>
              <w:tab/>
            </w:r>
            <w:r w:rsidR="00CE0689">
              <w:rPr>
                <w:noProof/>
                <w:webHidden/>
              </w:rPr>
              <w:fldChar w:fldCharType="begin"/>
            </w:r>
            <w:r w:rsidR="00CE0689">
              <w:rPr>
                <w:noProof/>
                <w:webHidden/>
              </w:rPr>
              <w:instrText xml:space="preserve"> PAGEREF _Toc4589293 \h </w:instrText>
            </w:r>
            <w:r w:rsidR="00CE0689">
              <w:rPr>
                <w:noProof/>
                <w:webHidden/>
              </w:rPr>
            </w:r>
            <w:r w:rsidR="00CE0689">
              <w:rPr>
                <w:noProof/>
                <w:webHidden/>
              </w:rPr>
              <w:fldChar w:fldCharType="separate"/>
            </w:r>
            <w:r w:rsidR="00CE0689">
              <w:rPr>
                <w:noProof/>
                <w:webHidden/>
              </w:rPr>
              <w:t>40</w:t>
            </w:r>
            <w:r w:rsidR="00CE0689">
              <w:rPr>
                <w:noProof/>
                <w:webHidden/>
              </w:rPr>
              <w:fldChar w:fldCharType="end"/>
            </w:r>
          </w:hyperlink>
        </w:p>
        <w:p w14:paraId="782D6E4E" w14:textId="3DA35AA1" w:rsidR="00CE0689" w:rsidRDefault="004C61E0">
          <w:pPr>
            <w:pStyle w:val="TOC3"/>
            <w:tabs>
              <w:tab w:val="right" w:leader="dot" w:pos="9016"/>
            </w:tabs>
            <w:rPr>
              <w:rFonts w:eastAsiaTheme="minorEastAsia"/>
              <w:noProof/>
              <w:lang w:eastAsia="en-GB"/>
            </w:rPr>
          </w:pPr>
          <w:hyperlink w:anchor="_Toc4589294" w:history="1">
            <w:r w:rsidR="00CE0689" w:rsidRPr="00794030">
              <w:rPr>
                <w:rStyle w:val="Hyperlink"/>
                <w:noProof/>
              </w:rPr>
              <w:t>2.4.1 Fixation of embryos</w:t>
            </w:r>
            <w:r w:rsidR="00CE0689">
              <w:rPr>
                <w:noProof/>
                <w:webHidden/>
              </w:rPr>
              <w:tab/>
            </w:r>
            <w:r w:rsidR="00CE0689">
              <w:rPr>
                <w:noProof/>
                <w:webHidden/>
              </w:rPr>
              <w:fldChar w:fldCharType="begin"/>
            </w:r>
            <w:r w:rsidR="00CE0689">
              <w:rPr>
                <w:noProof/>
                <w:webHidden/>
              </w:rPr>
              <w:instrText xml:space="preserve"> PAGEREF _Toc4589294 \h </w:instrText>
            </w:r>
            <w:r w:rsidR="00CE0689">
              <w:rPr>
                <w:noProof/>
                <w:webHidden/>
              </w:rPr>
            </w:r>
            <w:r w:rsidR="00CE0689">
              <w:rPr>
                <w:noProof/>
                <w:webHidden/>
              </w:rPr>
              <w:fldChar w:fldCharType="separate"/>
            </w:r>
            <w:r w:rsidR="00CE0689">
              <w:rPr>
                <w:noProof/>
                <w:webHidden/>
              </w:rPr>
              <w:t>40</w:t>
            </w:r>
            <w:r w:rsidR="00CE0689">
              <w:rPr>
                <w:noProof/>
                <w:webHidden/>
              </w:rPr>
              <w:fldChar w:fldCharType="end"/>
            </w:r>
          </w:hyperlink>
        </w:p>
        <w:p w14:paraId="01ED989B" w14:textId="72E66990" w:rsidR="00CE0689" w:rsidRDefault="004C61E0">
          <w:pPr>
            <w:pStyle w:val="TOC3"/>
            <w:tabs>
              <w:tab w:val="right" w:leader="dot" w:pos="9016"/>
            </w:tabs>
            <w:rPr>
              <w:rFonts w:eastAsiaTheme="minorEastAsia"/>
              <w:noProof/>
              <w:lang w:eastAsia="en-GB"/>
            </w:rPr>
          </w:pPr>
          <w:hyperlink w:anchor="_Toc4589295" w:history="1">
            <w:r w:rsidR="00CE0689" w:rsidRPr="00794030">
              <w:rPr>
                <w:rStyle w:val="Hyperlink"/>
                <w:noProof/>
              </w:rPr>
              <w:t>2.4.2 Mounting fixed embryos for imaging</w:t>
            </w:r>
            <w:r w:rsidR="00CE0689">
              <w:rPr>
                <w:noProof/>
                <w:webHidden/>
              </w:rPr>
              <w:tab/>
            </w:r>
            <w:r w:rsidR="00CE0689">
              <w:rPr>
                <w:noProof/>
                <w:webHidden/>
              </w:rPr>
              <w:fldChar w:fldCharType="begin"/>
            </w:r>
            <w:r w:rsidR="00CE0689">
              <w:rPr>
                <w:noProof/>
                <w:webHidden/>
              </w:rPr>
              <w:instrText xml:space="preserve"> PAGEREF _Toc4589295 \h </w:instrText>
            </w:r>
            <w:r w:rsidR="00CE0689">
              <w:rPr>
                <w:noProof/>
                <w:webHidden/>
              </w:rPr>
            </w:r>
            <w:r w:rsidR="00CE0689">
              <w:rPr>
                <w:noProof/>
                <w:webHidden/>
              </w:rPr>
              <w:fldChar w:fldCharType="separate"/>
            </w:r>
            <w:r w:rsidR="00CE0689">
              <w:rPr>
                <w:noProof/>
                <w:webHidden/>
              </w:rPr>
              <w:t>41</w:t>
            </w:r>
            <w:r w:rsidR="00CE0689">
              <w:rPr>
                <w:noProof/>
                <w:webHidden/>
              </w:rPr>
              <w:fldChar w:fldCharType="end"/>
            </w:r>
          </w:hyperlink>
        </w:p>
        <w:p w14:paraId="130425F0" w14:textId="2C3AA347" w:rsidR="00CE0689" w:rsidRDefault="004C61E0">
          <w:pPr>
            <w:pStyle w:val="TOC3"/>
            <w:tabs>
              <w:tab w:val="right" w:leader="dot" w:pos="9016"/>
            </w:tabs>
            <w:rPr>
              <w:rFonts w:eastAsiaTheme="minorEastAsia"/>
              <w:noProof/>
              <w:lang w:eastAsia="en-GB"/>
            </w:rPr>
          </w:pPr>
          <w:hyperlink w:anchor="_Toc4589296" w:history="1">
            <w:r w:rsidR="00CE0689" w:rsidRPr="00794030">
              <w:rPr>
                <w:rStyle w:val="Hyperlink"/>
                <w:noProof/>
              </w:rPr>
              <w:t>2.4.3 Immunostaining of embryos</w:t>
            </w:r>
            <w:r w:rsidR="00CE0689">
              <w:rPr>
                <w:noProof/>
                <w:webHidden/>
              </w:rPr>
              <w:tab/>
            </w:r>
            <w:r w:rsidR="00CE0689">
              <w:rPr>
                <w:noProof/>
                <w:webHidden/>
              </w:rPr>
              <w:fldChar w:fldCharType="begin"/>
            </w:r>
            <w:r w:rsidR="00CE0689">
              <w:rPr>
                <w:noProof/>
                <w:webHidden/>
              </w:rPr>
              <w:instrText xml:space="preserve"> PAGEREF _Toc4589296 \h </w:instrText>
            </w:r>
            <w:r w:rsidR="00CE0689">
              <w:rPr>
                <w:noProof/>
                <w:webHidden/>
              </w:rPr>
            </w:r>
            <w:r w:rsidR="00CE0689">
              <w:rPr>
                <w:noProof/>
                <w:webHidden/>
              </w:rPr>
              <w:fldChar w:fldCharType="separate"/>
            </w:r>
            <w:r w:rsidR="00CE0689">
              <w:rPr>
                <w:noProof/>
                <w:webHidden/>
              </w:rPr>
              <w:t>41</w:t>
            </w:r>
            <w:r w:rsidR="00CE0689">
              <w:rPr>
                <w:noProof/>
                <w:webHidden/>
              </w:rPr>
              <w:fldChar w:fldCharType="end"/>
            </w:r>
          </w:hyperlink>
        </w:p>
        <w:p w14:paraId="21302170" w14:textId="63C0DC87" w:rsidR="00CE0689" w:rsidRDefault="004C61E0">
          <w:pPr>
            <w:pStyle w:val="TOC3"/>
            <w:tabs>
              <w:tab w:val="right" w:leader="dot" w:pos="9016"/>
            </w:tabs>
            <w:rPr>
              <w:rFonts w:eastAsiaTheme="minorEastAsia"/>
              <w:noProof/>
              <w:lang w:eastAsia="en-GB"/>
            </w:rPr>
          </w:pPr>
          <w:hyperlink w:anchor="_Toc4589297" w:history="1">
            <w:r w:rsidR="00CE0689" w:rsidRPr="00794030">
              <w:rPr>
                <w:rStyle w:val="Hyperlink"/>
                <w:noProof/>
              </w:rPr>
              <w:t>2.4.4 Dissection of larval hemocytes</w:t>
            </w:r>
            <w:r w:rsidR="00CE0689">
              <w:rPr>
                <w:noProof/>
                <w:webHidden/>
              </w:rPr>
              <w:tab/>
            </w:r>
            <w:r w:rsidR="00CE0689">
              <w:rPr>
                <w:noProof/>
                <w:webHidden/>
              </w:rPr>
              <w:fldChar w:fldCharType="begin"/>
            </w:r>
            <w:r w:rsidR="00CE0689">
              <w:rPr>
                <w:noProof/>
                <w:webHidden/>
              </w:rPr>
              <w:instrText xml:space="preserve"> PAGEREF _Toc4589297 \h </w:instrText>
            </w:r>
            <w:r w:rsidR="00CE0689">
              <w:rPr>
                <w:noProof/>
                <w:webHidden/>
              </w:rPr>
            </w:r>
            <w:r w:rsidR="00CE0689">
              <w:rPr>
                <w:noProof/>
                <w:webHidden/>
              </w:rPr>
              <w:fldChar w:fldCharType="separate"/>
            </w:r>
            <w:r w:rsidR="00CE0689">
              <w:rPr>
                <w:noProof/>
                <w:webHidden/>
              </w:rPr>
              <w:t>42</w:t>
            </w:r>
            <w:r w:rsidR="00CE0689">
              <w:rPr>
                <w:noProof/>
                <w:webHidden/>
              </w:rPr>
              <w:fldChar w:fldCharType="end"/>
            </w:r>
          </w:hyperlink>
        </w:p>
        <w:p w14:paraId="4E7F8779" w14:textId="61638BF6" w:rsidR="00CE0689" w:rsidRDefault="004C61E0">
          <w:pPr>
            <w:pStyle w:val="TOC3"/>
            <w:tabs>
              <w:tab w:val="right" w:leader="dot" w:pos="9016"/>
            </w:tabs>
            <w:rPr>
              <w:rFonts w:eastAsiaTheme="minorEastAsia"/>
              <w:noProof/>
              <w:lang w:eastAsia="en-GB"/>
            </w:rPr>
          </w:pPr>
          <w:hyperlink w:anchor="_Toc4589298" w:history="1">
            <w:r w:rsidR="00CE0689" w:rsidRPr="00794030">
              <w:rPr>
                <w:rStyle w:val="Hyperlink"/>
                <w:noProof/>
              </w:rPr>
              <w:t>2.4.5 Larval hemocyte phagocytosis assay</w:t>
            </w:r>
            <w:r w:rsidR="00CE0689">
              <w:rPr>
                <w:noProof/>
                <w:webHidden/>
              </w:rPr>
              <w:tab/>
            </w:r>
            <w:r w:rsidR="00CE0689">
              <w:rPr>
                <w:noProof/>
                <w:webHidden/>
              </w:rPr>
              <w:fldChar w:fldCharType="begin"/>
            </w:r>
            <w:r w:rsidR="00CE0689">
              <w:rPr>
                <w:noProof/>
                <w:webHidden/>
              </w:rPr>
              <w:instrText xml:space="preserve"> PAGEREF _Toc4589298 \h </w:instrText>
            </w:r>
            <w:r w:rsidR="00CE0689">
              <w:rPr>
                <w:noProof/>
                <w:webHidden/>
              </w:rPr>
            </w:r>
            <w:r w:rsidR="00CE0689">
              <w:rPr>
                <w:noProof/>
                <w:webHidden/>
              </w:rPr>
              <w:fldChar w:fldCharType="separate"/>
            </w:r>
            <w:r w:rsidR="00CE0689">
              <w:rPr>
                <w:noProof/>
                <w:webHidden/>
              </w:rPr>
              <w:t>42</w:t>
            </w:r>
            <w:r w:rsidR="00CE0689">
              <w:rPr>
                <w:noProof/>
                <w:webHidden/>
              </w:rPr>
              <w:fldChar w:fldCharType="end"/>
            </w:r>
          </w:hyperlink>
        </w:p>
        <w:p w14:paraId="0D7D193B" w14:textId="5ECAF864" w:rsidR="00CE0689" w:rsidRDefault="004C61E0">
          <w:pPr>
            <w:pStyle w:val="TOC3"/>
            <w:tabs>
              <w:tab w:val="right" w:leader="dot" w:pos="9016"/>
            </w:tabs>
            <w:rPr>
              <w:rFonts w:eastAsiaTheme="minorEastAsia"/>
              <w:noProof/>
              <w:lang w:eastAsia="en-GB"/>
            </w:rPr>
          </w:pPr>
          <w:hyperlink w:anchor="_Toc4589299" w:history="1">
            <w:r w:rsidR="00CE0689" w:rsidRPr="00794030">
              <w:rPr>
                <w:rStyle w:val="Hyperlink"/>
                <w:noProof/>
              </w:rPr>
              <w:t>2.4.6 Imaging fixed samples</w:t>
            </w:r>
            <w:r w:rsidR="00CE0689">
              <w:rPr>
                <w:noProof/>
                <w:webHidden/>
              </w:rPr>
              <w:tab/>
            </w:r>
            <w:r w:rsidR="00CE0689">
              <w:rPr>
                <w:noProof/>
                <w:webHidden/>
              </w:rPr>
              <w:fldChar w:fldCharType="begin"/>
            </w:r>
            <w:r w:rsidR="00CE0689">
              <w:rPr>
                <w:noProof/>
                <w:webHidden/>
              </w:rPr>
              <w:instrText xml:space="preserve"> PAGEREF _Toc4589299 \h </w:instrText>
            </w:r>
            <w:r w:rsidR="00CE0689">
              <w:rPr>
                <w:noProof/>
                <w:webHidden/>
              </w:rPr>
            </w:r>
            <w:r w:rsidR="00CE0689">
              <w:rPr>
                <w:noProof/>
                <w:webHidden/>
              </w:rPr>
              <w:fldChar w:fldCharType="separate"/>
            </w:r>
            <w:r w:rsidR="00CE0689">
              <w:rPr>
                <w:noProof/>
                <w:webHidden/>
              </w:rPr>
              <w:t>42</w:t>
            </w:r>
            <w:r w:rsidR="00CE0689">
              <w:rPr>
                <w:noProof/>
                <w:webHidden/>
              </w:rPr>
              <w:fldChar w:fldCharType="end"/>
            </w:r>
          </w:hyperlink>
        </w:p>
        <w:p w14:paraId="133DB1F8" w14:textId="28F34F19" w:rsidR="00CE0689" w:rsidRDefault="004C61E0">
          <w:pPr>
            <w:pStyle w:val="TOC2"/>
            <w:tabs>
              <w:tab w:val="right" w:leader="dot" w:pos="9016"/>
            </w:tabs>
            <w:rPr>
              <w:rFonts w:eastAsiaTheme="minorEastAsia"/>
              <w:noProof/>
              <w:lang w:eastAsia="en-GB"/>
            </w:rPr>
          </w:pPr>
          <w:hyperlink w:anchor="_Toc4589300" w:history="1">
            <w:r w:rsidR="00CE0689" w:rsidRPr="00794030">
              <w:rPr>
                <w:rStyle w:val="Hyperlink"/>
                <w:noProof/>
              </w:rPr>
              <w:t>2.5 Image processing and analysis</w:t>
            </w:r>
            <w:r w:rsidR="00CE0689">
              <w:rPr>
                <w:noProof/>
                <w:webHidden/>
              </w:rPr>
              <w:tab/>
            </w:r>
            <w:r w:rsidR="00CE0689">
              <w:rPr>
                <w:noProof/>
                <w:webHidden/>
              </w:rPr>
              <w:fldChar w:fldCharType="begin"/>
            </w:r>
            <w:r w:rsidR="00CE0689">
              <w:rPr>
                <w:noProof/>
                <w:webHidden/>
              </w:rPr>
              <w:instrText xml:space="preserve"> PAGEREF _Toc4589300 \h </w:instrText>
            </w:r>
            <w:r w:rsidR="00CE0689">
              <w:rPr>
                <w:noProof/>
                <w:webHidden/>
              </w:rPr>
            </w:r>
            <w:r w:rsidR="00CE0689">
              <w:rPr>
                <w:noProof/>
                <w:webHidden/>
              </w:rPr>
              <w:fldChar w:fldCharType="separate"/>
            </w:r>
            <w:r w:rsidR="00CE0689">
              <w:rPr>
                <w:noProof/>
                <w:webHidden/>
              </w:rPr>
              <w:t>42</w:t>
            </w:r>
            <w:r w:rsidR="00CE0689">
              <w:rPr>
                <w:noProof/>
                <w:webHidden/>
              </w:rPr>
              <w:fldChar w:fldCharType="end"/>
            </w:r>
          </w:hyperlink>
        </w:p>
        <w:p w14:paraId="40E14026" w14:textId="4D868AA8" w:rsidR="00CE0689" w:rsidRDefault="004C61E0">
          <w:pPr>
            <w:pStyle w:val="TOC3"/>
            <w:tabs>
              <w:tab w:val="right" w:leader="dot" w:pos="9016"/>
            </w:tabs>
            <w:rPr>
              <w:rFonts w:eastAsiaTheme="minorEastAsia"/>
              <w:noProof/>
              <w:lang w:eastAsia="en-GB"/>
            </w:rPr>
          </w:pPr>
          <w:hyperlink w:anchor="_Toc4589301" w:history="1">
            <w:r w:rsidR="00CE0689" w:rsidRPr="00794030">
              <w:rPr>
                <w:rStyle w:val="Hyperlink"/>
                <w:noProof/>
              </w:rPr>
              <w:t>2.5.1 Hemocyte response to wounds</w:t>
            </w:r>
            <w:r w:rsidR="00CE0689">
              <w:rPr>
                <w:noProof/>
                <w:webHidden/>
              </w:rPr>
              <w:tab/>
            </w:r>
            <w:r w:rsidR="00CE0689">
              <w:rPr>
                <w:noProof/>
                <w:webHidden/>
              </w:rPr>
              <w:fldChar w:fldCharType="begin"/>
            </w:r>
            <w:r w:rsidR="00CE0689">
              <w:rPr>
                <w:noProof/>
                <w:webHidden/>
              </w:rPr>
              <w:instrText xml:space="preserve"> PAGEREF _Toc4589301 \h </w:instrText>
            </w:r>
            <w:r w:rsidR="00CE0689">
              <w:rPr>
                <w:noProof/>
                <w:webHidden/>
              </w:rPr>
            </w:r>
            <w:r w:rsidR="00CE0689">
              <w:rPr>
                <w:noProof/>
                <w:webHidden/>
              </w:rPr>
              <w:fldChar w:fldCharType="separate"/>
            </w:r>
            <w:r w:rsidR="00CE0689">
              <w:rPr>
                <w:noProof/>
                <w:webHidden/>
              </w:rPr>
              <w:t>43</w:t>
            </w:r>
            <w:r w:rsidR="00CE0689">
              <w:rPr>
                <w:noProof/>
                <w:webHidden/>
              </w:rPr>
              <w:fldChar w:fldCharType="end"/>
            </w:r>
          </w:hyperlink>
        </w:p>
        <w:p w14:paraId="1C66CF78" w14:textId="4C2CD330" w:rsidR="00CE0689" w:rsidRDefault="004C61E0">
          <w:pPr>
            <w:pStyle w:val="TOC3"/>
            <w:tabs>
              <w:tab w:val="right" w:leader="dot" w:pos="9016"/>
            </w:tabs>
            <w:rPr>
              <w:rFonts w:eastAsiaTheme="minorEastAsia"/>
              <w:noProof/>
              <w:lang w:eastAsia="en-GB"/>
            </w:rPr>
          </w:pPr>
          <w:hyperlink w:anchor="_Toc4589302" w:history="1">
            <w:r w:rsidR="00CE0689" w:rsidRPr="00794030">
              <w:rPr>
                <w:rStyle w:val="Hyperlink"/>
                <w:noProof/>
              </w:rPr>
              <w:t>2.5.2 Hemocyte migration velocity and directionality</w:t>
            </w:r>
            <w:r w:rsidR="00CE0689">
              <w:rPr>
                <w:noProof/>
                <w:webHidden/>
              </w:rPr>
              <w:tab/>
            </w:r>
            <w:r w:rsidR="00CE0689">
              <w:rPr>
                <w:noProof/>
                <w:webHidden/>
              </w:rPr>
              <w:fldChar w:fldCharType="begin"/>
            </w:r>
            <w:r w:rsidR="00CE0689">
              <w:rPr>
                <w:noProof/>
                <w:webHidden/>
              </w:rPr>
              <w:instrText xml:space="preserve"> PAGEREF _Toc4589302 \h </w:instrText>
            </w:r>
            <w:r w:rsidR="00CE0689">
              <w:rPr>
                <w:noProof/>
                <w:webHidden/>
              </w:rPr>
            </w:r>
            <w:r w:rsidR="00CE0689">
              <w:rPr>
                <w:noProof/>
                <w:webHidden/>
              </w:rPr>
              <w:fldChar w:fldCharType="separate"/>
            </w:r>
            <w:r w:rsidR="00CE0689">
              <w:rPr>
                <w:noProof/>
                <w:webHidden/>
              </w:rPr>
              <w:t>43</w:t>
            </w:r>
            <w:r w:rsidR="00CE0689">
              <w:rPr>
                <w:noProof/>
                <w:webHidden/>
              </w:rPr>
              <w:fldChar w:fldCharType="end"/>
            </w:r>
          </w:hyperlink>
        </w:p>
        <w:p w14:paraId="2F31E405" w14:textId="5C21DA7B" w:rsidR="00CE0689" w:rsidRDefault="004C61E0">
          <w:pPr>
            <w:pStyle w:val="TOC3"/>
            <w:tabs>
              <w:tab w:val="right" w:leader="dot" w:pos="9016"/>
            </w:tabs>
            <w:rPr>
              <w:rFonts w:eastAsiaTheme="minorEastAsia"/>
              <w:noProof/>
              <w:lang w:eastAsia="en-GB"/>
            </w:rPr>
          </w:pPr>
          <w:hyperlink w:anchor="_Toc4589303" w:history="1">
            <w:r w:rsidR="00CE0689" w:rsidRPr="00794030">
              <w:rPr>
                <w:rStyle w:val="Hyperlink"/>
                <w:noProof/>
              </w:rPr>
              <w:t>2.5.3 Hemocyte morphology</w:t>
            </w:r>
            <w:r w:rsidR="00CE0689">
              <w:rPr>
                <w:noProof/>
                <w:webHidden/>
              </w:rPr>
              <w:tab/>
            </w:r>
            <w:r w:rsidR="00CE0689">
              <w:rPr>
                <w:noProof/>
                <w:webHidden/>
              </w:rPr>
              <w:fldChar w:fldCharType="begin"/>
            </w:r>
            <w:r w:rsidR="00CE0689">
              <w:rPr>
                <w:noProof/>
                <w:webHidden/>
              </w:rPr>
              <w:instrText xml:space="preserve"> PAGEREF _Toc4589303 \h </w:instrText>
            </w:r>
            <w:r w:rsidR="00CE0689">
              <w:rPr>
                <w:noProof/>
                <w:webHidden/>
              </w:rPr>
            </w:r>
            <w:r w:rsidR="00CE0689">
              <w:rPr>
                <w:noProof/>
                <w:webHidden/>
              </w:rPr>
              <w:fldChar w:fldCharType="separate"/>
            </w:r>
            <w:r w:rsidR="00CE0689">
              <w:rPr>
                <w:noProof/>
                <w:webHidden/>
              </w:rPr>
              <w:t>43</w:t>
            </w:r>
            <w:r w:rsidR="00CE0689">
              <w:rPr>
                <w:noProof/>
                <w:webHidden/>
              </w:rPr>
              <w:fldChar w:fldCharType="end"/>
            </w:r>
          </w:hyperlink>
        </w:p>
        <w:p w14:paraId="28055ADA" w14:textId="2011AF42" w:rsidR="00CE0689" w:rsidRDefault="004C61E0">
          <w:pPr>
            <w:pStyle w:val="TOC2"/>
            <w:tabs>
              <w:tab w:val="right" w:leader="dot" w:pos="9016"/>
            </w:tabs>
            <w:rPr>
              <w:rFonts w:eastAsiaTheme="minorEastAsia"/>
              <w:noProof/>
              <w:lang w:eastAsia="en-GB"/>
            </w:rPr>
          </w:pPr>
          <w:hyperlink w:anchor="_Toc4589304" w:history="1">
            <w:r w:rsidR="00CE0689" w:rsidRPr="00794030">
              <w:rPr>
                <w:rStyle w:val="Hyperlink"/>
                <w:noProof/>
              </w:rPr>
              <w:t>2.6 Statistical analysis</w:t>
            </w:r>
            <w:r w:rsidR="00CE0689">
              <w:rPr>
                <w:noProof/>
                <w:webHidden/>
              </w:rPr>
              <w:tab/>
            </w:r>
            <w:r w:rsidR="00CE0689">
              <w:rPr>
                <w:noProof/>
                <w:webHidden/>
              </w:rPr>
              <w:fldChar w:fldCharType="begin"/>
            </w:r>
            <w:r w:rsidR="00CE0689">
              <w:rPr>
                <w:noProof/>
                <w:webHidden/>
              </w:rPr>
              <w:instrText xml:space="preserve"> PAGEREF _Toc4589304 \h </w:instrText>
            </w:r>
            <w:r w:rsidR="00CE0689">
              <w:rPr>
                <w:noProof/>
                <w:webHidden/>
              </w:rPr>
            </w:r>
            <w:r w:rsidR="00CE0689">
              <w:rPr>
                <w:noProof/>
                <w:webHidden/>
              </w:rPr>
              <w:fldChar w:fldCharType="separate"/>
            </w:r>
            <w:r w:rsidR="00CE0689">
              <w:rPr>
                <w:noProof/>
                <w:webHidden/>
              </w:rPr>
              <w:t>44</w:t>
            </w:r>
            <w:r w:rsidR="00CE0689">
              <w:rPr>
                <w:noProof/>
                <w:webHidden/>
              </w:rPr>
              <w:fldChar w:fldCharType="end"/>
            </w:r>
          </w:hyperlink>
        </w:p>
        <w:p w14:paraId="707B1829" w14:textId="63587388" w:rsidR="00CE0689" w:rsidRDefault="004C61E0">
          <w:pPr>
            <w:pStyle w:val="TOC2"/>
            <w:tabs>
              <w:tab w:val="right" w:leader="dot" w:pos="9016"/>
            </w:tabs>
            <w:rPr>
              <w:rFonts w:eastAsiaTheme="minorEastAsia"/>
              <w:noProof/>
              <w:lang w:eastAsia="en-GB"/>
            </w:rPr>
          </w:pPr>
          <w:hyperlink w:anchor="_Toc4589305" w:history="1">
            <w:r w:rsidR="00CE0689" w:rsidRPr="00794030">
              <w:rPr>
                <w:rStyle w:val="Hyperlink"/>
                <w:noProof/>
              </w:rPr>
              <w:t>2.7 Molecular biology</w:t>
            </w:r>
            <w:r w:rsidR="00CE0689">
              <w:rPr>
                <w:noProof/>
                <w:webHidden/>
              </w:rPr>
              <w:tab/>
            </w:r>
            <w:r w:rsidR="00CE0689">
              <w:rPr>
                <w:noProof/>
                <w:webHidden/>
              </w:rPr>
              <w:fldChar w:fldCharType="begin"/>
            </w:r>
            <w:r w:rsidR="00CE0689">
              <w:rPr>
                <w:noProof/>
                <w:webHidden/>
              </w:rPr>
              <w:instrText xml:space="preserve"> PAGEREF _Toc4589305 \h </w:instrText>
            </w:r>
            <w:r w:rsidR="00CE0689">
              <w:rPr>
                <w:noProof/>
                <w:webHidden/>
              </w:rPr>
            </w:r>
            <w:r w:rsidR="00CE0689">
              <w:rPr>
                <w:noProof/>
                <w:webHidden/>
              </w:rPr>
              <w:fldChar w:fldCharType="separate"/>
            </w:r>
            <w:r w:rsidR="00CE0689">
              <w:rPr>
                <w:noProof/>
                <w:webHidden/>
              </w:rPr>
              <w:t>44</w:t>
            </w:r>
            <w:r w:rsidR="00CE0689">
              <w:rPr>
                <w:noProof/>
                <w:webHidden/>
              </w:rPr>
              <w:fldChar w:fldCharType="end"/>
            </w:r>
          </w:hyperlink>
        </w:p>
        <w:p w14:paraId="3D5ADB39" w14:textId="072F1A1A" w:rsidR="00CE0689" w:rsidRDefault="004C61E0">
          <w:pPr>
            <w:pStyle w:val="TOC3"/>
            <w:tabs>
              <w:tab w:val="right" w:leader="dot" w:pos="9016"/>
            </w:tabs>
            <w:rPr>
              <w:rFonts w:eastAsiaTheme="minorEastAsia"/>
              <w:noProof/>
              <w:lang w:eastAsia="en-GB"/>
            </w:rPr>
          </w:pPr>
          <w:hyperlink w:anchor="_Toc4589306" w:history="1">
            <w:r w:rsidR="00CE0689" w:rsidRPr="00794030">
              <w:rPr>
                <w:rStyle w:val="Hyperlink"/>
                <w:noProof/>
              </w:rPr>
              <w:t>2.7.1 DNA extraction</w:t>
            </w:r>
            <w:r w:rsidR="00CE0689">
              <w:rPr>
                <w:noProof/>
                <w:webHidden/>
              </w:rPr>
              <w:tab/>
            </w:r>
            <w:r w:rsidR="00CE0689">
              <w:rPr>
                <w:noProof/>
                <w:webHidden/>
              </w:rPr>
              <w:fldChar w:fldCharType="begin"/>
            </w:r>
            <w:r w:rsidR="00CE0689">
              <w:rPr>
                <w:noProof/>
                <w:webHidden/>
              </w:rPr>
              <w:instrText xml:space="preserve"> PAGEREF _Toc4589306 \h </w:instrText>
            </w:r>
            <w:r w:rsidR="00CE0689">
              <w:rPr>
                <w:noProof/>
                <w:webHidden/>
              </w:rPr>
            </w:r>
            <w:r w:rsidR="00CE0689">
              <w:rPr>
                <w:noProof/>
                <w:webHidden/>
              </w:rPr>
              <w:fldChar w:fldCharType="separate"/>
            </w:r>
            <w:r w:rsidR="00CE0689">
              <w:rPr>
                <w:noProof/>
                <w:webHidden/>
              </w:rPr>
              <w:t>44</w:t>
            </w:r>
            <w:r w:rsidR="00CE0689">
              <w:rPr>
                <w:noProof/>
                <w:webHidden/>
              </w:rPr>
              <w:fldChar w:fldCharType="end"/>
            </w:r>
          </w:hyperlink>
        </w:p>
        <w:p w14:paraId="6198FD23" w14:textId="32BEB2BD" w:rsidR="00CE0689" w:rsidRDefault="004C61E0">
          <w:pPr>
            <w:pStyle w:val="TOC3"/>
            <w:tabs>
              <w:tab w:val="right" w:leader="dot" w:pos="9016"/>
            </w:tabs>
            <w:rPr>
              <w:rFonts w:eastAsiaTheme="minorEastAsia"/>
              <w:noProof/>
              <w:lang w:eastAsia="en-GB"/>
            </w:rPr>
          </w:pPr>
          <w:hyperlink w:anchor="_Toc4589307" w:history="1">
            <w:r w:rsidR="00CE0689" w:rsidRPr="00794030">
              <w:rPr>
                <w:rStyle w:val="Hyperlink"/>
                <w:noProof/>
              </w:rPr>
              <w:t>2.7.2 PCR and gel electrophoresis</w:t>
            </w:r>
            <w:r w:rsidR="00CE0689">
              <w:rPr>
                <w:noProof/>
                <w:webHidden/>
              </w:rPr>
              <w:tab/>
            </w:r>
            <w:r w:rsidR="00CE0689">
              <w:rPr>
                <w:noProof/>
                <w:webHidden/>
              </w:rPr>
              <w:fldChar w:fldCharType="begin"/>
            </w:r>
            <w:r w:rsidR="00CE0689">
              <w:rPr>
                <w:noProof/>
                <w:webHidden/>
              </w:rPr>
              <w:instrText xml:space="preserve"> PAGEREF _Toc4589307 \h </w:instrText>
            </w:r>
            <w:r w:rsidR="00CE0689">
              <w:rPr>
                <w:noProof/>
                <w:webHidden/>
              </w:rPr>
            </w:r>
            <w:r w:rsidR="00CE0689">
              <w:rPr>
                <w:noProof/>
                <w:webHidden/>
              </w:rPr>
              <w:fldChar w:fldCharType="separate"/>
            </w:r>
            <w:r w:rsidR="00CE0689">
              <w:rPr>
                <w:noProof/>
                <w:webHidden/>
              </w:rPr>
              <w:t>44</w:t>
            </w:r>
            <w:r w:rsidR="00CE0689">
              <w:rPr>
                <w:noProof/>
                <w:webHidden/>
              </w:rPr>
              <w:fldChar w:fldCharType="end"/>
            </w:r>
          </w:hyperlink>
        </w:p>
        <w:p w14:paraId="453402FA" w14:textId="1976507D" w:rsidR="00CE0689" w:rsidRDefault="004C61E0">
          <w:pPr>
            <w:pStyle w:val="TOC3"/>
            <w:tabs>
              <w:tab w:val="right" w:leader="dot" w:pos="9016"/>
            </w:tabs>
            <w:rPr>
              <w:rFonts w:eastAsiaTheme="minorEastAsia"/>
              <w:noProof/>
              <w:lang w:eastAsia="en-GB"/>
            </w:rPr>
          </w:pPr>
          <w:hyperlink w:anchor="_Toc4589308" w:history="1">
            <w:r w:rsidR="00CE0689" w:rsidRPr="00794030">
              <w:rPr>
                <w:rStyle w:val="Hyperlink"/>
                <w:noProof/>
              </w:rPr>
              <w:t>2.7.3 RNA extraction and cDNA synthesis</w:t>
            </w:r>
            <w:r w:rsidR="00CE0689">
              <w:rPr>
                <w:noProof/>
                <w:webHidden/>
              </w:rPr>
              <w:tab/>
            </w:r>
            <w:r w:rsidR="00CE0689">
              <w:rPr>
                <w:noProof/>
                <w:webHidden/>
              </w:rPr>
              <w:fldChar w:fldCharType="begin"/>
            </w:r>
            <w:r w:rsidR="00CE0689">
              <w:rPr>
                <w:noProof/>
                <w:webHidden/>
              </w:rPr>
              <w:instrText xml:space="preserve"> PAGEREF _Toc4589308 \h </w:instrText>
            </w:r>
            <w:r w:rsidR="00CE0689">
              <w:rPr>
                <w:noProof/>
                <w:webHidden/>
              </w:rPr>
            </w:r>
            <w:r w:rsidR="00CE0689">
              <w:rPr>
                <w:noProof/>
                <w:webHidden/>
              </w:rPr>
              <w:fldChar w:fldCharType="separate"/>
            </w:r>
            <w:r w:rsidR="00CE0689">
              <w:rPr>
                <w:noProof/>
                <w:webHidden/>
              </w:rPr>
              <w:t>45</w:t>
            </w:r>
            <w:r w:rsidR="00CE0689">
              <w:rPr>
                <w:noProof/>
                <w:webHidden/>
              </w:rPr>
              <w:fldChar w:fldCharType="end"/>
            </w:r>
          </w:hyperlink>
        </w:p>
        <w:p w14:paraId="776313CC" w14:textId="067603A0" w:rsidR="00CE0689" w:rsidRDefault="004C61E0">
          <w:pPr>
            <w:pStyle w:val="TOC3"/>
            <w:tabs>
              <w:tab w:val="right" w:leader="dot" w:pos="9016"/>
            </w:tabs>
            <w:rPr>
              <w:rFonts w:eastAsiaTheme="minorEastAsia"/>
              <w:noProof/>
              <w:lang w:eastAsia="en-GB"/>
            </w:rPr>
          </w:pPr>
          <w:hyperlink w:anchor="_Toc4589309" w:history="1">
            <w:r w:rsidR="00CE0689" w:rsidRPr="00794030">
              <w:rPr>
                <w:rStyle w:val="Hyperlink"/>
                <w:noProof/>
              </w:rPr>
              <w:t>2.7.4 qPCR</w:t>
            </w:r>
            <w:r w:rsidR="00CE0689">
              <w:rPr>
                <w:noProof/>
                <w:webHidden/>
              </w:rPr>
              <w:tab/>
            </w:r>
            <w:r w:rsidR="00CE0689">
              <w:rPr>
                <w:noProof/>
                <w:webHidden/>
              </w:rPr>
              <w:fldChar w:fldCharType="begin"/>
            </w:r>
            <w:r w:rsidR="00CE0689">
              <w:rPr>
                <w:noProof/>
                <w:webHidden/>
              </w:rPr>
              <w:instrText xml:space="preserve"> PAGEREF _Toc4589309 \h </w:instrText>
            </w:r>
            <w:r w:rsidR="00CE0689">
              <w:rPr>
                <w:noProof/>
                <w:webHidden/>
              </w:rPr>
            </w:r>
            <w:r w:rsidR="00CE0689">
              <w:rPr>
                <w:noProof/>
                <w:webHidden/>
              </w:rPr>
              <w:fldChar w:fldCharType="separate"/>
            </w:r>
            <w:r w:rsidR="00CE0689">
              <w:rPr>
                <w:noProof/>
                <w:webHidden/>
              </w:rPr>
              <w:t>45</w:t>
            </w:r>
            <w:r w:rsidR="00CE0689">
              <w:rPr>
                <w:noProof/>
                <w:webHidden/>
              </w:rPr>
              <w:fldChar w:fldCharType="end"/>
            </w:r>
          </w:hyperlink>
        </w:p>
        <w:p w14:paraId="2EFB774A" w14:textId="2BE73565" w:rsidR="00CE0689" w:rsidRDefault="004C61E0">
          <w:pPr>
            <w:pStyle w:val="TOC3"/>
            <w:tabs>
              <w:tab w:val="right" w:leader="dot" w:pos="9016"/>
            </w:tabs>
            <w:rPr>
              <w:rFonts w:eastAsiaTheme="minorEastAsia"/>
              <w:noProof/>
              <w:lang w:eastAsia="en-GB"/>
            </w:rPr>
          </w:pPr>
          <w:hyperlink w:anchor="_Toc4589310" w:history="1">
            <w:r w:rsidR="00CE0689" w:rsidRPr="00794030">
              <w:rPr>
                <w:rStyle w:val="Hyperlink"/>
                <w:noProof/>
              </w:rPr>
              <w:t>2.7.5 Transformation of DH5</w:t>
            </w:r>
            <w:r w:rsidR="00CE0689" w:rsidRPr="00794030">
              <w:rPr>
                <w:rStyle w:val="Hyperlink"/>
                <w:noProof/>
              </w:rPr>
              <w:sym w:font="Symbol" w:char="F061"/>
            </w:r>
            <w:r w:rsidR="00CE0689" w:rsidRPr="00794030">
              <w:rPr>
                <w:rStyle w:val="Hyperlink"/>
                <w:noProof/>
              </w:rPr>
              <w:t xml:space="preserve"> cells</w:t>
            </w:r>
            <w:r w:rsidR="00CE0689">
              <w:rPr>
                <w:noProof/>
                <w:webHidden/>
              </w:rPr>
              <w:tab/>
            </w:r>
            <w:r w:rsidR="00CE0689">
              <w:rPr>
                <w:noProof/>
                <w:webHidden/>
              </w:rPr>
              <w:fldChar w:fldCharType="begin"/>
            </w:r>
            <w:r w:rsidR="00CE0689">
              <w:rPr>
                <w:noProof/>
                <w:webHidden/>
              </w:rPr>
              <w:instrText xml:space="preserve"> PAGEREF _Toc4589310 \h </w:instrText>
            </w:r>
            <w:r w:rsidR="00CE0689">
              <w:rPr>
                <w:noProof/>
                <w:webHidden/>
              </w:rPr>
            </w:r>
            <w:r w:rsidR="00CE0689">
              <w:rPr>
                <w:noProof/>
                <w:webHidden/>
              </w:rPr>
              <w:fldChar w:fldCharType="separate"/>
            </w:r>
            <w:r w:rsidR="00CE0689">
              <w:rPr>
                <w:noProof/>
                <w:webHidden/>
              </w:rPr>
              <w:t>47</w:t>
            </w:r>
            <w:r w:rsidR="00CE0689">
              <w:rPr>
                <w:noProof/>
                <w:webHidden/>
              </w:rPr>
              <w:fldChar w:fldCharType="end"/>
            </w:r>
          </w:hyperlink>
        </w:p>
        <w:p w14:paraId="001C273B" w14:textId="2CC46F99" w:rsidR="00CE0689" w:rsidRDefault="004C61E0">
          <w:pPr>
            <w:pStyle w:val="TOC3"/>
            <w:tabs>
              <w:tab w:val="right" w:leader="dot" w:pos="9016"/>
            </w:tabs>
            <w:rPr>
              <w:rFonts w:eastAsiaTheme="minorEastAsia"/>
              <w:noProof/>
              <w:lang w:eastAsia="en-GB"/>
            </w:rPr>
          </w:pPr>
          <w:hyperlink w:anchor="_Toc4589311" w:history="1">
            <w:r w:rsidR="00CE0689" w:rsidRPr="00794030">
              <w:rPr>
                <w:rStyle w:val="Hyperlink"/>
                <w:noProof/>
              </w:rPr>
              <w:t>2.7.6 Miniprep from cell colonies</w:t>
            </w:r>
            <w:r w:rsidR="00CE0689">
              <w:rPr>
                <w:noProof/>
                <w:webHidden/>
              </w:rPr>
              <w:tab/>
            </w:r>
            <w:r w:rsidR="00CE0689">
              <w:rPr>
                <w:noProof/>
                <w:webHidden/>
              </w:rPr>
              <w:fldChar w:fldCharType="begin"/>
            </w:r>
            <w:r w:rsidR="00CE0689">
              <w:rPr>
                <w:noProof/>
                <w:webHidden/>
              </w:rPr>
              <w:instrText xml:space="preserve"> PAGEREF _Toc4589311 \h </w:instrText>
            </w:r>
            <w:r w:rsidR="00CE0689">
              <w:rPr>
                <w:noProof/>
                <w:webHidden/>
              </w:rPr>
            </w:r>
            <w:r w:rsidR="00CE0689">
              <w:rPr>
                <w:noProof/>
                <w:webHidden/>
              </w:rPr>
              <w:fldChar w:fldCharType="separate"/>
            </w:r>
            <w:r w:rsidR="00CE0689">
              <w:rPr>
                <w:noProof/>
                <w:webHidden/>
              </w:rPr>
              <w:t>47</w:t>
            </w:r>
            <w:r w:rsidR="00CE0689">
              <w:rPr>
                <w:noProof/>
                <w:webHidden/>
              </w:rPr>
              <w:fldChar w:fldCharType="end"/>
            </w:r>
          </w:hyperlink>
        </w:p>
        <w:p w14:paraId="5319B1A3" w14:textId="07A078AE" w:rsidR="00CE0689" w:rsidRDefault="004C61E0">
          <w:pPr>
            <w:pStyle w:val="TOC3"/>
            <w:tabs>
              <w:tab w:val="right" w:leader="dot" w:pos="9016"/>
            </w:tabs>
            <w:rPr>
              <w:rFonts w:eastAsiaTheme="minorEastAsia"/>
              <w:noProof/>
              <w:lang w:eastAsia="en-GB"/>
            </w:rPr>
          </w:pPr>
          <w:hyperlink w:anchor="_Toc4589312" w:history="1">
            <w:r w:rsidR="00CE0689" w:rsidRPr="00794030">
              <w:rPr>
                <w:rStyle w:val="Hyperlink"/>
                <w:noProof/>
              </w:rPr>
              <w:t>2.7.7 Creation of Enhancer-fluorophore lines</w:t>
            </w:r>
            <w:r w:rsidR="00CE0689">
              <w:rPr>
                <w:noProof/>
                <w:webHidden/>
              </w:rPr>
              <w:tab/>
            </w:r>
            <w:r w:rsidR="00CE0689">
              <w:rPr>
                <w:noProof/>
                <w:webHidden/>
              </w:rPr>
              <w:fldChar w:fldCharType="begin"/>
            </w:r>
            <w:r w:rsidR="00CE0689">
              <w:rPr>
                <w:noProof/>
                <w:webHidden/>
              </w:rPr>
              <w:instrText xml:space="preserve"> PAGEREF _Toc4589312 \h </w:instrText>
            </w:r>
            <w:r w:rsidR="00CE0689">
              <w:rPr>
                <w:noProof/>
                <w:webHidden/>
              </w:rPr>
            </w:r>
            <w:r w:rsidR="00CE0689">
              <w:rPr>
                <w:noProof/>
                <w:webHidden/>
              </w:rPr>
              <w:fldChar w:fldCharType="separate"/>
            </w:r>
            <w:r w:rsidR="00CE0689">
              <w:rPr>
                <w:noProof/>
                <w:webHidden/>
              </w:rPr>
              <w:t>47</w:t>
            </w:r>
            <w:r w:rsidR="00CE0689">
              <w:rPr>
                <w:noProof/>
                <w:webHidden/>
              </w:rPr>
              <w:fldChar w:fldCharType="end"/>
            </w:r>
          </w:hyperlink>
        </w:p>
        <w:p w14:paraId="1BC0A4B1" w14:textId="5F74F9FA" w:rsidR="00CE0689" w:rsidRDefault="004C61E0">
          <w:pPr>
            <w:pStyle w:val="TOC1"/>
            <w:tabs>
              <w:tab w:val="right" w:leader="dot" w:pos="9016"/>
            </w:tabs>
            <w:rPr>
              <w:rFonts w:eastAsiaTheme="minorEastAsia"/>
              <w:noProof/>
              <w:lang w:eastAsia="en-GB"/>
            </w:rPr>
          </w:pPr>
          <w:hyperlink w:anchor="_Toc4589313" w:history="1">
            <w:r w:rsidR="00CE0689" w:rsidRPr="00794030">
              <w:rPr>
                <w:rStyle w:val="Hyperlink"/>
                <w:noProof/>
              </w:rPr>
              <w:t xml:space="preserve">Chapter 3. Identification of Macrophage Subpopulations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_Toc4589313 \h </w:instrText>
            </w:r>
            <w:r w:rsidR="00CE0689">
              <w:rPr>
                <w:noProof/>
                <w:webHidden/>
              </w:rPr>
            </w:r>
            <w:r w:rsidR="00CE0689">
              <w:rPr>
                <w:noProof/>
                <w:webHidden/>
              </w:rPr>
              <w:fldChar w:fldCharType="separate"/>
            </w:r>
            <w:r w:rsidR="00CE0689">
              <w:rPr>
                <w:noProof/>
                <w:webHidden/>
              </w:rPr>
              <w:t>52</w:t>
            </w:r>
            <w:r w:rsidR="00CE0689">
              <w:rPr>
                <w:noProof/>
                <w:webHidden/>
              </w:rPr>
              <w:fldChar w:fldCharType="end"/>
            </w:r>
          </w:hyperlink>
        </w:p>
        <w:p w14:paraId="487AE06F" w14:textId="59137812" w:rsidR="00CE0689" w:rsidRDefault="004C61E0">
          <w:pPr>
            <w:pStyle w:val="TOC2"/>
            <w:tabs>
              <w:tab w:val="right" w:leader="dot" w:pos="9016"/>
            </w:tabs>
            <w:rPr>
              <w:rFonts w:eastAsiaTheme="minorEastAsia"/>
              <w:noProof/>
              <w:lang w:eastAsia="en-GB"/>
            </w:rPr>
          </w:pPr>
          <w:hyperlink w:anchor="_Toc4589314" w:history="1">
            <w:r w:rsidR="00CE0689" w:rsidRPr="00794030">
              <w:rPr>
                <w:rStyle w:val="Hyperlink"/>
                <w:noProof/>
              </w:rPr>
              <w:t>3.1 Introduction</w:t>
            </w:r>
            <w:r w:rsidR="00CE0689">
              <w:rPr>
                <w:noProof/>
                <w:webHidden/>
              </w:rPr>
              <w:tab/>
            </w:r>
            <w:r w:rsidR="00CE0689">
              <w:rPr>
                <w:noProof/>
                <w:webHidden/>
              </w:rPr>
              <w:fldChar w:fldCharType="begin"/>
            </w:r>
            <w:r w:rsidR="00CE0689">
              <w:rPr>
                <w:noProof/>
                <w:webHidden/>
              </w:rPr>
              <w:instrText xml:space="preserve"> PAGEREF _Toc4589314 \h </w:instrText>
            </w:r>
            <w:r w:rsidR="00CE0689">
              <w:rPr>
                <w:noProof/>
                <w:webHidden/>
              </w:rPr>
            </w:r>
            <w:r w:rsidR="00CE0689">
              <w:rPr>
                <w:noProof/>
                <w:webHidden/>
              </w:rPr>
              <w:fldChar w:fldCharType="separate"/>
            </w:r>
            <w:r w:rsidR="00CE0689">
              <w:rPr>
                <w:noProof/>
                <w:webHidden/>
              </w:rPr>
              <w:t>52</w:t>
            </w:r>
            <w:r w:rsidR="00CE0689">
              <w:rPr>
                <w:noProof/>
                <w:webHidden/>
              </w:rPr>
              <w:fldChar w:fldCharType="end"/>
            </w:r>
          </w:hyperlink>
        </w:p>
        <w:p w14:paraId="2D00DCC4" w14:textId="1A595B24" w:rsidR="00CE0689" w:rsidRDefault="004C61E0">
          <w:pPr>
            <w:pStyle w:val="TOC3"/>
            <w:tabs>
              <w:tab w:val="right" w:leader="dot" w:pos="9016"/>
            </w:tabs>
            <w:rPr>
              <w:rFonts w:eastAsiaTheme="minorEastAsia"/>
              <w:noProof/>
              <w:lang w:eastAsia="en-GB"/>
            </w:rPr>
          </w:pPr>
          <w:hyperlink w:anchor="_Toc4589315" w:history="1">
            <w:r w:rsidR="00CE0689" w:rsidRPr="00794030">
              <w:rPr>
                <w:rStyle w:val="Hyperlink"/>
                <w:noProof/>
              </w:rPr>
              <w:t>3.1.1 DNA enhancers</w:t>
            </w:r>
            <w:r w:rsidR="00CE0689">
              <w:rPr>
                <w:noProof/>
                <w:webHidden/>
              </w:rPr>
              <w:tab/>
            </w:r>
            <w:r w:rsidR="00CE0689">
              <w:rPr>
                <w:noProof/>
                <w:webHidden/>
              </w:rPr>
              <w:fldChar w:fldCharType="begin"/>
            </w:r>
            <w:r w:rsidR="00CE0689">
              <w:rPr>
                <w:noProof/>
                <w:webHidden/>
              </w:rPr>
              <w:instrText xml:space="preserve"> PAGEREF _Toc4589315 \h </w:instrText>
            </w:r>
            <w:r w:rsidR="00CE0689">
              <w:rPr>
                <w:noProof/>
                <w:webHidden/>
              </w:rPr>
            </w:r>
            <w:r w:rsidR="00CE0689">
              <w:rPr>
                <w:noProof/>
                <w:webHidden/>
              </w:rPr>
              <w:fldChar w:fldCharType="separate"/>
            </w:r>
            <w:r w:rsidR="00CE0689">
              <w:rPr>
                <w:noProof/>
                <w:webHidden/>
              </w:rPr>
              <w:t>52</w:t>
            </w:r>
            <w:r w:rsidR="00CE0689">
              <w:rPr>
                <w:noProof/>
                <w:webHidden/>
              </w:rPr>
              <w:fldChar w:fldCharType="end"/>
            </w:r>
          </w:hyperlink>
        </w:p>
        <w:p w14:paraId="152207E6" w14:textId="40CAC8C8" w:rsidR="00CE0689" w:rsidRDefault="004C61E0">
          <w:pPr>
            <w:pStyle w:val="TOC2"/>
            <w:tabs>
              <w:tab w:val="right" w:leader="dot" w:pos="9016"/>
            </w:tabs>
            <w:rPr>
              <w:rFonts w:eastAsiaTheme="minorEastAsia"/>
              <w:noProof/>
              <w:lang w:eastAsia="en-GB"/>
            </w:rPr>
          </w:pPr>
          <w:hyperlink w:anchor="_Toc4589316" w:history="1">
            <w:r w:rsidR="00CE0689" w:rsidRPr="00794030">
              <w:rPr>
                <w:rStyle w:val="Hyperlink"/>
                <w:noProof/>
              </w:rPr>
              <w:t>3.2 Results</w:t>
            </w:r>
            <w:r w:rsidR="00CE0689">
              <w:rPr>
                <w:noProof/>
                <w:webHidden/>
              </w:rPr>
              <w:tab/>
            </w:r>
            <w:r w:rsidR="00CE0689">
              <w:rPr>
                <w:noProof/>
                <w:webHidden/>
              </w:rPr>
              <w:fldChar w:fldCharType="begin"/>
            </w:r>
            <w:r w:rsidR="00CE0689">
              <w:rPr>
                <w:noProof/>
                <w:webHidden/>
              </w:rPr>
              <w:instrText xml:space="preserve"> PAGEREF _Toc4589316 \h </w:instrText>
            </w:r>
            <w:r w:rsidR="00CE0689">
              <w:rPr>
                <w:noProof/>
                <w:webHidden/>
              </w:rPr>
            </w:r>
            <w:r w:rsidR="00CE0689">
              <w:rPr>
                <w:noProof/>
                <w:webHidden/>
              </w:rPr>
              <w:fldChar w:fldCharType="separate"/>
            </w:r>
            <w:r w:rsidR="00CE0689">
              <w:rPr>
                <w:noProof/>
                <w:webHidden/>
              </w:rPr>
              <w:t>53</w:t>
            </w:r>
            <w:r w:rsidR="00CE0689">
              <w:rPr>
                <w:noProof/>
                <w:webHidden/>
              </w:rPr>
              <w:fldChar w:fldCharType="end"/>
            </w:r>
          </w:hyperlink>
        </w:p>
        <w:p w14:paraId="5595BAFA" w14:textId="181065E3" w:rsidR="00CE0689" w:rsidRDefault="004C61E0">
          <w:pPr>
            <w:pStyle w:val="TOC3"/>
            <w:tabs>
              <w:tab w:val="right" w:leader="dot" w:pos="9016"/>
            </w:tabs>
            <w:rPr>
              <w:rFonts w:eastAsiaTheme="minorEastAsia"/>
              <w:noProof/>
              <w:lang w:eastAsia="en-GB"/>
            </w:rPr>
          </w:pPr>
          <w:hyperlink w:anchor="_Toc4589317" w:history="1">
            <w:r w:rsidR="00CE0689" w:rsidRPr="00794030">
              <w:rPr>
                <w:rStyle w:val="Hyperlink"/>
                <w:noProof/>
              </w:rPr>
              <w:t xml:space="preserve">3.2.1 Enhancer elements are differentially expressed throughout </w:t>
            </w:r>
            <w:r w:rsidR="00CE0689" w:rsidRPr="00794030">
              <w:rPr>
                <w:rStyle w:val="Hyperlink"/>
                <w:i/>
                <w:noProof/>
              </w:rPr>
              <w:t>Drosophila</w:t>
            </w:r>
            <w:r w:rsidR="00CE0689" w:rsidRPr="00794030">
              <w:rPr>
                <w:rStyle w:val="Hyperlink"/>
                <w:noProof/>
              </w:rPr>
              <w:t xml:space="preserve"> embryonic development</w:t>
            </w:r>
            <w:r w:rsidR="00CE0689">
              <w:rPr>
                <w:noProof/>
                <w:webHidden/>
              </w:rPr>
              <w:tab/>
            </w:r>
            <w:r w:rsidR="00CE0689">
              <w:rPr>
                <w:noProof/>
                <w:webHidden/>
              </w:rPr>
              <w:fldChar w:fldCharType="begin"/>
            </w:r>
            <w:r w:rsidR="00CE0689">
              <w:rPr>
                <w:noProof/>
                <w:webHidden/>
              </w:rPr>
              <w:instrText xml:space="preserve"> PAGEREF _Toc4589317 \h </w:instrText>
            </w:r>
            <w:r w:rsidR="00CE0689">
              <w:rPr>
                <w:noProof/>
                <w:webHidden/>
              </w:rPr>
            </w:r>
            <w:r w:rsidR="00CE0689">
              <w:rPr>
                <w:noProof/>
                <w:webHidden/>
              </w:rPr>
              <w:fldChar w:fldCharType="separate"/>
            </w:r>
            <w:r w:rsidR="00CE0689">
              <w:rPr>
                <w:noProof/>
                <w:webHidden/>
              </w:rPr>
              <w:t>56</w:t>
            </w:r>
            <w:r w:rsidR="00CE0689">
              <w:rPr>
                <w:noProof/>
                <w:webHidden/>
              </w:rPr>
              <w:fldChar w:fldCharType="end"/>
            </w:r>
          </w:hyperlink>
        </w:p>
        <w:p w14:paraId="6C32DA0A" w14:textId="2F3A5DA0" w:rsidR="00CE0689" w:rsidRDefault="004C61E0">
          <w:pPr>
            <w:pStyle w:val="TOC3"/>
            <w:tabs>
              <w:tab w:val="right" w:leader="dot" w:pos="9016"/>
            </w:tabs>
            <w:rPr>
              <w:rFonts w:eastAsiaTheme="minorEastAsia"/>
              <w:noProof/>
              <w:lang w:eastAsia="en-GB"/>
            </w:rPr>
          </w:pPr>
          <w:hyperlink w:anchor="_Toc4589318" w:history="1">
            <w:r w:rsidR="00CE0689" w:rsidRPr="00794030">
              <w:rPr>
                <w:rStyle w:val="Hyperlink"/>
                <w:noProof/>
              </w:rPr>
              <w:t>3.2.2 The existence of hemocyte subpopulations is confirmed by additional reporter lines</w:t>
            </w:r>
            <w:r w:rsidR="00CE0689">
              <w:rPr>
                <w:noProof/>
                <w:webHidden/>
              </w:rPr>
              <w:tab/>
            </w:r>
            <w:r w:rsidR="00CE0689">
              <w:rPr>
                <w:noProof/>
                <w:webHidden/>
              </w:rPr>
              <w:fldChar w:fldCharType="begin"/>
            </w:r>
            <w:r w:rsidR="00CE0689">
              <w:rPr>
                <w:noProof/>
                <w:webHidden/>
              </w:rPr>
              <w:instrText xml:space="preserve"> PAGEREF _Toc4589318 \h </w:instrText>
            </w:r>
            <w:r w:rsidR="00CE0689">
              <w:rPr>
                <w:noProof/>
                <w:webHidden/>
              </w:rPr>
            </w:r>
            <w:r w:rsidR="00CE0689">
              <w:rPr>
                <w:noProof/>
                <w:webHidden/>
              </w:rPr>
              <w:fldChar w:fldCharType="separate"/>
            </w:r>
            <w:r w:rsidR="00CE0689">
              <w:rPr>
                <w:noProof/>
                <w:webHidden/>
              </w:rPr>
              <w:t>60</w:t>
            </w:r>
            <w:r w:rsidR="00CE0689">
              <w:rPr>
                <w:noProof/>
                <w:webHidden/>
              </w:rPr>
              <w:fldChar w:fldCharType="end"/>
            </w:r>
          </w:hyperlink>
        </w:p>
        <w:p w14:paraId="75E3ADF0" w14:textId="6443DC92" w:rsidR="00CE0689" w:rsidRDefault="004C61E0">
          <w:pPr>
            <w:pStyle w:val="TOC3"/>
            <w:tabs>
              <w:tab w:val="right" w:leader="dot" w:pos="9016"/>
            </w:tabs>
            <w:rPr>
              <w:rFonts w:eastAsiaTheme="minorEastAsia"/>
              <w:noProof/>
              <w:lang w:eastAsia="en-GB"/>
            </w:rPr>
          </w:pPr>
          <w:hyperlink w:anchor="_Toc4589319" w:history="1">
            <w:r w:rsidR="00CE0689" w:rsidRPr="00794030">
              <w:rPr>
                <w:rStyle w:val="Hyperlink"/>
                <w:noProof/>
              </w:rPr>
              <w:t>3.2.3 Hemocyte subpopulations persist throughout life course</w:t>
            </w:r>
            <w:r w:rsidR="00CE0689">
              <w:rPr>
                <w:noProof/>
                <w:webHidden/>
              </w:rPr>
              <w:tab/>
            </w:r>
            <w:r w:rsidR="00CE0689">
              <w:rPr>
                <w:noProof/>
                <w:webHidden/>
              </w:rPr>
              <w:fldChar w:fldCharType="begin"/>
            </w:r>
            <w:r w:rsidR="00CE0689">
              <w:rPr>
                <w:noProof/>
                <w:webHidden/>
              </w:rPr>
              <w:instrText xml:space="preserve"> PAGEREF _Toc4589319 \h </w:instrText>
            </w:r>
            <w:r w:rsidR="00CE0689">
              <w:rPr>
                <w:noProof/>
                <w:webHidden/>
              </w:rPr>
            </w:r>
            <w:r w:rsidR="00CE0689">
              <w:rPr>
                <w:noProof/>
                <w:webHidden/>
              </w:rPr>
              <w:fldChar w:fldCharType="separate"/>
            </w:r>
            <w:r w:rsidR="00CE0689">
              <w:rPr>
                <w:noProof/>
                <w:webHidden/>
              </w:rPr>
              <w:t>62</w:t>
            </w:r>
            <w:r w:rsidR="00CE0689">
              <w:rPr>
                <w:noProof/>
                <w:webHidden/>
              </w:rPr>
              <w:fldChar w:fldCharType="end"/>
            </w:r>
          </w:hyperlink>
        </w:p>
        <w:p w14:paraId="3A94B737" w14:textId="272F596E" w:rsidR="00CE0689" w:rsidRDefault="004C61E0">
          <w:pPr>
            <w:pStyle w:val="TOC3"/>
            <w:tabs>
              <w:tab w:val="right" w:leader="dot" w:pos="9016"/>
            </w:tabs>
            <w:rPr>
              <w:rFonts w:eastAsiaTheme="minorEastAsia"/>
              <w:noProof/>
              <w:lang w:eastAsia="en-GB"/>
            </w:rPr>
          </w:pPr>
          <w:hyperlink w:anchor="_Toc4589320" w:history="1">
            <w:r w:rsidR="00CE0689" w:rsidRPr="00794030">
              <w:rPr>
                <w:rStyle w:val="Hyperlink"/>
                <w:noProof/>
              </w:rPr>
              <w:t>3.2.4 Hemocyte subpopulations share similar cellular morphologies</w:t>
            </w:r>
            <w:r w:rsidR="00CE0689">
              <w:rPr>
                <w:noProof/>
                <w:webHidden/>
              </w:rPr>
              <w:tab/>
            </w:r>
            <w:r w:rsidR="00CE0689">
              <w:rPr>
                <w:noProof/>
                <w:webHidden/>
              </w:rPr>
              <w:fldChar w:fldCharType="begin"/>
            </w:r>
            <w:r w:rsidR="00CE0689">
              <w:rPr>
                <w:noProof/>
                <w:webHidden/>
              </w:rPr>
              <w:instrText xml:space="preserve"> PAGEREF _Toc4589320 \h </w:instrText>
            </w:r>
            <w:r w:rsidR="00CE0689">
              <w:rPr>
                <w:noProof/>
                <w:webHidden/>
              </w:rPr>
            </w:r>
            <w:r w:rsidR="00CE0689">
              <w:rPr>
                <w:noProof/>
                <w:webHidden/>
              </w:rPr>
              <w:fldChar w:fldCharType="separate"/>
            </w:r>
            <w:r w:rsidR="00CE0689">
              <w:rPr>
                <w:noProof/>
                <w:webHidden/>
              </w:rPr>
              <w:t>67</w:t>
            </w:r>
            <w:r w:rsidR="00CE0689">
              <w:rPr>
                <w:noProof/>
                <w:webHidden/>
              </w:rPr>
              <w:fldChar w:fldCharType="end"/>
            </w:r>
          </w:hyperlink>
        </w:p>
        <w:p w14:paraId="76458987" w14:textId="207E92D3" w:rsidR="00CE0689" w:rsidRDefault="004C61E0">
          <w:pPr>
            <w:pStyle w:val="TOC3"/>
            <w:tabs>
              <w:tab w:val="right" w:leader="dot" w:pos="9016"/>
            </w:tabs>
            <w:rPr>
              <w:rFonts w:eastAsiaTheme="minorEastAsia"/>
              <w:noProof/>
              <w:lang w:eastAsia="en-GB"/>
            </w:rPr>
          </w:pPr>
          <w:hyperlink w:anchor="_Toc4589321" w:history="1">
            <w:r w:rsidR="00CE0689" w:rsidRPr="00794030">
              <w:rPr>
                <w:rStyle w:val="Hyperlink"/>
                <w:noProof/>
              </w:rPr>
              <w:t xml:space="preserve">3.2.5 Hemocyte subpopulations efficiently phagocytose </w:t>
            </w:r>
            <w:r w:rsidR="00CE0689" w:rsidRPr="00794030">
              <w:rPr>
                <w:rStyle w:val="Hyperlink"/>
                <w:i/>
                <w:noProof/>
              </w:rPr>
              <w:t>E. coli</w:t>
            </w:r>
            <w:r w:rsidR="00CE0689">
              <w:rPr>
                <w:noProof/>
                <w:webHidden/>
              </w:rPr>
              <w:tab/>
            </w:r>
            <w:r w:rsidR="00CE0689">
              <w:rPr>
                <w:noProof/>
                <w:webHidden/>
              </w:rPr>
              <w:fldChar w:fldCharType="begin"/>
            </w:r>
            <w:r w:rsidR="00CE0689">
              <w:rPr>
                <w:noProof/>
                <w:webHidden/>
              </w:rPr>
              <w:instrText xml:space="preserve"> PAGEREF _Toc4589321 \h </w:instrText>
            </w:r>
            <w:r w:rsidR="00CE0689">
              <w:rPr>
                <w:noProof/>
                <w:webHidden/>
              </w:rPr>
            </w:r>
            <w:r w:rsidR="00CE0689">
              <w:rPr>
                <w:noProof/>
                <w:webHidden/>
              </w:rPr>
              <w:fldChar w:fldCharType="separate"/>
            </w:r>
            <w:r w:rsidR="00CE0689">
              <w:rPr>
                <w:noProof/>
                <w:webHidden/>
              </w:rPr>
              <w:t>69</w:t>
            </w:r>
            <w:r w:rsidR="00CE0689">
              <w:rPr>
                <w:noProof/>
                <w:webHidden/>
              </w:rPr>
              <w:fldChar w:fldCharType="end"/>
            </w:r>
          </w:hyperlink>
        </w:p>
        <w:p w14:paraId="64B9E3FF" w14:textId="53FA53CB" w:rsidR="00CE0689" w:rsidRDefault="004C61E0">
          <w:pPr>
            <w:pStyle w:val="TOC3"/>
            <w:tabs>
              <w:tab w:val="right" w:leader="dot" w:pos="9016"/>
            </w:tabs>
            <w:rPr>
              <w:rFonts w:eastAsiaTheme="minorEastAsia"/>
              <w:noProof/>
              <w:lang w:eastAsia="en-GB"/>
            </w:rPr>
          </w:pPr>
          <w:hyperlink w:anchor="_Toc4589322" w:history="1">
            <w:r w:rsidR="00CE0689" w:rsidRPr="00794030">
              <w:rPr>
                <w:rStyle w:val="Hyperlink"/>
                <w:noProof/>
              </w:rPr>
              <w:t>3.2.6 Hemocyte subpopulations stain positive for reactive Oxygen species</w:t>
            </w:r>
            <w:r w:rsidR="00CE0689">
              <w:rPr>
                <w:noProof/>
                <w:webHidden/>
              </w:rPr>
              <w:tab/>
            </w:r>
            <w:r w:rsidR="00CE0689">
              <w:rPr>
                <w:noProof/>
                <w:webHidden/>
              </w:rPr>
              <w:fldChar w:fldCharType="begin"/>
            </w:r>
            <w:r w:rsidR="00CE0689">
              <w:rPr>
                <w:noProof/>
                <w:webHidden/>
              </w:rPr>
              <w:instrText xml:space="preserve"> PAGEREF _Toc4589322 \h </w:instrText>
            </w:r>
            <w:r w:rsidR="00CE0689">
              <w:rPr>
                <w:noProof/>
                <w:webHidden/>
              </w:rPr>
            </w:r>
            <w:r w:rsidR="00CE0689">
              <w:rPr>
                <w:noProof/>
                <w:webHidden/>
              </w:rPr>
              <w:fldChar w:fldCharType="separate"/>
            </w:r>
            <w:r w:rsidR="00CE0689">
              <w:rPr>
                <w:noProof/>
                <w:webHidden/>
              </w:rPr>
              <w:t>71</w:t>
            </w:r>
            <w:r w:rsidR="00CE0689">
              <w:rPr>
                <w:noProof/>
                <w:webHidden/>
              </w:rPr>
              <w:fldChar w:fldCharType="end"/>
            </w:r>
          </w:hyperlink>
        </w:p>
        <w:p w14:paraId="4A6C9377" w14:textId="31B89872" w:rsidR="00CE0689" w:rsidRDefault="004C61E0">
          <w:pPr>
            <w:pStyle w:val="TOC3"/>
            <w:tabs>
              <w:tab w:val="right" w:leader="dot" w:pos="9016"/>
            </w:tabs>
            <w:rPr>
              <w:rFonts w:eastAsiaTheme="minorEastAsia"/>
              <w:noProof/>
              <w:lang w:eastAsia="en-GB"/>
            </w:rPr>
          </w:pPr>
          <w:hyperlink w:anchor="_Toc4589323" w:history="1">
            <w:r w:rsidR="00CE0689" w:rsidRPr="00794030">
              <w:rPr>
                <w:rStyle w:val="Hyperlink"/>
                <w:noProof/>
              </w:rPr>
              <w:t>3.2.7 A number of enhancer lines label faster moving hemocyte subpopulations</w:t>
            </w:r>
            <w:r w:rsidR="00CE0689">
              <w:rPr>
                <w:noProof/>
                <w:webHidden/>
              </w:rPr>
              <w:tab/>
            </w:r>
            <w:r w:rsidR="00CE0689">
              <w:rPr>
                <w:noProof/>
                <w:webHidden/>
              </w:rPr>
              <w:fldChar w:fldCharType="begin"/>
            </w:r>
            <w:r w:rsidR="00CE0689">
              <w:rPr>
                <w:noProof/>
                <w:webHidden/>
              </w:rPr>
              <w:instrText xml:space="preserve"> PAGEREF _Toc4589323 \h </w:instrText>
            </w:r>
            <w:r w:rsidR="00CE0689">
              <w:rPr>
                <w:noProof/>
                <w:webHidden/>
              </w:rPr>
            </w:r>
            <w:r w:rsidR="00CE0689">
              <w:rPr>
                <w:noProof/>
                <w:webHidden/>
              </w:rPr>
              <w:fldChar w:fldCharType="separate"/>
            </w:r>
            <w:r w:rsidR="00CE0689">
              <w:rPr>
                <w:noProof/>
                <w:webHidden/>
              </w:rPr>
              <w:t>73</w:t>
            </w:r>
            <w:r w:rsidR="00CE0689">
              <w:rPr>
                <w:noProof/>
                <w:webHidden/>
              </w:rPr>
              <w:fldChar w:fldCharType="end"/>
            </w:r>
          </w:hyperlink>
        </w:p>
        <w:p w14:paraId="4262104D" w14:textId="18E02B09" w:rsidR="00CE0689" w:rsidRDefault="004C61E0">
          <w:pPr>
            <w:pStyle w:val="TOC3"/>
            <w:tabs>
              <w:tab w:val="right" w:leader="dot" w:pos="9016"/>
            </w:tabs>
            <w:rPr>
              <w:rFonts w:eastAsiaTheme="minorEastAsia"/>
              <w:noProof/>
              <w:lang w:eastAsia="en-GB"/>
            </w:rPr>
          </w:pPr>
          <w:hyperlink w:anchor="_Toc4589324" w:history="1">
            <w:r w:rsidR="00CE0689" w:rsidRPr="00794030">
              <w:rPr>
                <w:rStyle w:val="Hyperlink"/>
                <w:noProof/>
              </w:rPr>
              <w:t>3.2.8 Lightsheet imaging further confirms the existence of our subpopulations</w:t>
            </w:r>
            <w:r w:rsidR="00CE0689">
              <w:rPr>
                <w:noProof/>
                <w:webHidden/>
              </w:rPr>
              <w:tab/>
            </w:r>
            <w:r w:rsidR="00CE0689">
              <w:rPr>
                <w:noProof/>
                <w:webHidden/>
              </w:rPr>
              <w:fldChar w:fldCharType="begin"/>
            </w:r>
            <w:r w:rsidR="00CE0689">
              <w:rPr>
                <w:noProof/>
                <w:webHidden/>
              </w:rPr>
              <w:instrText xml:space="preserve"> PAGEREF _Toc4589324 \h </w:instrText>
            </w:r>
            <w:r w:rsidR="00CE0689">
              <w:rPr>
                <w:noProof/>
                <w:webHidden/>
              </w:rPr>
            </w:r>
            <w:r w:rsidR="00CE0689">
              <w:rPr>
                <w:noProof/>
                <w:webHidden/>
              </w:rPr>
              <w:fldChar w:fldCharType="separate"/>
            </w:r>
            <w:r w:rsidR="00CE0689">
              <w:rPr>
                <w:noProof/>
                <w:webHidden/>
              </w:rPr>
              <w:t>75</w:t>
            </w:r>
            <w:r w:rsidR="00CE0689">
              <w:rPr>
                <w:noProof/>
                <w:webHidden/>
              </w:rPr>
              <w:fldChar w:fldCharType="end"/>
            </w:r>
          </w:hyperlink>
        </w:p>
        <w:p w14:paraId="47182C2B" w14:textId="3ECFF1B1" w:rsidR="00CE0689" w:rsidRDefault="004C61E0">
          <w:pPr>
            <w:pStyle w:val="TOC3"/>
            <w:tabs>
              <w:tab w:val="right" w:leader="dot" w:pos="9016"/>
            </w:tabs>
            <w:rPr>
              <w:rFonts w:eastAsiaTheme="minorEastAsia"/>
              <w:noProof/>
              <w:lang w:eastAsia="en-GB"/>
            </w:rPr>
          </w:pPr>
          <w:hyperlink w:anchor="_Toc4589325" w:history="1">
            <w:r w:rsidR="00CE0689" w:rsidRPr="00794030">
              <w:rPr>
                <w:rStyle w:val="Hyperlink"/>
                <w:noProof/>
              </w:rPr>
              <w:t>3.2.9 Several enhancer lines reveal hemocyte subpopulations that display more potent responses to wounding</w:t>
            </w:r>
            <w:r w:rsidR="00CE0689">
              <w:rPr>
                <w:noProof/>
                <w:webHidden/>
              </w:rPr>
              <w:tab/>
            </w:r>
            <w:r w:rsidR="00CE0689">
              <w:rPr>
                <w:noProof/>
                <w:webHidden/>
              </w:rPr>
              <w:fldChar w:fldCharType="begin"/>
            </w:r>
            <w:r w:rsidR="00CE0689">
              <w:rPr>
                <w:noProof/>
                <w:webHidden/>
              </w:rPr>
              <w:instrText xml:space="preserve"> PAGEREF _Toc4589325 \h </w:instrText>
            </w:r>
            <w:r w:rsidR="00CE0689">
              <w:rPr>
                <w:noProof/>
                <w:webHidden/>
              </w:rPr>
            </w:r>
            <w:r w:rsidR="00CE0689">
              <w:rPr>
                <w:noProof/>
                <w:webHidden/>
              </w:rPr>
              <w:fldChar w:fldCharType="separate"/>
            </w:r>
            <w:r w:rsidR="00CE0689">
              <w:rPr>
                <w:noProof/>
                <w:webHidden/>
              </w:rPr>
              <w:t>77</w:t>
            </w:r>
            <w:r w:rsidR="00CE0689">
              <w:rPr>
                <w:noProof/>
                <w:webHidden/>
              </w:rPr>
              <w:fldChar w:fldCharType="end"/>
            </w:r>
          </w:hyperlink>
        </w:p>
        <w:p w14:paraId="0563516E" w14:textId="1EC97ED0" w:rsidR="00CE0689" w:rsidRDefault="004C61E0">
          <w:pPr>
            <w:pStyle w:val="TOC3"/>
            <w:tabs>
              <w:tab w:val="right" w:leader="dot" w:pos="9016"/>
            </w:tabs>
            <w:rPr>
              <w:rFonts w:eastAsiaTheme="minorEastAsia"/>
              <w:noProof/>
              <w:lang w:eastAsia="en-GB"/>
            </w:rPr>
          </w:pPr>
          <w:hyperlink w:anchor="_Toc4589326" w:history="1">
            <w:r w:rsidR="00CE0689" w:rsidRPr="00794030">
              <w:rPr>
                <w:rStyle w:val="Hyperlink"/>
                <w:noProof/>
              </w:rPr>
              <w:t>3.2.10 Subpopulations contain different amounts of apoptotic cells</w:t>
            </w:r>
            <w:r w:rsidR="00CE0689">
              <w:rPr>
                <w:noProof/>
                <w:webHidden/>
              </w:rPr>
              <w:tab/>
            </w:r>
            <w:r w:rsidR="00CE0689">
              <w:rPr>
                <w:noProof/>
                <w:webHidden/>
              </w:rPr>
              <w:fldChar w:fldCharType="begin"/>
            </w:r>
            <w:r w:rsidR="00CE0689">
              <w:rPr>
                <w:noProof/>
                <w:webHidden/>
              </w:rPr>
              <w:instrText xml:space="preserve"> PAGEREF _Toc4589326 \h </w:instrText>
            </w:r>
            <w:r w:rsidR="00CE0689">
              <w:rPr>
                <w:noProof/>
                <w:webHidden/>
              </w:rPr>
            </w:r>
            <w:r w:rsidR="00CE0689">
              <w:rPr>
                <w:noProof/>
                <w:webHidden/>
              </w:rPr>
              <w:fldChar w:fldCharType="separate"/>
            </w:r>
            <w:r w:rsidR="00CE0689">
              <w:rPr>
                <w:noProof/>
                <w:webHidden/>
              </w:rPr>
              <w:t>79</w:t>
            </w:r>
            <w:r w:rsidR="00CE0689">
              <w:rPr>
                <w:noProof/>
                <w:webHidden/>
              </w:rPr>
              <w:fldChar w:fldCharType="end"/>
            </w:r>
          </w:hyperlink>
        </w:p>
        <w:p w14:paraId="4E379A57" w14:textId="2420E246" w:rsidR="00CE0689" w:rsidRDefault="004C61E0">
          <w:pPr>
            <w:pStyle w:val="TOC3"/>
            <w:tabs>
              <w:tab w:val="right" w:leader="dot" w:pos="9016"/>
            </w:tabs>
            <w:rPr>
              <w:rFonts w:eastAsiaTheme="minorEastAsia"/>
              <w:noProof/>
              <w:lang w:eastAsia="en-GB"/>
            </w:rPr>
          </w:pPr>
          <w:hyperlink w:anchor="_Toc4589327" w:history="1">
            <w:r w:rsidR="00CE0689" w:rsidRPr="00794030">
              <w:rPr>
                <w:rStyle w:val="Hyperlink"/>
                <w:noProof/>
              </w:rPr>
              <w:t>3.2.11 Potential genes under control of our enhancers</w:t>
            </w:r>
            <w:r w:rsidR="00CE0689">
              <w:rPr>
                <w:noProof/>
                <w:webHidden/>
              </w:rPr>
              <w:tab/>
            </w:r>
            <w:r w:rsidR="00CE0689">
              <w:rPr>
                <w:noProof/>
                <w:webHidden/>
              </w:rPr>
              <w:fldChar w:fldCharType="begin"/>
            </w:r>
            <w:r w:rsidR="00CE0689">
              <w:rPr>
                <w:noProof/>
                <w:webHidden/>
              </w:rPr>
              <w:instrText xml:space="preserve"> PAGEREF _Toc4589327 \h </w:instrText>
            </w:r>
            <w:r w:rsidR="00CE0689">
              <w:rPr>
                <w:noProof/>
                <w:webHidden/>
              </w:rPr>
            </w:r>
            <w:r w:rsidR="00CE0689">
              <w:rPr>
                <w:noProof/>
                <w:webHidden/>
              </w:rPr>
              <w:fldChar w:fldCharType="separate"/>
            </w:r>
            <w:r w:rsidR="00CE0689">
              <w:rPr>
                <w:noProof/>
                <w:webHidden/>
              </w:rPr>
              <w:t>81</w:t>
            </w:r>
            <w:r w:rsidR="00CE0689">
              <w:rPr>
                <w:noProof/>
                <w:webHidden/>
              </w:rPr>
              <w:fldChar w:fldCharType="end"/>
            </w:r>
          </w:hyperlink>
        </w:p>
        <w:p w14:paraId="4628C9FB" w14:textId="1CEAA17D" w:rsidR="00CE0689" w:rsidRDefault="004C61E0">
          <w:pPr>
            <w:pStyle w:val="TOC3"/>
            <w:tabs>
              <w:tab w:val="right" w:leader="dot" w:pos="9016"/>
            </w:tabs>
            <w:rPr>
              <w:rFonts w:eastAsiaTheme="minorEastAsia"/>
              <w:noProof/>
              <w:lang w:eastAsia="en-GB"/>
            </w:rPr>
          </w:pPr>
          <w:hyperlink w:anchor="_Toc4589328" w:history="1">
            <w:r w:rsidR="00CE0689" w:rsidRPr="00794030">
              <w:rPr>
                <w:rStyle w:val="Hyperlink"/>
                <w:noProof/>
              </w:rPr>
              <w:t>3.2.12 Overexpression of calnexin in hemocytes increases hemocyte recruitment to wounds</w:t>
            </w:r>
            <w:r w:rsidR="00CE0689">
              <w:rPr>
                <w:noProof/>
                <w:webHidden/>
              </w:rPr>
              <w:tab/>
            </w:r>
            <w:r w:rsidR="00CE0689">
              <w:rPr>
                <w:noProof/>
                <w:webHidden/>
              </w:rPr>
              <w:fldChar w:fldCharType="begin"/>
            </w:r>
            <w:r w:rsidR="00CE0689">
              <w:rPr>
                <w:noProof/>
                <w:webHidden/>
              </w:rPr>
              <w:instrText xml:space="preserve"> PAGEREF _Toc4589328 \h </w:instrText>
            </w:r>
            <w:r w:rsidR="00CE0689">
              <w:rPr>
                <w:noProof/>
                <w:webHidden/>
              </w:rPr>
            </w:r>
            <w:r w:rsidR="00CE0689">
              <w:rPr>
                <w:noProof/>
                <w:webHidden/>
              </w:rPr>
              <w:fldChar w:fldCharType="separate"/>
            </w:r>
            <w:r w:rsidR="00CE0689">
              <w:rPr>
                <w:noProof/>
                <w:webHidden/>
              </w:rPr>
              <w:t>82</w:t>
            </w:r>
            <w:r w:rsidR="00CE0689">
              <w:rPr>
                <w:noProof/>
                <w:webHidden/>
              </w:rPr>
              <w:fldChar w:fldCharType="end"/>
            </w:r>
          </w:hyperlink>
        </w:p>
        <w:p w14:paraId="25D97BE0" w14:textId="10E80B5C" w:rsidR="00CE0689" w:rsidRDefault="004C61E0">
          <w:pPr>
            <w:pStyle w:val="TOC2"/>
            <w:tabs>
              <w:tab w:val="right" w:leader="dot" w:pos="9016"/>
            </w:tabs>
            <w:rPr>
              <w:rFonts w:eastAsiaTheme="minorEastAsia"/>
              <w:noProof/>
              <w:lang w:eastAsia="en-GB"/>
            </w:rPr>
          </w:pPr>
          <w:hyperlink w:anchor="_Toc4589329" w:history="1">
            <w:r w:rsidR="00CE0689" w:rsidRPr="00794030">
              <w:rPr>
                <w:rStyle w:val="Hyperlink"/>
                <w:noProof/>
              </w:rPr>
              <w:t>3.3 Discussion</w:t>
            </w:r>
            <w:r w:rsidR="00CE0689">
              <w:rPr>
                <w:noProof/>
                <w:webHidden/>
              </w:rPr>
              <w:tab/>
            </w:r>
            <w:r w:rsidR="00CE0689">
              <w:rPr>
                <w:noProof/>
                <w:webHidden/>
              </w:rPr>
              <w:fldChar w:fldCharType="begin"/>
            </w:r>
            <w:r w:rsidR="00CE0689">
              <w:rPr>
                <w:noProof/>
                <w:webHidden/>
              </w:rPr>
              <w:instrText xml:space="preserve"> PAGEREF _Toc4589329 \h </w:instrText>
            </w:r>
            <w:r w:rsidR="00CE0689">
              <w:rPr>
                <w:noProof/>
                <w:webHidden/>
              </w:rPr>
            </w:r>
            <w:r w:rsidR="00CE0689">
              <w:rPr>
                <w:noProof/>
                <w:webHidden/>
              </w:rPr>
              <w:fldChar w:fldCharType="separate"/>
            </w:r>
            <w:r w:rsidR="00CE0689">
              <w:rPr>
                <w:noProof/>
                <w:webHidden/>
              </w:rPr>
              <w:t>85</w:t>
            </w:r>
            <w:r w:rsidR="00CE0689">
              <w:rPr>
                <w:noProof/>
                <w:webHidden/>
              </w:rPr>
              <w:fldChar w:fldCharType="end"/>
            </w:r>
          </w:hyperlink>
        </w:p>
        <w:p w14:paraId="2372041D" w14:textId="18ECA252" w:rsidR="00CE0689" w:rsidRDefault="004C61E0">
          <w:pPr>
            <w:pStyle w:val="TOC3"/>
            <w:tabs>
              <w:tab w:val="right" w:leader="dot" w:pos="9016"/>
            </w:tabs>
            <w:rPr>
              <w:rFonts w:eastAsiaTheme="minorEastAsia"/>
              <w:noProof/>
              <w:lang w:eastAsia="en-GB"/>
            </w:rPr>
          </w:pPr>
          <w:hyperlink w:anchor="_Toc4589330" w:history="1">
            <w:r w:rsidR="00CE0689" w:rsidRPr="00794030">
              <w:rPr>
                <w:rStyle w:val="Hyperlink"/>
                <w:noProof/>
              </w:rPr>
              <w:t xml:space="preserve">3.3.1 </w:t>
            </w:r>
            <w:r w:rsidR="00CE0689" w:rsidRPr="00794030">
              <w:rPr>
                <w:rStyle w:val="Hyperlink"/>
                <w:i/>
                <w:noProof/>
              </w:rPr>
              <w:t>Drosophila</w:t>
            </w:r>
            <w:r w:rsidR="00CE0689" w:rsidRPr="00794030">
              <w:rPr>
                <w:rStyle w:val="Hyperlink"/>
                <w:noProof/>
              </w:rPr>
              <w:t xml:space="preserve"> hemocytes exist as a heterogeneous population</w:t>
            </w:r>
            <w:r w:rsidR="00CE0689">
              <w:rPr>
                <w:noProof/>
                <w:webHidden/>
              </w:rPr>
              <w:tab/>
            </w:r>
            <w:r w:rsidR="00CE0689">
              <w:rPr>
                <w:noProof/>
                <w:webHidden/>
              </w:rPr>
              <w:fldChar w:fldCharType="begin"/>
            </w:r>
            <w:r w:rsidR="00CE0689">
              <w:rPr>
                <w:noProof/>
                <w:webHidden/>
              </w:rPr>
              <w:instrText xml:space="preserve"> PAGEREF _Toc4589330 \h </w:instrText>
            </w:r>
            <w:r w:rsidR="00CE0689">
              <w:rPr>
                <w:noProof/>
                <w:webHidden/>
              </w:rPr>
            </w:r>
            <w:r w:rsidR="00CE0689">
              <w:rPr>
                <w:noProof/>
                <w:webHidden/>
              </w:rPr>
              <w:fldChar w:fldCharType="separate"/>
            </w:r>
            <w:r w:rsidR="00CE0689">
              <w:rPr>
                <w:noProof/>
                <w:webHidden/>
              </w:rPr>
              <w:t>85</w:t>
            </w:r>
            <w:r w:rsidR="00CE0689">
              <w:rPr>
                <w:noProof/>
                <w:webHidden/>
              </w:rPr>
              <w:fldChar w:fldCharType="end"/>
            </w:r>
          </w:hyperlink>
        </w:p>
        <w:p w14:paraId="681487CD" w14:textId="2A43C6F0" w:rsidR="00CE0689" w:rsidRDefault="004C61E0">
          <w:pPr>
            <w:pStyle w:val="TOC3"/>
            <w:tabs>
              <w:tab w:val="right" w:leader="dot" w:pos="9016"/>
            </w:tabs>
            <w:rPr>
              <w:rFonts w:eastAsiaTheme="minorEastAsia"/>
              <w:noProof/>
              <w:lang w:eastAsia="en-GB"/>
            </w:rPr>
          </w:pPr>
          <w:hyperlink w:anchor="_Toc4589331" w:history="1">
            <w:r w:rsidR="00CE0689" w:rsidRPr="00794030">
              <w:rPr>
                <w:rStyle w:val="Hyperlink"/>
                <w:noProof/>
              </w:rPr>
              <w:t>3.3.2 Hemocyte subpopulations are functionally distinct</w:t>
            </w:r>
            <w:r w:rsidR="00CE0689">
              <w:rPr>
                <w:noProof/>
                <w:webHidden/>
              </w:rPr>
              <w:tab/>
            </w:r>
            <w:r w:rsidR="00CE0689">
              <w:rPr>
                <w:noProof/>
                <w:webHidden/>
              </w:rPr>
              <w:fldChar w:fldCharType="begin"/>
            </w:r>
            <w:r w:rsidR="00CE0689">
              <w:rPr>
                <w:noProof/>
                <w:webHidden/>
              </w:rPr>
              <w:instrText xml:space="preserve"> PAGEREF _Toc4589331 \h </w:instrText>
            </w:r>
            <w:r w:rsidR="00CE0689">
              <w:rPr>
                <w:noProof/>
                <w:webHidden/>
              </w:rPr>
            </w:r>
            <w:r w:rsidR="00CE0689">
              <w:rPr>
                <w:noProof/>
                <w:webHidden/>
              </w:rPr>
              <w:fldChar w:fldCharType="separate"/>
            </w:r>
            <w:r w:rsidR="00CE0689">
              <w:rPr>
                <w:noProof/>
                <w:webHidden/>
              </w:rPr>
              <w:t>88</w:t>
            </w:r>
            <w:r w:rsidR="00CE0689">
              <w:rPr>
                <w:noProof/>
                <w:webHidden/>
              </w:rPr>
              <w:fldChar w:fldCharType="end"/>
            </w:r>
          </w:hyperlink>
        </w:p>
        <w:p w14:paraId="76AAB74F" w14:textId="2F3B0379" w:rsidR="00CE0689" w:rsidRDefault="004C61E0">
          <w:pPr>
            <w:pStyle w:val="TOC3"/>
            <w:tabs>
              <w:tab w:val="right" w:leader="dot" w:pos="9016"/>
            </w:tabs>
            <w:rPr>
              <w:rFonts w:eastAsiaTheme="minorEastAsia"/>
              <w:noProof/>
              <w:lang w:eastAsia="en-GB"/>
            </w:rPr>
          </w:pPr>
          <w:hyperlink w:anchor="_Toc4589332" w:history="1">
            <w:r w:rsidR="00CE0689" w:rsidRPr="00794030">
              <w:rPr>
                <w:rStyle w:val="Hyperlink"/>
                <w:noProof/>
              </w:rPr>
              <w:t>3.3.3 Cnx14D as a mechanism for VT62766 inflammatory responses</w:t>
            </w:r>
            <w:r w:rsidR="00CE0689">
              <w:rPr>
                <w:noProof/>
                <w:webHidden/>
              </w:rPr>
              <w:tab/>
            </w:r>
            <w:r w:rsidR="00CE0689">
              <w:rPr>
                <w:noProof/>
                <w:webHidden/>
              </w:rPr>
              <w:fldChar w:fldCharType="begin"/>
            </w:r>
            <w:r w:rsidR="00CE0689">
              <w:rPr>
                <w:noProof/>
                <w:webHidden/>
              </w:rPr>
              <w:instrText xml:space="preserve"> PAGEREF _Toc4589332 \h </w:instrText>
            </w:r>
            <w:r w:rsidR="00CE0689">
              <w:rPr>
                <w:noProof/>
                <w:webHidden/>
              </w:rPr>
            </w:r>
            <w:r w:rsidR="00CE0689">
              <w:rPr>
                <w:noProof/>
                <w:webHidden/>
              </w:rPr>
              <w:fldChar w:fldCharType="separate"/>
            </w:r>
            <w:r w:rsidR="00CE0689">
              <w:rPr>
                <w:noProof/>
                <w:webHidden/>
              </w:rPr>
              <w:t>91</w:t>
            </w:r>
            <w:r w:rsidR="00CE0689">
              <w:rPr>
                <w:noProof/>
                <w:webHidden/>
              </w:rPr>
              <w:fldChar w:fldCharType="end"/>
            </w:r>
          </w:hyperlink>
        </w:p>
        <w:p w14:paraId="0E474ADD" w14:textId="543F2F6C" w:rsidR="00CE0689" w:rsidRDefault="004C61E0">
          <w:pPr>
            <w:pStyle w:val="TOC2"/>
            <w:tabs>
              <w:tab w:val="right" w:leader="dot" w:pos="9016"/>
            </w:tabs>
            <w:rPr>
              <w:rFonts w:eastAsiaTheme="minorEastAsia"/>
              <w:noProof/>
              <w:lang w:eastAsia="en-GB"/>
            </w:rPr>
          </w:pPr>
          <w:hyperlink w:anchor="_Toc4589333" w:history="1">
            <w:r w:rsidR="00CE0689" w:rsidRPr="00794030">
              <w:rPr>
                <w:rStyle w:val="Hyperlink"/>
                <w:noProof/>
              </w:rPr>
              <w:t>3.4 Conclusion</w:t>
            </w:r>
            <w:r w:rsidR="00CE0689">
              <w:rPr>
                <w:noProof/>
                <w:webHidden/>
              </w:rPr>
              <w:tab/>
            </w:r>
            <w:r w:rsidR="00CE0689">
              <w:rPr>
                <w:noProof/>
                <w:webHidden/>
              </w:rPr>
              <w:fldChar w:fldCharType="begin"/>
            </w:r>
            <w:r w:rsidR="00CE0689">
              <w:rPr>
                <w:noProof/>
                <w:webHidden/>
              </w:rPr>
              <w:instrText xml:space="preserve"> PAGEREF _Toc4589333 \h </w:instrText>
            </w:r>
            <w:r w:rsidR="00CE0689">
              <w:rPr>
                <w:noProof/>
                <w:webHidden/>
              </w:rPr>
            </w:r>
            <w:r w:rsidR="00CE0689">
              <w:rPr>
                <w:noProof/>
                <w:webHidden/>
              </w:rPr>
              <w:fldChar w:fldCharType="separate"/>
            </w:r>
            <w:r w:rsidR="00CE0689">
              <w:rPr>
                <w:noProof/>
                <w:webHidden/>
              </w:rPr>
              <w:t>92</w:t>
            </w:r>
            <w:r w:rsidR="00CE0689">
              <w:rPr>
                <w:noProof/>
                <w:webHidden/>
              </w:rPr>
              <w:fldChar w:fldCharType="end"/>
            </w:r>
          </w:hyperlink>
        </w:p>
        <w:p w14:paraId="600FA8D2" w14:textId="0BAB2C3D" w:rsidR="00CE0689" w:rsidRDefault="004C61E0">
          <w:pPr>
            <w:pStyle w:val="TOC1"/>
            <w:tabs>
              <w:tab w:val="right" w:leader="dot" w:pos="9016"/>
            </w:tabs>
            <w:rPr>
              <w:rFonts w:eastAsiaTheme="minorEastAsia"/>
              <w:noProof/>
              <w:lang w:eastAsia="en-GB"/>
            </w:rPr>
          </w:pPr>
          <w:hyperlink w:anchor="_Toc4589334" w:history="1">
            <w:r w:rsidR="00CE0689" w:rsidRPr="00794030">
              <w:rPr>
                <w:rStyle w:val="Hyperlink"/>
                <w:noProof/>
              </w:rPr>
              <w:t xml:space="preserve">Chapter 4. Screening mammalian macrophage polarisation pathways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_Toc4589334 \h </w:instrText>
            </w:r>
            <w:r w:rsidR="00CE0689">
              <w:rPr>
                <w:noProof/>
                <w:webHidden/>
              </w:rPr>
            </w:r>
            <w:r w:rsidR="00CE0689">
              <w:rPr>
                <w:noProof/>
                <w:webHidden/>
              </w:rPr>
              <w:fldChar w:fldCharType="separate"/>
            </w:r>
            <w:r w:rsidR="00CE0689">
              <w:rPr>
                <w:noProof/>
                <w:webHidden/>
              </w:rPr>
              <w:t>94</w:t>
            </w:r>
            <w:r w:rsidR="00CE0689">
              <w:rPr>
                <w:noProof/>
                <w:webHidden/>
              </w:rPr>
              <w:fldChar w:fldCharType="end"/>
            </w:r>
          </w:hyperlink>
        </w:p>
        <w:p w14:paraId="53CC6464" w14:textId="13C89416" w:rsidR="00CE0689" w:rsidRDefault="004C61E0">
          <w:pPr>
            <w:pStyle w:val="TOC2"/>
            <w:tabs>
              <w:tab w:val="right" w:leader="dot" w:pos="9016"/>
            </w:tabs>
            <w:rPr>
              <w:rFonts w:eastAsiaTheme="minorEastAsia"/>
              <w:noProof/>
              <w:lang w:eastAsia="en-GB"/>
            </w:rPr>
          </w:pPr>
          <w:hyperlink w:anchor="_Toc4589335" w:history="1">
            <w:r w:rsidR="00CE0689" w:rsidRPr="00794030">
              <w:rPr>
                <w:rStyle w:val="Hyperlink"/>
                <w:noProof/>
              </w:rPr>
              <w:t>4.1 Introduction</w:t>
            </w:r>
            <w:r w:rsidR="00CE0689">
              <w:rPr>
                <w:noProof/>
                <w:webHidden/>
              </w:rPr>
              <w:tab/>
            </w:r>
            <w:r w:rsidR="00CE0689">
              <w:rPr>
                <w:noProof/>
                <w:webHidden/>
              </w:rPr>
              <w:fldChar w:fldCharType="begin"/>
            </w:r>
            <w:r w:rsidR="00CE0689">
              <w:rPr>
                <w:noProof/>
                <w:webHidden/>
              </w:rPr>
              <w:instrText xml:space="preserve"> PAGEREF _Toc4589335 \h </w:instrText>
            </w:r>
            <w:r w:rsidR="00CE0689">
              <w:rPr>
                <w:noProof/>
                <w:webHidden/>
              </w:rPr>
            </w:r>
            <w:r w:rsidR="00CE0689">
              <w:rPr>
                <w:noProof/>
                <w:webHidden/>
              </w:rPr>
              <w:fldChar w:fldCharType="separate"/>
            </w:r>
            <w:r w:rsidR="00CE0689">
              <w:rPr>
                <w:noProof/>
                <w:webHidden/>
              </w:rPr>
              <w:t>94</w:t>
            </w:r>
            <w:r w:rsidR="00CE0689">
              <w:rPr>
                <w:noProof/>
                <w:webHidden/>
              </w:rPr>
              <w:fldChar w:fldCharType="end"/>
            </w:r>
          </w:hyperlink>
        </w:p>
        <w:p w14:paraId="633443F1" w14:textId="5803D36A" w:rsidR="00CE0689" w:rsidRDefault="004C61E0">
          <w:pPr>
            <w:pStyle w:val="TOC3"/>
            <w:tabs>
              <w:tab w:val="right" w:leader="dot" w:pos="9016"/>
            </w:tabs>
            <w:rPr>
              <w:rFonts w:eastAsiaTheme="minorEastAsia"/>
              <w:noProof/>
              <w:lang w:eastAsia="en-GB"/>
            </w:rPr>
          </w:pPr>
          <w:hyperlink w:anchor="_Toc4589336" w:history="1">
            <w:r w:rsidR="00CE0689" w:rsidRPr="00794030">
              <w:rPr>
                <w:rStyle w:val="Hyperlink"/>
                <w:noProof/>
              </w:rPr>
              <w:t>4.1.1 Common macrophage signalling pathways involved in polarisation</w:t>
            </w:r>
            <w:r w:rsidR="00CE0689">
              <w:rPr>
                <w:noProof/>
                <w:webHidden/>
              </w:rPr>
              <w:tab/>
            </w:r>
            <w:r w:rsidR="00CE0689">
              <w:rPr>
                <w:noProof/>
                <w:webHidden/>
              </w:rPr>
              <w:fldChar w:fldCharType="begin"/>
            </w:r>
            <w:r w:rsidR="00CE0689">
              <w:rPr>
                <w:noProof/>
                <w:webHidden/>
              </w:rPr>
              <w:instrText xml:space="preserve"> PAGEREF _Toc4589336 \h </w:instrText>
            </w:r>
            <w:r w:rsidR="00CE0689">
              <w:rPr>
                <w:noProof/>
                <w:webHidden/>
              </w:rPr>
            </w:r>
            <w:r w:rsidR="00CE0689">
              <w:rPr>
                <w:noProof/>
                <w:webHidden/>
              </w:rPr>
              <w:fldChar w:fldCharType="separate"/>
            </w:r>
            <w:r w:rsidR="00CE0689">
              <w:rPr>
                <w:noProof/>
                <w:webHidden/>
              </w:rPr>
              <w:t>94</w:t>
            </w:r>
            <w:r w:rsidR="00CE0689">
              <w:rPr>
                <w:noProof/>
                <w:webHidden/>
              </w:rPr>
              <w:fldChar w:fldCharType="end"/>
            </w:r>
          </w:hyperlink>
        </w:p>
        <w:p w14:paraId="671F58CE" w14:textId="793B4116" w:rsidR="00CE0689" w:rsidRDefault="004C61E0">
          <w:pPr>
            <w:pStyle w:val="TOC3"/>
            <w:tabs>
              <w:tab w:val="right" w:leader="dot" w:pos="9016"/>
            </w:tabs>
            <w:rPr>
              <w:rFonts w:eastAsiaTheme="minorEastAsia"/>
              <w:noProof/>
              <w:lang w:eastAsia="en-GB"/>
            </w:rPr>
          </w:pPr>
          <w:hyperlink w:anchor="_Toc4589337" w:history="1">
            <w:r w:rsidR="00CE0689" w:rsidRPr="00794030">
              <w:rPr>
                <w:rStyle w:val="Hyperlink"/>
                <w:noProof/>
              </w:rPr>
              <w:t>4.1.2 Reactive Oxygen Species in macrophage polarisation</w:t>
            </w:r>
            <w:r w:rsidR="00CE0689">
              <w:rPr>
                <w:noProof/>
                <w:webHidden/>
              </w:rPr>
              <w:tab/>
            </w:r>
            <w:r w:rsidR="00CE0689">
              <w:rPr>
                <w:noProof/>
                <w:webHidden/>
              </w:rPr>
              <w:fldChar w:fldCharType="begin"/>
            </w:r>
            <w:r w:rsidR="00CE0689">
              <w:rPr>
                <w:noProof/>
                <w:webHidden/>
              </w:rPr>
              <w:instrText xml:space="preserve"> PAGEREF _Toc4589337 \h </w:instrText>
            </w:r>
            <w:r w:rsidR="00CE0689">
              <w:rPr>
                <w:noProof/>
                <w:webHidden/>
              </w:rPr>
            </w:r>
            <w:r w:rsidR="00CE0689">
              <w:rPr>
                <w:noProof/>
                <w:webHidden/>
              </w:rPr>
              <w:fldChar w:fldCharType="separate"/>
            </w:r>
            <w:r w:rsidR="00CE0689">
              <w:rPr>
                <w:noProof/>
                <w:webHidden/>
              </w:rPr>
              <w:t>95</w:t>
            </w:r>
            <w:r w:rsidR="00CE0689">
              <w:rPr>
                <w:noProof/>
                <w:webHidden/>
              </w:rPr>
              <w:fldChar w:fldCharType="end"/>
            </w:r>
          </w:hyperlink>
        </w:p>
        <w:p w14:paraId="389EB206" w14:textId="7543BD35" w:rsidR="00CE0689" w:rsidRDefault="004C61E0">
          <w:pPr>
            <w:pStyle w:val="TOC3"/>
            <w:tabs>
              <w:tab w:val="right" w:leader="dot" w:pos="9016"/>
            </w:tabs>
            <w:rPr>
              <w:rFonts w:eastAsiaTheme="minorEastAsia"/>
              <w:noProof/>
              <w:lang w:eastAsia="en-GB"/>
            </w:rPr>
          </w:pPr>
          <w:hyperlink w:anchor="_Toc4589338" w:history="1">
            <w:r w:rsidR="00CE0689" w:rsidRPr="00794030">
              <w:rPr>
                <w:rStyle w:val="Hyperlink"/>
                <w:noProof/>
              </w:rPr>
              <w:t>4.1.3 Metabolism and macrophage polarisation</w:t>
            </w:r>
            <w:r w:rsidR="00CE0689">
              <w:rPr>
                <w:noProof/>
                <w:webHidden/>
              </w:rPr>
              <w:tab/>
            </w:r>
            <w:r w:rsidR="00CE0689">
              <w:rPr>
                <w:noProof/>
                <w:webHidden/>
              </w:rPr>
              <w:fldChar w:fldCharType="begin"/>
            </w:r>
            <w:r w:rsidR="00CE0689">
              <w:rPr>
                <w:noProof/>
                <w:webHidden/>
              </w:rPr>
              <w:instrText xml:space="preserve"> PAGEREF _Toc4589338 \h </w:instrText>
            </w:r>
            <w:r w:rsidR="00CE0689">
              <w:rPr>
                <w:noProof/>
                <w:webHidden/>
              </w:rPr>
            </w:r>
            <w:r w:rsidR="00CE0689">
              <w:rPr>
                <w:noProof/>
                <w:webHidden/>
              </w:rPr>
              <w:fldChar w:fldCharType="separate"/>
            </w:r>
            <w:r w:rsidR="00CE0689">
              <w:rPr>
                <w:noProof/>
                <w:webHidden/>
              </w:rPr>
              <w:t>96</w:t>
            </w:r>
            <w:r w:rsidR="00CE0689">
              <w:rPr>
                <w:noProof/>
                <w:webHidden/>
              </w:rPr>
              <w:fldChar w:fldCharType="end"/>
            </w:r>
          </w:hyperlink>
        </w:p>
        <w:p w14:paraId="3B206C31" w14:textId="7A30C1A4" w:rsidR="00CE0689" w:rsidRDefault="004C61E0">
          <w:pPr>
            <w:pStyle w:val="TOC2"/>
            <w:tabs>
              <w:tab w:val="right" w:leader="dot" w:pos="9016"/>
            </w:tabs>
            <w:rPr>
              <w:rFonts w:eastAsiaTheme="minorEastAsia"/>
              <w:noProof/>
              <w:lang w:eastAsia="en-GB"/>
            </w:rPr>
          </w:pPr>
          <w:hyperlink w:anchor="_Toc4589339" w:history="1">
            <w:r w:rsidR="00CE0689" w:rsidRPr="00794030">
              <w:rPr>
                <w:rStyle w:val="Hyperlink"/>
                <w:noProof/>
              </w:rPr>
              <w:t>4.2 Results</w:t>
            </w:r>
            <w:r w:rsidR="00CE0689">
              <w:rPr>
                <w:noProof/>
                <w:webHidden/>
              </w:rPr>
              <w:tab/>
            </w:r>
            <w:r w:rsidR="00CE0689">
              <w:rPr>
                <w:noProof/>
                <w:webHidden/>
              </w:rPr>
              <w:fldChar w:fldCharType="begin"/>
            </w:r>
            <w:r w:rsidR="00CE0689">
              <w:rPr>
                <w:noProof/>
                <w:webHidden/>
              </w:rPr>
              <w:instrText xml:space="preserve"> PAGEREF _Toc4589339 \h </w:instrText>
            </w:r>
            <w:r w:rsidR="00CE0689">
              <w:rPr>
                <w:noProof/>
                <w:webHidden/>
              </w:rPr>
            </w:r>
            <w:r w:rsidR="00CE0689">
              <w:rPr>
                <w:noProof/>
                <w:webHidden/>
              </w:rPr>
              <w:fldChar w:fldCharType="separate"/>
            </w:r>
            <w:r w:rsidR="00CE0689">
              <w:rPr>
                <w:noProof/>
                <w:webHidden/>
              </w:rPr>
              <w:t>97</w:t>
            </w:r>
            <w:r w:rsidR="00CE0689">
              <w:rPr>
                <w:noProof/>
                <w:webHidden/>
              </w:rPr>
              <w:fldChar w:fldCharType="end"/>
            </w:r>
          </w:hyperlink>
        </w:p>
        <w:p w14:paraId="65E36FBC" w14:textId="4DCA1082" w:rsidR="00CE0689" w:rsidRDefault="004C61E0">
          <w:pPr>
            <w:pStyle w:val="TOC3"/>
            <w:tabs>
              <w:tab w:val="right" w:leader="dot" w:pos="9016"/>
            </w:tabs>
            <w:rPr>
              <w:rFonts w:eastAsiaTheme="minorEastAsia"/>
              <w:noProof/>
              <w:lang w:eastAsia="en-GB"/>
            </w:rPr>
          </w:pPr>
          <w:hyperlink w:anchor="_Toc4589340" w:history="1">
            <w:r w:rsidR="00CE0689" w:rsidRPr="00794030">
              <w:rPr>
                <w:rStyle w:val="Hyperlink"/>
                <w:noProof/>
              </w:rPr>
              <w:t>4.2.1 Overexpression of Nitric Oxide Synthase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_Toc4589340 \h </w:instrText>
            </w:r>
            <w:r w:rsidR="00CE0689">
              <w:rPr>
                <w:noProof/>
                <w:webHidden/>
              </w:rPr>
            </w:r>
            <w:r w:rsidR="00CE0689">
              <w:rPr>
                <w:noProof/>
                <w:webHidden/>
              </w:rPr>
              <w:fldChar w:fldCharType="separate"/>
            </w:r>
            <w:r w:rsidR="00CE0689">
              <w:rPr>
                <w:noProof/>
                <w:webHidden/>
              </w:rPr>
              <w:t>97</w:t>
            </w:r>
            <w:r w:rsidR="00CE0689">
              <w:rPr>
                <w:noProof/>
                <w:webHidden/>
              </w:rPr>
              <w:fldChar w:fldCharType="end"/>
            </w:r>
          </w:hyperlink>
        </w:p>
        <w:p w14:paraId="61427AA1" w14:textId="15207D8B" w:rsidR="00CE0689" w:rsidRDefault="004C61E0">
          <w:pPr>
            <w:pStyle w:val="TOC3"/>
            <w:tabs>
              <w:tab w:val="right" w:leader="dot" w:pos="9016"/>
            </w:tabs>
            <w:rPr>
              <w:rFonts w:eastAsiaTheme="minorEastAsia"/>
              <w:noProof/>
              <w:lang w:eastAsia="en-GB"/>
            </w:rPr>
          </w:pPr>
          <w:hyperlink w:anchor="_Toc4589341" w:history="1">
            <w:r w:rsidR="00CE0689" w:rsidRPr="00794030">
              <w:rPr>
                <w:rStyle w:val="Hyperlink"/>
                <w:noProof/>
              </w:rPr>
              <w:t>4.2.2 Knockdown of Nitric Oxide Synthase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_Toc4589341 \h </w:instrText>
            </w:r>
            <w:r w:rsidR="00CE0689">
              <w:rPr>
                <w:noProof/>
                <w:webHidden/>
              </w:rPr>
            </w:r>
            <w:r w:rsidR="00CE0689">
              <w:rPr>
                <w:noProof/>
                <w:webHidden/>
              </w:rPr>
              <w:fldChar w:fldCharType="separate"/>
            </w:r>
            <w:r w:rsidR="00CE0689">
              <w:rPr>
                <w:noProof/>
                <w:webHidden/>
              </w:rPr>
              <w:t>97</w:t>
            </w:r>
            <w:r w:rsidR="00CE0689">
              <w:rPr>
                <w:noProof/>
                <w:webHidden/>
              </w:rPr>
              <w:fldChar w:fldCharType="end"/>
            </w:r>
          </w:hyperlink>
        </w:p>
        <w:p w14:paraId="4E674B94" w14:textId="136C9676" w:rsidR="00CE0689" w:rsidRDefault="004C61E0">
          <w:pPr>
            <w:pStyle w:val="TOC3"/>
            <w:tabs>
              <w:tab w:val="right" w:leader="dot" w:pos="9016"/>
            </w:tabs>
            <w:rPr>
              <w:rFonts w:eastAsiaTheme="minorEastAsia"/>
              <w:noProof/>
              <w:lang w:eastAsia="en-GB"/>
            </w:rPr>
          </w:pPr>
          <w:hyperlink w:anchor="_Toc4589342" w:history="1">
            <w:r w:rsidR="00CE0689" w:rsidRPr="00794030">
              <w:rPr>
                <w:rStyle w:val="Hyperlink"/>
                <w:noProof/>
              </w:rPr>
              <w:t>4.2.3 Knockdown of Arginase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_Toc4589342 \h </w:instrText>
            </w:r>
            <w:r w:rsidR="00CE0689">
              <w:rPr>
                <w:noProof/>
                <w:webHidden/>
              </w:rPr>
            </w:r>
            <w:r w:rsidR="00CE0689">
              <w:rPr>
                <w:noProof/>
                <w:webHidden/>
              </w:rPr>
              <w:fldChar w:fldCharType="separate"/>
            </w:r>
            <w:r w:rsidR="00CE0689">
              <w:rPr>
                <w:noProof/>
                <w:webHidden/>
              </w:rPr>
              <w:t>100</w:t>
            </w:r>
            <w:r w:rsidR="00CE0689">
              <w:rPr>
                <w:noProof/>
                <w:webHidden/>
              </w:rPr>
              <w:fldChar w:fldCharType="end"/>
            </w:r>
          </w:hyperlink>
        </w:p>
        <w:p w14:paraId="6BCB457A" w14:textId="62160828" w:rsidR="00CE0689" w:rsidRDefault="004C61E0">
          <w:pPr>
            <w:pStyle w:val="TOC3"/>
            <w:tabs>
              <w:tab w:val="right" w:leader="dot" w:pos="9016"/>
            </w:tabs>
            <w:rPr>
              <w:rFonts w:eastAsiaTheme="minorEastAsia"/>
              <w:noProof/>
              <w:lang w:eastAsia="en-GB"/>
            </w:rPr>
          </w:pPr>
          <w:hyperlink w:anchor="_Toc4589343" w:history="1">
            <w:r w:rsidR="00CE0689" w:rsidRPr="00794030">
              <w:rPr>
                <w:rStyle w:val="Hyperlink"/>
                <w:noProof/>
              </w:rPr>
              <w:t>4.2.4 Overexpression of Catalase in hemocytes decreases hemocyte recruitment to wounds</w:t>
            </w:r>
            <w:r w:rsidR="00CE0689">
              <w:rPr>
                <w:noProof/>
                <w:webHidden/>
              </w:rPr>
              <w:tab/>
            </w:r>
            <w:r w:rsidR="00CE0689">
              <w:rPr>
                <w:noProof/>
                <w:webHidden/>
              </w:rPr>
              <w:fldChar w:fldCharType="begin"/>
            </w:r>
            <w:r w:rsidR="00CE0689">
              <w:rPr>
                <w:noProof/>
                <w:webHidden/>
              </w:rPr>
              <w:instrText xml:space="preserve"> PAGEREF _Toc4589343 \h </w:instrText>
            </w:r>
            <w:r w:rsidR="00CE0689">
              <w:rPr>
                <w:noProof/>
                <w:webHidden/>
              </w:rPr>
            </w:r>
            <w:r w:rsidR="00CE0689">
              <w:rPr>
                <w:noProof/>
                <w:webHidden/>
              </w:rPr>
              <w:fldChar w:fldCharType="separate"/>
            </w:r>
            <w:r w:rsidR="00CE0689">
              <w:rPr>
                <w:noProof/>
                <w:webHidden/>
              </w:rPr>
              <w:t>100</w:t>
            </w:r>
            <w:r w:rsidR="00CE0689">
              <w:rPr>
                <w:noProof/>
                <w:webHidden/>
              </w:rPr>
              <w:fldChar w:fldCharType="end"/>
            </w:r>
          </w:hyperlink>
        </w:p>
        <w:p w14:paraId="70355BEB" w14:textId="4FFFD9CD" w:rsidR="00CE0689" w:rsidRDefault="004C61E0">
          <w:pPr>
            <w:pStyle w:val="TOC3"/>
            <w:tabs>
              <w:tab w:val="right" w:leader="dot" w:pos="9016"/>
            </w:tabs>
            <w:rPr>
              <w:rFonts w:eastAsiaTheme="minorEastAsia"/>
              <w:noProof/>
              <w:lang w:eastAsia="en-GB"/>
            </w:rPr>
          </w:pPr>
          <w:hyperlink w:anchor="_Toc4589344" w:history="1">
            <w:r w:rsidR="00CE0689" w:rsidRPr="00794030">
              <w:rPr>
                <w:rStyle w:val="Hyperlink"/>
                <w:noProof/>
              </w:rPr>
              <w:t>4.2.5 Knockdown of GSS does not affect wounding responses</w:t>
            </w:r>
            <w:r w:rsidR="00CE0689">
              <w:rPr>
                <w:noProof/>
                <w:webHidden/>
              </w:rPr>
              <w:tab/>
            </w:r>
            <w:r w:rsidR="00CE0689">
              <w:rPr>
                <w:noProof/>
                <w:webHidden/>
              </w:rPr>
              <w:fldChar w:fldCharType="begin"/>
            </w:r>
            <w:r w:rsidR="00CE0689">
              <w:rPr>
                <w:noProof/>
                <w:webHidden/>
              </w:rPr>
              <w:instrText xml:space="preserve"> PAGEREF _Toc4589344 \h </w:instrText>
            </w:r>
            <w:r w:rsidR="00CE0689">
              <w:rPr>
                <w:noProof/>
                <w:webHidden/>
              </w:rPr>
            </w:r>
            <w:r w:rsidR="00CE0689">
              <w:rPr>
                <w:noProof/>
                <w:webHidden/>
              </w:rPr>
              <w:fldChar w:fldCharType="separate"/>
            </w:r>
            <w:r w:rsidR="00CE0689">
              <w:rPr>
                <w:noProof/>
                <w:webHidden/>
              </w:rPr>
              <w:t>103</w:t>
            </w:r>
            <w:r w:rsidR="00CE0689">
              <w:rPr>
                <w:noProof/>
                <w:webHidden/>
              </w:rPr>
              <w:fldChar w:fldCharType="end"/>
            </w:r>
          </w:hyperlink>
        </w:p>
        <w:p w14:paraId="4A14374A" w14:textId="0193B5DE" w:rsidR="00CE0689" w:rsidRDefault="004C61E0">
          <w:pPr>
            <w:pStyle w:val="TOC3"/>
            <w:tabs>
              <w:tab w:val="right" w:leader="dot" w:pos="9016"/>
            </w:tabs>
            <w:rPr>
              <w:rFonts w:eastAsiaTheme="minorEastAsia"/>
              <w:noProof/>
              <w:lang w:eastAsia="en-GB"/>
            </w:rPr>
          </w:pPr>
          <w:hyperlink w:anchor="_Toc4589345" w:history="1">
            <w:r w:rsidR="00CE0689" w:rsidRPr="00794030">
              <w:rPr>
                <w:rStyle w:val="Hyperlink"/>
                <w:noProof/>
              </w:rPr>
              <w:t>4.2.6 Knockdown of Keap1 in hemocytes does not alter recruitment to wounds</w:t>
            </w:r>
            <w:r w:rsidR="00CE0689">
              <w:rPr>
                <w:noProof/>
                <w:webHidden/>
              </w:rPr>
              <w:tab/>
            </w:r>
            <w:r w:rsidR="00CE0689">
              <w:rPr>
                <w:noProof/>
                <w:webHidden/>
              </w:rPr>
              <w:fldChar w:fldCharType="begin"/>
            </w:r>
            <w:r w:rsidR="00CE0689">
              <w:rPr>
                <w:noProof/>
                <w:webHidden/>
              </w:rPr>
              <w:instrText xml:space="preserve"> PAGEREF _Toc4589345 \h </w:instrText>
            </w:r>
            <w:r w:rsidR="00CE0689">
              <w:rPr>
                <w:noProof/>
                <w:webHidden/>
              </w:rPr>
            </w:r>
            <w:r w:rsidR="00CE0689">
              <w:rPr>
                <w:noProof/>
                <w:webHidden/>
              </w:rPr>
              <w:fldChar w:fldCharType="separate"/>
            </w:r>
            <w:r w:rsidR="00CE0689">
              <w:rPr>
                <w:noProof/>
                <w:webHidden/>
              </w:rPr>
              <w:t>105</w:t>
            </w:r>
            <w:r w:rsidR="00CE0689">
              <w:rPr>
                <w:noProof/>
                <w:webHidden/>
              </w:rPr>
              <w:fldChar w:fldCharType="end"/>
            </w:r>
          </w:hyperlink>
        </w:p>
        <w:p w14:paraId="0499E189" w14:textId="73E4936C" w:rsidR="00CE0689" w:rsidRDefault="004C61E0">
          <w:pPr>
            <w:pStyle w:val="TOC3"/>
            <w:tabs>
              <w:tab w:val="right" w:leader="dot" w:pos="9016"/>
            </w:tabs>
            <w:rPr>
              <w:rFonts w:eastAsiaTheme="minorEastAsia"/>
              <w:noProof/>
              <w:lang w:eastAsia="en-GB"/>
            </w:rPr>
          </w:pPr>
          <w:hyperlink w:anchor="_Toc4589346" w:history="1">
            <w:r w:rsidR="00CE0689" w:rsidRPr="00794030">
              <w:rPr>
                <w:rStyle w:val="Hyperlink"/>
                <w:noProof/>
              </w:rPr>
              <w:t>4.2.7 Knockdown of ND75 is sufficient to increase ROS levels in hemocytes</w:t>
            </w:r>
            <w:r w:rsidR="00CE0689">
              <w:rPr>
                <w:noProof/>
                <w:webHidden/>
              </w:rPr>
              <w:tab/>
            </w:r>
            <w:r w:rsidR="00CE0689">
              <w:rPr>
                <w:noProof/>
                <w:webHidden/>
              </w:rPr>
              <w:fldChar w:fldCharType="begin"/>
            </w:r>
            <w:r w:rsidR="00CE0689">
              <w:rPr>
                <w:noProof/>
                <w:webHidden/>
              </w:rPr>
              <w:instrText xml:space="preserve"> PAGEREF _Toc4589346 \h </w:instrText>
            </w:r>
            <w:r w:rsidR="00CE0689">
              <w:rPr>
                <w:noProof/>
                <w:webHidden/>
              </w:rPr>
            </w:r>
            <w:r w:rsidR="00CE0689">
              <w:rPr>
                <w:noProof/>
                <w:webHidden/>
              </w:rPr>
              <w:fldChar w:fldCharType="separate"/>
            </w:r>
            <w:r w:rsidR="00CE0689">
              <w:rPr>
                <w:noProof/>
                <w:webHidden/>
              </w:rPr>
              <w:t>107</w:t>
            </w:r>
            <w:r w:rsidR="00CE0689">
              <w:rPr>
                <w:noProof/>
                <w:webHidden/>
              </w:rPr>
              <w:fldChar w:fldCharType="end"/>
            </w:r>
          </w:hyperlink>
        </w:p>
        <w:p w14:paraId="1E6DFB78" w14:textId="0613C564" w:rsidR="00CE0689" w:rsidRDefault="004C61E0">
          <w:pPr>
            <w:pStyle w:val="TOC3"/>
            <w:tabs>
              <w:tab w:val="right" w:leader="dot" w:pos="9016"/>
            </w:tabs>
            <w:rPr>
              <w:rFonts w:eastAsiaTheme="minorEastAsia"/>
              <w:noProof/>
              <w:lang w:eastAsia="en-GB"/>
            </w:rPr>
          </w:pPr>
          <w:hyperlink w:anchor="_Toc4589347" w:history="1">
            <w:r w:rsidR="00CE0689" w:rsidRPr="00794030">
              <w:rPr>
                <w:rStyle w:val="Hyperlink"/>
                <w:noProof/>
              </w:rPr>
              <w:t>4.2.8 Knockdown of ND75 in hemocytes decreases hemocyte recruitment to wounds</w:t>
            </w:r>
            <w:r w:rsidR="00CE0689">
              <w:rPr>
                <w:noProof/>
                <w:webHidden/>
              </w:rPr>
              <w:tab/>
            </w:r>
            <w:r w:rsidR="00CE0689">
              <w:rPr>
                <w:noProof/>
                <w:webHidden/>
              </w:rPr>
              <w:fldChar w:fldCharType="begin"/>
            </w:r>
            <w:r w:rsidR="00CE0689">
              <w:rPr>
                <w:noProof/>
                <w:webHidden/>
              </w:rPr>
              <w:instrText xml:space="preserve"> PAGEREF _Toc4589347 \h </w:instrText>
            </w:r>
            <w:r w:rsidR="00CE0689">
              <w:rPr>
                <w:noProof/>
                <w:webHidden/>
              </w:rPr>
            </w:r>
            <w:r w:rsidR="00CE0689">
              <w:rPr>
                <w:noProof/>
                <w:webHidden/>
              </w:rPr>
              <w:fldChar w:fldCharType="separate"/>
            </w:r>
            <w:r w:rsidR="00CE0689">
              <w:rPr>
                <w:noProof/>
                <w:webHidden/>
              </w:rPr>
              <w:t>109</w:t>
            </w:r>
            <w:r w:rsidR="00CE0689">
              <w:rPr>
                <w:noProof/>
                <w:webHidden/>
              </w:rPr>
              <w:fldChar w:fldCharType="end"/>
            </w:r>
          </w:hyperlink>
        </w:p>
        <w:p w14:paraId="7C54F4FF" w14:textId="0F20CB5C" w:rsidR="00CE0689" w:rsidRDefault="004C61E0">
          <w:pPr>
            <w:pStyle w:val="TOC3"/>
            <w:tabs>
              <w:tab w:val="right" w:leader="dot" w:pos="9016"/>
            </w:tabs>
            <w:rPr>
              <w:rFonts w:eastAsiaTheme="minorEastAsia"/>
              <w:noProof/>
              <w:lang w:eastAsia="en-GB"/>
            </w:rPr>
          </w:pPr>
          <w:hyperlink w:anchor="_Toc4589348" w:history="1">
            <w:r w:rsidR="00CE0689" w:rsidRPr="00794030">
              <w:rPr>
                <w:rStyle w:val="Hyperlink"/>
                <w:noProof/>
              </w:rPr>
              <w:t>4.2.9 Overexpression of Succinate Dehydrogenase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_Toc4589348 \h </w:instrText>
            </w:r>
            <w:r w:rsidR="00CE0689">
              <w:rPr>
                <w:noProof/>
                <w:webHidden/>
              </w:rPr>
            </w:r>
            <w:r w:rsidR="00CE0689">
              <w:rPr>
                <w:noProof/>
                <w:webHidden/>
              </w:rPr>
              <w:fldChar w:fldCharType="separate"/>
            </w:r>
            <w:r w:rsidR="00CE0689">
              <w:rPr>
                <w:noProof/>
                <w:webHidden/>
              </w:rPr>
              <w:t>109</w:t>
            </w:r>
            <w:r w:rsidR="00CE0689">
              <w:rPr>
                <w:noProof/>
                <w:webHidden/>
              </w:rPr>
              <w:fldChar w:fldCharType="end"/>
            </w:r>
          </w:hyperlink>
        </w:p>
        <w:p w14:paraId="6247C2A3" w14:textId="1513ACFE" w:rsidR="00CE0689" w:rsidRDefault="004C61E0">
          <w:pPr>
            <w:pStyle w:val="TOC3"/>
            <w:tabs>
              <w:tab w:val="right" w:leader="dot" w:pos="9016"/>
            </w:tabs>
            <w:rPr>
              <w:rFonts w:eastAsiaTheme="minorEastAsia"/>
              <w:noProof/>
              <w:lang w:eastAsia="en-GB"/>
            </w:rPr>
          </w:pPr>
          <w:hyperlink w:anchor="_Toc4589349" w:history="1">
            <w:r w:rsidR="00CE0689" w:rsidRPr="00794030">
              <w:rPr>
                <w:rStyle w:val="Hyperlink"/>
                <w:noProof/>
              </w:rPr>
              <w:t>4.2.10 Overexpression of Succinate Dehydrogenase decreases the number of apoptotic cells in hemocytes</w:t>
            </w:r>
            <w:r w:rsidR="00CE0689">
              <w:rPr>
                <w:noProof/>
                <w:webHidden/>
              </w:rPr>
              <w:tab/>
            </w:r>
            <w:r w:rsidR="00CE0689">
              <w:rPr>
                <w:noProof/>
                <w:webHidden/>
              </w:rPr>
              <w:fldChar w:fldCharType="begin"/>
            </w:r>
            <w:r w:rsidR="00CE0689">
              <w:rPr>
                <w:noProof/>
                <w:webHidden/>
              </w:rPr>
              <w:instrText xml:space="preserve"> PAGEREF _Toc4589349 \h </w:instrText>
            </w:r>
            <w:r w:rsidR="00CE0689">
              <w:rPr>
                <w:noProof/>
                <w:webHidden/>
              </w:rPr>
            </w:r>
            <w:r w:rsidR="00CE0689">
              <w:rPr>
                <w:noProof/>
                <w:webHidden/>
              </w:rPr>
              <w:fldChar w:fldCharType="separate"/>
            </w:r>
            <w:r w:rsidR="00CE0689">
              <w:rPr>
                <w:noProof/>
                <w:webHidden/>
              </w:rPr>
              <w:t>112</w:t>
            </w:r>
            <w:r w:rsidR="00CE0689">
              <w:rPr>
                <w:noProof/>
                <w:webHidden/>
              </w:rPr>
              <w:fldChar w:fldCharType="end"/>
            </w:r>
          </w:hyperlink>
        </w:p>
        <w:p w14:paraId="7602C58C" w14:textId="17E8D8C9" w:rsidR="00CE0689" w:rsidRDefault="004C61E0">
          <w:pPr>
            <w:pStyle w:val="TOC3"/>
            <w:tabs>
              <w:tab w:val="right" w:leader="dot" w:pos="9016"/>
            </w:tabs>
            <w:rPr>
              <w:rFonts w:eastAsiaTheme="minorEastAsia"/>
              <w:noProof/>
              <w:lang w:eastAsia="en-GB"/>
            </w:rPr>
          </w:pPr>
          <w:hyperlink w:anchor="_Toc4589350" w:history="1">
            <w:r w:rsidR="00CE0689" w:rsidRPr="00794030">
              <w:rPr>
                <w:rStyle w:val="Hyperlink"/>
                <w:noProof/>
              </w:rPr>
              <w:t>4.2.11 Knockdown of complex-I of the electron transport chain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_Toc4589350 \h </w:instrText>
            </w:r>
            <w:r w:rsidR="00CE0689">
              <w:rPr>
                <w:noProof/>
                <w:webHidden/>
              </w:rPr>
            </w:r>
            <w:r w:rsidR="00CE0689">
              <w:rPr>
                <w:noProof/>
                <w:webHidden/>
              </w:rPr>
              <w:fldChar w:fldCharType="separate"/>
            </w:r>
            <w:r w:rsidR="00CE0689">
              <w:rPr>
                <w:noProof/>
                <w:webHidden/>
              </w:rPr>
              <w:t>114</w:t>
            </w:r>
            <w:r w:rsidR="00CE0689">
              <w:rPr>
                <w:noProof/>
                <w:webHidden/>
              </w:rPr>
              <w:fldChar w:fldCharType="end"/>
            </w:r>
          </w:hyperlink>
        </w:p>
        <w:p w14:paraId="63617FFF" w14:textId="5B98AF49" w:rsidR="00CE0689" w:rsidRDefault="004C61E0">
          <w:pPr>
            <w:pStyle w:val="TOC3"/>
            <w:tabs>
              <w:tab w:val="right" w:leader="dot" w:pos="9016"/>
            </w:tabs>
            <w:rPr>
              <w:rFonts w:eastAsiaTheme="minorEastAsia"/>
              <w:noProof/>
              <w:lang w:eastAsia="en-GB"/>
            </w:rPr>
          </w:pPr>
          <w:hyperlink w:anchor="_Toc4589351" w:history="1">
            <w:r w:rsidR="00CE0689" w:rsidRPr="00794030">
              <w:rPr>
                <w:rStyle w:val="Hyperlink"/>
                <w:noProof/>
              </w:rPr>
              <w:t>4.2.12 Knockdown of Hexokinase-A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_Toc4589351 \h </w:instrText>
            </w:r>
            <w:r w:rsidR="00CE0689">
              <w:rPr>
                <w:noProof/>
                <w:webHidden/>
              </w:rPr>
            </w:r>
            <w:r w:rsidR="00CE0689">
              <w:rPr>
                <w:noProof/>
                <w:webHidden/>
              </w:rPr>
              <w:fldChar w:fldCharType="separate"/>
            </w:r>
            <w:r w:rsidR="00CE0689">
              <w:rPr>
                <w:noProof/>
                <w:webHidden/>
              </w:rPr>
              <w:t>114</w:t>
            </w:r>
            <w:r w:rsidR="00CE0689">
              <w:rPr>
                <w:noProof/>
                <w:webHidden/>
              </w:rPr>
              <w:fldChar w:fldCharType="end"/>
            </w:r>
          </w:hyperlink>
        </w:p>
        <w:p w14:paraId="2E784875" w14:textId="61FCE44B" w:rsidR="00CE0689" w:rsidRDefault="004C61E0">
          <w:pPr>
            <w:pStyle w:val="TOC3"/>
            <w:tabs>
              <w:tab w:val="right" w:leader="dot" w:pos="9016"/>
            </w:tabs>
            <w:rPr>
              <w:rFonts w:eastAsiaTheme="minorEastAsia"/>
              <w:noProof/>
              <w:lang w:eastAsia="en-GB"/>
            </w:rPr>
          </w:pPr>
          <w:hyperlink w:anchor="_Toc4589352" w:history="1">
            <w:r w:rsidR="00CE0689" w:rsidRPr="00794030">
              <w:rPr>
                <w:rStyle w:val="Hyperlink"/>
                <w:noProof/>
              </w:rPr>
              <w:t>4.2.13 Knockdown of pyruvate dehydrogenase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_Toc4589352 \h </w:instrText>
            </w:r>
            <w:r w:rsidR="00CE0689">
              <w:rPr>
                <w:noProof/>
                <w:webHidden/>
              </w:rPr>
            </w:r>
            <w:r w:rsidR="00CE0689">
              <w:rPr>
                <w:noProof/>
                <w:webHidden/>
              </w:rPr>
              <w:fldChar w:fldCharType="separate"/>
            </w:r>
            <w:r w:rsidR="00CE0689">
              <w:rPr>
                <w:noProof/>
                <w:webHidden/>
              </w:rPr>
              <w:t>117</w:t>
            </w:r>
            <w:r w:rsidR="00CE0689">
              <w:rPr>
                <w:noProof/>
                <w:webHidden/>
              </w:rPr>
              <w:fldChar w:fldCharType="end"/>
            </w:r>
          </w:hyperlink>
        </w:p>
        <w:p w14:paraId="57807CC8" w14:textId="29949846" w:rsidR="00CE0689" w:rsidRDefault="004C61E0">
          <w:pPr>
            <w:pStyle w:val="TOC3"/>
            <w:tabs>
              <w:tab w:val="right" w:leader="dot" w:pos="9016"/>
            </w:tabs>
            <w:rPr>
              <w:rFonts w:eastAsiaTheme="minorEastAsia"/>
              <w:noProof/>
              <w:lang w:eastAsia="en-GB"/>
            </w:rPr>
          </w:pPr>
          <w:hyperlink w:anchor="_Toc4589353" w:history="1">
            <w:r w:rsidR="00CE0689" w:rsidRPr="00794030">
              <w:rPr>
                <w:rStyle w:val="Hyperlink"/>
                <w:noProof/>
              </w:rPr>
              <w:t>4.2.14 Knockdown of pyruvate dehydrogenase phosphatase in hemocytes does not alter hemocyte recruitment to wounds</w:t>
            </w:r>
            <w:r w:rsidR="00CE0689">
              <w:rPr>
                <w:noProof/>
                <w:webHidden/>
              </w:rPr>
              <w:tab/>
            </w:r>
            <w:r w:rsidR="00CE0689">
              <w:rPr>
                <w:noProof/>
                <w:webHidden/>
              </w:rPr>
              <w:fldChar w:fldCharType="begin"/>
            </w:r>
            <w:r w:rsidR="00CE0689">
              <w:rPr>
                <w:noProof/>
                <w:webHidden/>
              </w:rPr>
              <w:instrText xml:space="preserve"> PAGEREF _Toc4589353 \h </w:instrText>
            </w:r>
            <w:r w:rsidR="00CE0689">
              <w:rPr>
                <w:noProof/>
                <w:webHidden/>
              </w:rPr>
            </w:r>
            <w:r w:rsidR="00CE0689">
              <w:rPr>
                <w:noProof/>
                <w:webHidden/>
              </w:rPr>
              <w:fldChar w:fldCharType="separate"/>
            </w:r>
            <w:r w:rsidR="00CE0689">
              <w:rPr>
                <w:noProof/>
                <w:webHidden/>
              </w:rPr>
              <w:t>117</w:t>
            </w:r>
            <w:r w:rsidR="00CE0689">
              <w:rPr>
                <w:noProof/>
                <w:webHidden/>
              </w:rPr>
              <w:fldChar w:fldCharType="end"/>
            </w:r>
          </w:hyperlink>
        </w:p>
        <w:p w14:paraId="773FDB0C" w14:textId="434064C7" w:rsidR="00CE0689" w:rsidRDefault="004C61E0">
          <w:pPr>
            <w:pStyle w:val="TOC3"/>
            <w:tabs>
              <w:tab w:val="right" w:leader="dot" w:pos="9016"/>
            </w:tabs>
            <w:rPr>
              <w:rFonts w:eastAsiaTheme="minorEastAsia"/>
              <w:noProof/>
              <w:lang w:eastAsia="en-GB"/>
            </w:rPr>
          </w:pPr>
          <w:hyperlink w:anchor="_Toc4589354" w:history="1">
            <w:r w:rsidR="00CE0689" w:rsidRPr="00794030">
              <w:rPr>
                <w:rStyle w:val="Hyperlink"/>
                <w:noProof/>
              </w:rPr>
              <w:t>4.2.15 Overexpression of pyruvate dehydrogenase kinase in hemocytes increases recruitment to wounds</w:t>
            </w:r>
            <w:r w:rsidR="00CE0689">
              <w:rPr>
                <w:noProof/>
                <w:webHidden/>
              </w:rPr>
              <w:tab/>
            </w:r>
            <w:r w:rsidR="00CE0689">
              <w:rPr>
                <w:noProof/>
                <w:webHidden/>
              </w:rPr>
              <w:fldChar w:fldCharType="begin"/>
            </w:r>
            <w:r w:rsidR="00CE0689">
              <w:rPr>
                <w:noProof/>
                <w:webHidden/>
              </w:rPr>
              <w:instrText xml:space="preserve"> PAGEREF _Toc4589354 \h </w:instrText>
            </w:r>
            <w:r w:rsidR="00CE0689">
              <w:rPr>
                <w:noProof/>
                <w:webHidden/>
              </w:rPr>
            </w:r>
            <w:r w:rsidR="00CE0689">
              <w:rPr>
                <w:noProof/>
                <w:webHidden/>
              </w:rPr>
              <w:fldChar w:fldCharType="separate"/>
            </w:r>
            <w:r w:rsidR="00CE0689">
              <w:rPr>
                <w:noProof/>
                <w:webHidden/>
              </w:rPr>
              <w:t>120</w:t>
            </w:r>
            <w:r w:rsidR="00CE0689">
              <w:rPr>
                <w:noProof/>
                <w:webHidden/>
              </w:rPr>
              <w:fldChar w:fldCharType="end"/>
            </w:r>
          </w:hyperlink>
        </w:p>
        <w:p w14:paraId="67C345C1" w14:textId="7912359C" w:rsidR="00CE0689" w:rsidRDefault="004C61E0">
          <w:pPr>
            <w:pStyle w:val="TOC3"/>
            <w:tabs>
              <w:tab w:val="right" w:leader="dot" w:pos="9016"/>
            </w:tabs>
            <w:rPr>
              <w:rFonts w:eastAsiaTheme="minorEastAsia"/>
              <w:noProof/>
              <w:lang w:eastAsia="en-GB"/>
            </w:rPr>
          </w:pPr>
          <w:hyperlink w:anchor="_Toc4589355" w:history="1">
            <w:r w:rsidR="00CE0689" w:rsidRPr="00794030">
              <w:rPr>
                <w:rStyle w:val="Hyperlink"/>
                <w:noProof/>
              </w:rPr>
              <w:t>4.2.16 Overexpression of pyruvate dehydrogenase kinase decreases the number of apoptotic cells in hemocytes</w:t>
            </w:r>
            <w:r w:rsidR="00CE0689">
              <w:rPr>
                <w:noProof/>
                <w:webHidden/>
              </w:rPr>
              <w:tab/>
            </w:r>
            <w:r w:rsidR="00CE0689">
              <w:rPr>
                <w:noProof/>
                <w:webHidden/>
              </w:rPr>
              <w:fldChar w:fldCharType="begin"/>
            </w:r>
            <w:r w:rsidR="00CE0689">
              <w:rPr>
                <w:noProof/>
                <w:webHidden/>
              </w:rPr>
              <w:instrText xml:space="preserve"> PAGEREF _Toc4589355 \h </w:instrText>
            </w:r>
            <w:r w:rsidR="00CE0689">
              <w:rPr>
                <w:noProof/>
                <w:webHidden/>
              </w:rPr>
            </w:r>
            <w:r w:rsidR="00CE0689">
              <w:rPr>
                <w:noProof/>
                <w:webHidden/>
              </w:rPr>
              <w:fldChar w:fldCharType="separate"/>
            </w:r>
            <w:r w:rsidR="00CE0689">
              <w:rPr>
                <w:noProof/>
                <w:webHidden/>
              </w:rPr>
              <w:t>120</w:t>
            </w:r>
            <w:r w:rsidR="00CE0689">
              <w:rPr>
                <w:noProof/>
                <w:webHidden/>
              </w:rPr>
              <w:fldChar w:fldCharType="end"/>
            </w:r>
          </w:hyperlink>
        </w:p>
        <w:p w14:paraId="4957FA9E" w14:textId="6BB6F3CD" w:rsidR="00CE0689" w:rsidRDefault="004C61E0">
          <w:pPr>
            <w:pStyle w:val="TOC3"/>
            <w:tabs>
              <w:tab w:val="right" w:leader="dot" w:pos="9016"/>
            </w:tabs>
            <w:rPr>
              <w:rFonts w:eastAsiaTheme="minorEastAsia"/>
              <w:noProof/>
              <w:lang w:eastAsia="en-GB"/>
            </w:rPr>
          </w:pPr>
          <w:hyperlink w:anchor="_Toc4589356" w:history="1">
            <w:r w:rsidR="00CE0689" w:rsidRPr="00794030">
              <w:rPr>
                <w:rStyle w:val="Hyperlink"/>
                <w:noProof/>
              </w:rPr>
              <w:t>4.2.17 Overexpression of pyruvate dehydrogenase kinase increases the number of circulating hemocytes in third instar larvae</w:t>
            </w:r>
            <w:r w:rsidR="00CE0689">
              <w:rPr>
                <w:noProof/>
                <w:webHidden/>
              </w:rPr>
              <w:tab/>
            </w:r>
            <w:r w:rsidR="00CE0689">
              <w:rPr>
                <w:noProof/>
                <w:webHidden/>
              </w:rPr>
              <w:fldChar w:fldCharType="begin"/>
            </w:r>
            <w:r w:rsidR="00CE0689">
              <w:rPr>
                <w:noProof/>
                <w:webHidden/>
              </w:rPr>
              <w:instrText xml:space="preserve"> PAGEREF _Toc4589356 \h </w:instrText>
            </w:r>
            <w:r w:rsidR="00CE0689">
              <w:rPr>
                <w:noProof/>
                <w:webHidden/>
              </w:rPr>
            </w:r>
            <w:r w:rsidR="00CE0689">
              <w:rPr>
                <w:noProof/>
                <w:webHidden/>
              </w:rPr>
              <w:fldChar w:fldCharType="separate"/>
            </w:r>
            <w:r w:rsidR="00CE0689">
              <w:rPr>
                <w:noProof/>
                <w:webHidden/>
              </w:rPr>
              <w:t>124</w:t>
            </w:r>
            <w:r w:rsidR="00CE0689">
              <w:rPr>
                <w:noProof/>
                <w:webHidden/>
              </w:rPr>
              <w:fldChar w:fldCharType="end"/>
            </w:r>
          </w:hyperlink>
        </w:p>
        <w:p w14:paraId="4F3662C1" w14:textId="62718F34" w:rsidR="00CE0689" w:rsidRDefault="004C61E0">
          <w:pPr>
            <w:pStyle w:val="TOC3"/>
            <w:tabs>
              <w:tab w:val="right" w:leader="dot" w:pos="9016"/>
            </w:tabs>
            <w:rPr>
              <w:rFonts w:eastAsiaTheme="minorEastAsia"/>
              <w:noProof/>
              <w:lang w:eastAsia="en-GB"/>
            </w:rPr>
          </w:pPr>
          <w:hyperlink w:anchor="_Toc4589357" w:history="1">
            <w:r w:rsidR="00CE0689" w:rsidRPr="00794030">
              <w:rPr>
                <w:rStyle w:val="Hyperlink"/>
                <w:noProof/>
              </w:rPr>
              <w:t>4.2.18 Overexpression of pyruvate dehydrogenase kinase up-regulates expression of pro-inflammatory genes in hemocytes</w:t>
            </w:r>
            <w:r w:rsidR="00CE0689">
              <w:rPr>
                <w:noProof/>
                <w:webHidden/>
              </w:rPr>
              <w:tab/>
            </w:r>
            <w:r w:rsidR="00CE0689">
              <w:rPr>
                <w:noProof/>
                <w:webHidden/>
              </w:rPr>
              <w:fldChar w:fldCharType="begin"/>
            </w:r>
            <w:r w:rsidR="00CE0689">
              <w:rPr>
                <w:noProof/>
                <w:webHidden/>
              </w:rPr>
              <w:instrText xml:space="preserve"> PAGEREF _Toc4589357 \h </w:instrText>
            </w:r>
            <w:r w:rsidR="00CE0689">
              <w:rPr>
                <w:noProof/>
                <w:webHidden/>
              </w:rPr>
            </w:r>
            <w:r w:rsidR="00CE0689">
              <w:rPr>
                <w:noProof/>
                <w:webHidden/>
              </w:rPr>
              <w:fldChar w:fldCharType="separate"/>
            </w:r>
            <w:r w:rsidR="00CE0689">
              <w:rPr>
                <w:noProof/>
                <w:webHidden/>
              </w:rPr>
              <w:t>124</w:t>
            </w:r>
            <w:r w:rsidR="00CE0689">
              <w:rPr>
                <w:noProof/>
                <w:webHidden/>
              </w:rPr>
              <w:fldChar w:fldCharType="end"/>
            </w:r>
          </w:hyperlink>
        </w:p>
        <w:p w14:paraId="74775A68" w14:textId="66020667" w:rsidR="00CE0689" w:rsidRDefault="004C61E0">
          <w:pPr>
            <w:pStyle w:val="TOC3"/>
            <w:tabs>
              <w:tab w:val="right" w:leader="dot" w:pos="9016"/>
            </w:tabs>
            <w:rPr>
              <w:rFonts w:eastAsiaTheme="minorEastAsia"/>
              <w:noProof/>
              <w:lang w:eastAsia="en-GB"/>
            </w:rPr>
          </w:pPr>
          <w:hyperlink w:anchor="_Toc4589358" w:history="1">
            <w:r w:rsidR="00CE0689" w:rsidRPr="00794030">
              <w:rPr>
                <w:rStyle w:val="Hyperlink"/>
                <w:noProof/>
              </w:rPr>
              <w:t>4.2.19 Expression of activated AMPK in hemocytes does not affect hemocyte recruitment wounds</w:t>
            </w:r>
            <w:r w:rsidR="00CE0689">
              <w:rPr>
                <w:noProof/>
                <w:webHidden/>
              </w:rPr>
              <w:tab/>
            </w:r>
            <w:r w:rsidR="00CE0689">
              <w:rPr>
                <w:noProof/>
                <w:webHidden/>
              </w:rPr>
              <w:fldChar w:fldCharType="begin"/>
            </w:r>
            <w:r w:rsidR="00CE0689">
              <w:rPr>
                <w:noProof/>
                <w:webHidden/>
              </w:rPr>
              <w:instrText xml:space="preserve"> PAGEREF _Toc4589358 \h </w:instrText>
            </w:r>
            <w:r w:rsidR="00CE0689">
              <w:rPr>
                <w:noProof/>
                <w:webHidden/>
              </w:rPr>
            </w:r>
            <w:r w:rsidR="00CE0689">
              <w:rPr>
                <w:noProof/>
                <w:webHidden/>
              </w:rPr>
              <w:fldChar w:fldCharType="separate"/>
            </w:r>
            <w:r w:rsidR="00CE0689">
              <w:rPr>
                <w:noProof/>
                <w:webHidden/>
              </w:rPr>
              <w:t>128</w:t>
            </w:r>
            <w:r w:rsidR="00CE0689">
              <w:rPr>
                <w:noProof/>
                <w:webHidden/>
              </w:rPr>
              <w:fldChar w:fldCharType="end"/>
            </w:r>
          </w:hyperlink>
        </w:p>
        <w:p w14:paraId="21D42EE2" w14:textId="5741A8F1" w:rsidR="00CE0689" w:rsidRDefault="004C61E0">
          <w:pPr>
            <w:pStyle w:val="TOC3"/>
            <w:tabs>
              <w:tab w:val="right" w:leader="dot" w:pos="9016"/>
            </w:tabs>
            <w:rPr>
              <w:rFonts w:eastAsiaTheme="minorEastAsia"/>
              <w:noProof/>
              <w:lang w:eastAsia="en-GB"/>
            </w:rPr>
          </w:pPr>
          <w:hyperlink w:anchor="_Toc4589359" w:history="1">
            <w:r w:rsidR="00CE0689" w:rsidRPr="00794030">
              <w:rPr>
                <w:rStyle w:val="Hyperlink"/>
                <w:noProof/>
              </w:rPr>
              <w:t>4.2.20 Expression of activated AMPK decreases the number of apoptotic cells in hemocytes</w:t>
            </w:r>
            <w:r w:rsidR="00CE0689">
              <w:rPr>
                <w:noProof/>
                <w:webHidden/>
              </w:rPr>
              <w:tab/>
            </w:r>
            <w:r w:rsidR="00CE0689">
              <w:rPr>
                <w:noProof/>
                <w:webHidden/>
              </w:rPr>
              <w:fldChar w:fldCharType="begin"/>
            </w:r>
            <w:r w:rsidR="00CE0689">
              <w:rPr>
                <w:noProof/>
                <w:webHidden/>
              </w:rPr>
              <w:instrText xml:space="preserve"> PAGEREF _Toc4589359 \h </w:instrText>
            </w:r>
            <w:r w:rsidR="00CE0689">
              <w:rPr>
                <w:noProof/>
                <w:webHidden/>
              </w:rPr>
            </w:r>
            <w:r w:rsidR="00CE0689">
              <w:rPr>
                <w:noProof/>
                <w:webHidden/>
              </w:rPr>
              <w:fldChar w:fldCharType="separate"/>
            </w:r>
            <w:r w:rsidR="00CE0689">
              <w:rPr>
                <w:noProof/>
                <w:webHidden/>
              </w:rPr>
              <w:t>128</w:t>
            </w:r>
            <w:r w:rsidR="00CE0689">
              <w:rPr>
                <w:noProof/>
                <w:webHidden/>
              </w:rPr>
              <w:fldChar w:fldCharType="end"/>
            </w:r>
          </w:hyperlink>
        </w:p>
        <w:p w14:paraId="64176B8A" w14:textId="66952B92" w:rsidR="00CE0689" w:rsidRDefault="004C61E0">
          <w:pPr>
            <w:pStyle w:val="TOC3"/>
            <w:tabs>
              <w:tab w:val="right" w:leader="dot" w:pos="9016"/>
            </w:tabs>
            <w:rPr>
              <w:rFonts w:eastAsiaTheme="minorEastAsia"/>
              <w:noProof/>
              <w:lang w:eastAsia="en-GB"/>
            </w:rPr>
          </w:pPr>
          <w:hyperlink w:anchor="_Toc4589360" w:history="1">
            <w:r w:rsidR="00CE0689" w:rsidRPr="00794030">
              <w:rPr>
                <w:rStyle w:val="Hyperlink"/>
                <w:noProof/>
              </w:rPr>
              <w:t>4.2.21 Constitutive activation of Spӓtzle does not alter hemocyte recruitment to wounds</w:t>
            </w:r>
            <w:r w:rsidR="00CE0689">
              <w:rPr>
                <w:noProof/>
                <w:webHidden/>
              </w:rPr>
              <w:tab/>
            </w:r>
            <w:r w:rsidR="00CE0689">
              <w:rPr>
                <w:noProof/>
                <w:webHidden/>
              </w:rPr>
              <w:fldChar w:fldCharType="begin"/>
            </w:r>
            <w:r w:rsidR="00CE0689">
              <w:rPr>
                <w:noProof/>
                <w:webHidden/>
              </w:rPr>
              <w:instrText xml:space="preserve"> PAGEREF _Toc4589360 \h </w:instrText>
            </w:r>
            <w:r w:rsidR="00CE0689">
              <w:rPr>
                <w:noProof/>
                <w:webHidden/>
              </w:rPr>
            </w:r>
            <w:r w:rsidR="00CE0689">
              <w:rPr>
                <w:noProof/>
                <w:webHidden/>
              </w:rPr>
              <w:fldChar w:fldCharType="separate"/>
            </w:r>
            <w:r w:rsidR="00CE0689">
              <w:rPr>
                <w:noProof/>
                <w:webHidden/>
              </w:rPr>
              <w:t>131</w:t>
            </w:r>
            <w:r w:rsidR="00CE0689">
              <w:rPr>
                <w:noProof/>
                <w:webHidden/>
              </w:rPr>
              <w:fldChar w:fldCharType="end"/>
            </w:r>
          </w:hyperlink>
        </w:p>
        <w:p w14:paraId="71858C5C" w14:textId="2598951A" w:rsidR="00CE0689" w:rsidRDefault="004C61E0">
          <w:pPr>
            <w:pStyle w:val="TOC2"/>
            <w:tabs>
              <w:tab w:val="right" w:leader="dot" w:pos="9016"/>
            </w:tabs>
            <w:rPr>
              <w:rFonts w:eastAsiaTheme="minorEastAsia"/>
              <w:noProof/>
              <w:lang w:eastAsia="en-GB"/>
            </w:rPr>
          </w:pPr>
          <w:hyperlink w:anchor="_Toc4589361" w:history="1">
            <w:r w:rsidR="00CE0689" w:rsidRPr="00794030">
              <w:rPr>
                <w:rStyle w:val="Hyperlink"/>
                <w:noProof/>
              </w:rPr>
              <w:t>4.3 Discussion</w:t>
            </w:r>
            <w:r w:rsidR="00CE0689">
              <w:rPr>
                <w:noProof/>
                <w:webHidden/>
              </w:rPr>
              <w:tab/>
            </w:r>
            <w:r w:rsidR="00CE0689">
              <w:rPr>
                <w:noProof/>
                <w:webHidden/>
              </w:rPr>
              <w:fldChar w:fldCharType="begin"/>
            </w:r>
            <w:r w:rsidR="00CE0689">
              <w:rPr>
                <w:noProof/>
                <w:webHidden/>
              </w:rPr>
              <w:instrText xml:space="preserve"> PAGEREF _Toc4589361 \h </w:instrText>
            </w:r>
            <w:r w:rsidR="00CE0689">
              <w:rPr>
                <w:noProof/>
                <w:webHidden/>
              </w:rPr>
            </w:r>
            <w:r w:rsidR="00CE0689">
              <w:rPr>
                <w:noProof/>
                <w:webHidden/>
              </w:rPr>
              <w:fldChar w:fldCharType="separate"/>
            </w:r>
            <w:r w:rsidR="00CE0689">
              <w:rPr>
                <w:noProof/>
                <w:webHidden/>
              </w:rPr>
              <w:t>133</w:t>
            </w:r>
            <w:r w:rsidR="00CE0689">
              <w:rPr>
                <w:noProof/>
                <w:webHidden/>
              </w:rPr>
              <w:fldChar w:fldCharType="end"/>
            </w:r>
          </w:hyperlink>
        </w:p>
        <w:p w14:paraId="2B668F99" w14:textId="30F9220B" w:rsidR="00CE0689" w:rsidRDefault="004C61E0">
          <w:pPr>
            <w:pStyle w:val="TOC3"/>
            <w:tabs>
              <w:tab w:val="right" w:leader="dot" w:pos="9016"/>
            </w:tabs>
            <w:rPr>
              <w:rFonts w:eastAsiaTheme="minorEastAsia"/>
              <w:noProof/>
              <w:lang w:eastAsia="en-GB"/>
            </w:rPr>
          </w:pPr>
          <w:hyperlink w:anchor="_Toc4589362" w:history="1">
            <w:r w:rsidR="00CE0689" w:rsidRPr="00794030">
              <w:rPr>
                <w:rStyle w:val="Hyperlink"/>
                <w:noProof/>
              </w:rPr>
              <w:t xml:space="preserve">4.3.1 Arginase and Nos do not affect wounding responses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_Toc4589362 \h </w:instrText>
            </w:r>
            <w:r w:rsidR="00CE0689">
              <w:rPr>
                <w:noProof/>
                <w:webHidden/>
              </w:rPr>
            </w:r>
            <w:r w:rsidR="00CE0689">
              <w:rPr>
                <w:noProof/>
                <w:webHidden/>
              </w:rPr>
              <w:fldChar w:fldCharType="separate"/>
            </w:r>
            <w:r w:rsidR="00CE0689">
              <w:rPr>
                <w:noProof/>
                <w:webHidden/>
              </w:rPr>
              <w:t>135</w:t>
            </w:r>
            <w:r w:rsidR="00CE0689">
              <w:rPr>
                <w:noProof/>
                <w:webHidden/>
              </w:rPr>
              <w:fldChar w:fldCharType="end"/>
            </w:r>
          </w:hyperlink>
        </w:p>
        <w:p w14:paraId="189FA2E5" w14:textId="3F3F9967" w:rsidR="00CE0689" w:rsidRDefault="004C61E0">
          <w:pPr>
            <w:pStyle w:val="TOC3"/>
            <w:tabs>
              <w:tab w:val="right" w:leader="dot" w:pos="9016"/>
            </w:tabs>
            <w:rPr>
              <w:rFonts w:eastAsiaTheme="minorEastAsia"/>
              <w:noProof/>
              <w:lang w:eastAsia="en-GB"/>
            </w:rPr>
          </w:pPr>
          <w:hyperlink w:anchor="_Toc4589363" w:history="1">
            <w:r w:rsidR="00CE0689" w:rsidRPr="00794030">
              <w:rPr>
                <w:rStyle w:val="Hyperlink"/>
                <w:noProof/>
              </w:rPr>
              <w:t xml:space="preserve">4.3.2 ROS species are involved in </w:t>
            </w:r>
            <w:r w:rsidR="00CE0689" w:rsidRPr="00794030">
              <w:rPr>
                <w:rStyle w:val="Hyperlink"/>
                <w:i/>
                <w:noProof/>
              </w:rPr>
              <w:t>Drosophila</w:t>
            </w:r>
            <w:r w:rsidR="00CE0689" w:rsidRPr="00794030">
              <w:rPr>
                <w:rStyle w:val="Hyperlink"/>
                <w:noProof/>
              </w:rPr>
              <w:t xml:space="preserve"> hemocyte recruitment to wounds</w:t>
            </w:r>
            <w:r w:rsidR="00CE0689">
              <w:rPr>
                <w:noProof/>
                <w:webHidden/>
              </w:rPr>
              <w:tab/>
            </w:r>
            <w:r w:rsidR="00CE0689">
              <w:rPr>
                <w:noProof/>
                <w:webHidden/>
              </w:rPr>
              <w:fldChar w:fldCharType="begin"/>
            </w:r>
            <w:r w:rsidR="00CE0689">
              <w:rPr>
                <w:noProof/>
                <w:webHidden/>
              </w:rPr>
              <w:instrText xml:space="preserve"> PAGEREF _Toc4589363 \h </w:instrText>
            </w:r>
            <w:r w:rsidR="00CE0689">
              <w:rPr>
                <w:noProof/>
                <w:webHidden/>
              </w:rPr>
            </w:r>
            <w:r w:rsidR="00CE0689">
              <w:rPr>
                <w:noProof/>
                <w:webHidden/>
              </w:rPr>
              <w:fldChar w:fldCharType="separate"/>
            </w:r>
            <w:r w:rsidR="00CE0689">
              <w:rPr>
                <w:noProof/>
                <w:webHidden/>
              </w:rPr>
              <w:t>136</w:t>
            </w:r>
            <w:r w:rsidR="00CE0689">
              <w:rPr>
                <w:noProof/>
                <w:webHidden/>
              </w:rPr>
              <w:fldChar w:fldCharType="end"/>
            </w:r>
          </w:hyperlink>
        </w:p>
        <w:p w14:paraId="3F38FB84" w14:textId="58D45D12" w:rsidR="00CE0689" w:rsidRDefault="004C61E0">
          <w:pPr>
            <w:pStyle w:val="TOC3"/>
            <w:tabs>
              <w:tab w:val="right" w:leader="dot" w:pos="9016"/>
            </w:tabs>
            <w:rPr>
              <w:rFonts w:eastAsiaTheme="minorEastAsia"/>
              <w:noProof/>
              <w:lang w:eastAsia="en-GB"/>
            </w:rPr>
          </w:pPr>
          <w:hyperlink w:anchor="_Toc4589364" w:history="1">
            <w:r w:rsidR="00CE0689" w:rsidRPr="00794030">
              <w:rPr>
                <w:rStyle w:val="Hyperlink"/>
                <w:noProof/>
              </w:rPr>
              <w:t xml:space="preserve">4.3.3 Metabolism is important in </w:t>
            </w:r>
            <w:r w:rsidR="00CE0689" w:rsidRPr="00794030">
              <w:rPr>
                <w:rStyle w:val="Hyperlink"/>
                <w:i/>
                <w:noProof/>
              </w:rPr>
              <w:t>Drosophila</w:t>
            </w:r>
            <w:r w:rsidR="00CE0689" w:rsidRPr="00794030">
              <w:rPr>
                <w:rStyle w:val="Hyperlink"/>
                <w:noProof/>
              </w:rPr>
              <w:t xml:space="preserve"> pro-inflammatory hemocyte polarisation</w:t>
            </w:r>
            <w:r w:rsidR="00CE0689">
              <w:rPr>
                <w:noProof/>
                <w:webHidden/>
              </w:rPr>
              <w:tab/>
            </w:r>
            <w:r w:rsidR="00CE0689">
              <w:rPr>
                <w:noProof/>
                <w:webHidden/>
              </w:rPr>
              <w:fldChar w:fldCharType="begin"/>
            </w:r>
            <w:r w:rsidR="00CE0689">
              <w:rPr>
                <w:noProof/>
                <w:webHidden/>
              </w:rPr>
              <w:instrText xml:space="preserve"> PAGEREF _Toc4589364 \h </w:instrText>
            </w:r>
            <w:r w:rsidR="00CE0689">
              <w:rPr>
                <w:noProof/>
                <w:webHidden/>
              </w:rPr>
            </w:r>
            <w:r w:rsidR="00CE0689">
              <w:rPr>
                <w:noProof/>
                <w:webHidden/>
              </w:rPr>
              <w:fldChar w:fldCharType="separate"/>
            </w:r>
            <w:r w:rsidR="00CE0689">
              <w:rPr>
                <w:noProof/>
                <w:webHidden/>
              </w:rPr>
              <w:t>138</w:t>
            </w:r>
            <w:r w:rsidR="00CE0689">
              <w:rPr>
                <w:noProof/>
                <w:webHidden/>
              </w:rPr>
              <w:fldChar w:fldCharType="end"/>
            </w:r>
          </w:hyperlink>
        </w:p>
        <w:p w14:paraId="0815C602" w14:textId="54FCD18C" w:rsidR="00CE0689" w:rsidRDefault="004C61E0">
          <w:pPr>
            <w:pStyle w:val="TOC2"/>
            <w:tabs>
              <w:tab w:val="right" w:leader="dot" w:pos="9016"/>
            </w:tabs>
            <w:rPr>
              <w:rFonts w:eastAsiaTheme="minorEastAsia"/>
              <w:noProof/>
              <w:lang w:eastAsia="en-GB"/>
            </w:rPr>
          </w:pPr>
          <w:hyperlink w:anchor="_Toc4589365" w:history="1">
            <w:r w:rsidR="00CE0689" w:rsidRPr="00794030">
              <w:rPr>
                <w:rStyle w:val="Hyperlink"/>
                <w:noProof/>
              </w:rPr>
              <w:t>4.4 Conclusion</w:t>
            </w:r>
            <w:r w:rsidR="00CE0689">
              <w:rPr>
                <w:noProof/>
                <w:webHidden/>
              </w:rPr>
              <w:tab/>
            </w:r>
            <w:r w:rsidR="00CE0689">
              <w:rPr>
                <w:noProof/>
                <w:webHidden/>
              </w:rPr>
              <w:fldChar w:fldCharType="begin"/>
            </w:r>
            <w:r w:rsidR="00CE0689">
              <w:rPr>
                <w:noProof/>
                <w:webHidden/>
              </w:rPr>
              <w:instrText xml:space="preserve"> PAGEREF _Toc4589365 \h </w:instrText>
            </w:r>
            <w:r w:rsidR="00CE0689">
              <w:rPr>
                <w:noProof/>
                <w:webHidden/>
              </w:rPr>
            </w:r>
            <w:r w:rsidR="00CE0689">
              <w:rPr>
                <w:noProof/>
                <w:webHidden/>
              </w:rPr>
              <w:fldChar w:fldCharType="separate"/>
            </w:r>
            <w:r w:rsidR="00CE0689">
              <w:rPr>
                <w:noProof/>
                <w:webHidden/>
              </w:rPr>
              <w:t>140</w:t>
            </w:r>
            <w:r w:rsidR="00CE0689">
              <w:rPr>
                <w:noProof/>
                <w:webHidden/>
              </w:rPr>
              <w:fldChar w:fldCharType="end"/>
            </w:r>
          </w:hyperlink>
        </w:p>
        <w:p w14:paraId="4659E00A" w14:textId="6501E7E4" w:rsidR="00CE0689" w:rsidRDefault="004C61E0">
          <w:pPr>
            <w:pStyle w:val="TOC1"/>
            <w:tabs>
              <w:tab w:val="right" w:leader="dot" w:pos="9016"/>
            </w:tabs>
            <w:rPr>
              <w:rFonts w:eastAsiaTheme="minorEastAsia"/>
              <w:noProof/>
              <w:lang w:eastAsia="en-GB"/>
            </w:rPr>
          </w:pPr>
          <w:hyperlink w:anchor="_Toc4589366" w:history="1">
            <w:r w:rsidR="00CE0689" w:rsidRPr="00794030">
              <w:rPr>
                <w:rStyle w:val="Hyperlink"/>
                <w:noProof/>
              </w:rPr>
              <w:t xml:space="preserve">Chapter 5. JAK/STAT signalling in </w:t>
            </w:r>
            <w:r w:rsidR="00CE0689" w:rsidRPr="00794030">
              <w:rPr>
                <w:rStyle w:val="Hyperlink"/>
                <w:i/>
                <w:noProof/>
              </w:rPr>
              <w:t>Drosophila</w:t>
            </w:r>
            <w:r w:rsidR="00CE0689" w:rsidRPr="00794030">
              <w:rPr>
                <w:rStyle w:val="Hyperlink"/>
                <w:noProof/>
              </w:rPr>
              <w:t xml:space="preserve"> embryonic hemocytes is required for limiting responses to pro-inflammatory wounding</w:t>
            </w:r>
            <w:r w:rsidR="00CE0689">
              <w:rPr>
                <w:noProof/>
                <w:webHidden/>
              </w:rPr>
              <w:tab/>
            </w:r>
            <w:r w:rsidR="00CE0689">
              <w:rPr>
                <w:noProof/>
                <w:webHidden/>
              </w:rPr>
              <w:fldChar w:fldCharType="begin"/>
            </w:r>
            <w:r w:rsidR="00CE0689">
              <w:rPr>
                <w:noProof/>
                <w:webHidden/>
              </w:rPr>
              <w:instrText xml:space="preserve"> PAGEREF _Toc4589366 \h </w:instrText>
            </w:r>
            <w:r w:rsidR="00CE0689">
              <w:rPr>
                <w:noProof/>
                <w:webHidden/>
              </w:rPr>
            </w:r>
            <w:r w:rsidR="00CE0689">
              <w:rPr>
                <w:noProof/>
                <w:webHidden/>
              </w:rPr>
              <w:fldChar w:fldCharType="separate"/>
            </w:r>
            <w:r w:rsidR="00CE0689">
              <w:rPr>
                <w:noProof/>
                <w:webHidden/>
              </w:rPr>
              <w:t>142</w:t>
            </w:r>
            <w:r w:rsidR="00CE0689">
              <w:rPr>
                <w:noProof/>
                <w:webHidden/>
              </w:rPr>
              <w:fldChar w:fldCharType="end"/>
            </w:r>
          </w:hyperlink>
        </w:p>
        <w:p w14:paraId="00F4CB02" w14:textId="5CBBF07D" w:rsidR="00CE0689" w:rsidRDefault="004C61E0">
          <w:pPr>
            <w:pStyle w:val="TOC2"/>
            <w:tabs>
              <w:tab w:val="right" w:leader="dot" w:pos="9016"/>
            </w:tabs>
            <w:rPr>
              <w:rFonts w:eastAsiaTheme="minorEastAsia"/>
              <w:noProof/>
              <w:lang w:eastAsia="en-GB"/>
            </w:rPr>
          </w:pPr>
          <w:hyperlink w:anchor="_Toc4589367" w:history="1">
            <w:r w:rsidR="00CE0689" w:rsidRPr="00794030">
              <w:rPr>
                <w:rStyle w:val="Hyperlink"/>
                <w:noProof/>
              </w:rPr>
              <w:t>5.1 Introduction</w:t>
            </w:r>
            <w:r w:rsidR="00CE0689">
              <w:rPr>
                <w:noProof/>
                <w:webHidden/>
              </w:rPr>
              <w:tab/>
            </w:r>
            <w:r w:rsidR="00CE0689">
              <w:rPr>
                <w:noProof/>
                <w:webHidden/>
              </w:rPr>
              <w:fldChar w:fldCharType="begin"/>
            </w:r>
            <w:r w:rsidR="00CE0689">
              <w:rPr>
                <w:noProof/>
                <w:webHidden/>
              </w:rPr>
              <w:instrText xml:space="preserve"> PAGEREF _Toc4589367 \h </w:instrText>
            </w:r>
            <w:r w:rsidR="00CE0689">
              <w:rPr>
                <w:noProof/>
                <w:webHidden/>
              </w:rPr>
            </w:r>
            <w:r w:rsidR="00CE0689">
              <w:rPr>
                <w:noProof/>
                <w:webHidden/>
              </w:rPr>
              <w:fldChar w:fldCharType="separate"/>
            </w:r>
            <w:r w:rsidR="00CE0689">
              <w:rPr>
                <w:noProof/>
                <w:webHidden/>
              </w:rPr>
              <w:t>142</w:t>
            </w:r>
            <w:r w:rsidR="00CE0689">
              <w:rPr>
                <w:noProof/>
                <w:webHidden/>
              </w:rPr>
              <w:fldChar w:fldCharType="end"/>
            </w:r>
          </w:hyperlink>
        </w:p>
        <w:p w14:paraId="4A1CCA5E" w14:textId="27361CAE" w:rsidR="00CE0689" w:rsidRDefault="004C61E0">
          <w:pPr>
            <w:pStyle w:val="TOC3"/>
            <w:tabs>
              <w:tab w:val="right" w:leader="dot" w:pos="9016"/>
            </w:tabs>
            <w:rPr>
              <w:rFonts w:eastAsiaTheme="minorEastAsia"/>
              <w:noProof/>
              <w:lang w:eastAsia="en-GB"/>
            </w:rPr>
          </w:pPr>
          <w:hyperlink w:anchor="_Toc4589368" w:history="1">
            <w:r w:rsidR="00CE0689" w:rsidRPr="00794030">
              <w:rPr>
                <w:rStyle w:val="Hyperlink"/>
                <w:noProof/>
              </w:rPr>
              <w:t xml:space="preserve">5.1.1 JAK/STAT signalling in </w:t>
            </w:r>
            <w:r w:rsidR="00CE0689" w:rsidRPr="00794030">
              <w:rPr>
                <w:rStyle w:val="Hyperlink"/>
                <w:i/>
                <w:noProof/>
              </w:rPr>
              <w:t>Drosophila</w:t>
            </w:r>
            <w:r w:rsidR="00CE0689">
              <w:rPr>
                <w:noProof/>
                <w:webHidden/>
              </w:rPr>
              <w:tab/>
            </w:r>
            <w:r w:rsidR="00CE0689">
              <w:rPr>
                <w:noProof/>
                <w:webHidden/>
              </w:rPr>
              <w:fldChar w:fldCharType="begin"/>
            </w:r>
            <w:r w:rsidR="00CE0689">
              <w:rPr>
                <w:noProof/>
                <w:webHidden/>
              </w:rPr>
              <w:instrText xml:space="preserve"> PAGEREF _Toc4589368 \h </w:instrText>
            </w:r>
            <w:r w:rsidR="00CE0689">
              <w:rPr>
                <w:noProof/>
                <w:webHidden/>
              </w:rPr>
            </w:r>
            <w:r w:rsidR="00CE0689">
              <w:rPr>
                <w:noProof/>
                <w:webHidden/>
              </w:rPr>
              <w:fldChar w:fldCharType="separate"/>
            </w:r>
            <w:r w:rsidR="00CE0689">
              <w:rPr>
                <w:noProof/>
                <w:webHidden/>
              </w:rPr>
              <w:t>142</w:t>
            </w:r>
            <w:r w:rsidR="00CE0689">
              <w:rPr>
                <w:noProof/>
                <w:webHidden/>
              </w:rPr>
              <w:fldChar w:fldCharType="end"/>
            </w:r>
          </w:hyperlink>
        </w:p>
        <w:p w14:paraId="4D8C4C4B" w14:textId="04C36DC0" w:rsidR="00CE0689" w:rsidRDefault="004C61E0">
          <w:pPr>
            <w:pStyle w:val="TOC3"/>
            <w:tabs>
              <w:tab w:val="right" w:leader="dot" w:pos="9016"/>
            </w:tabs>
            <w:rPr>
              <w:rFonts w:eastAsiaTheme="minorEastAsia"/>
              <w:noProof/>
              <w:lang w:eastAsia="en-GB"/>
            </w:rPr>
          </w:pPr>
          <w:hyperlink w:anchor="_Toc4589369" w:history="1">
            <w:r w:rsidR="00CE0689" w:rsidRPr="00794030">
              <w:rPr>
                <w:rStyle w:val="Hyperlink"/>
                <w:noProof/>
              </w:rPr>
              <w:t xml:space="preserve">5.1.2 JAK/STAT signalling in the </w:t>
            </w:r>
            <w:r w:rsidR="00CE0689" w:rsidRPr="00794030">
              <w:rPr>
                <w:rStyle w:val="Hyperlink"/>
                <w:i/>
                <w:noProof/>
              </w:rPr>
              <w:t>Drosophila</w:t>
            </w:r>
            <w:r w:rsidR="00CE0689" w:rsidRPr="00794030">
              <w:rPr>
                <w:rStyle w:val="Hyperlink"/>
                <w:noProof/>
              </w:rPr>
              <w:t xml:space="preserve"> immune system</w:t>
            </w:r>
            <w:r w:rsidR="00CE0689">
              <w:rPr>
                <w:noProof/>
                <w:webHidden/>
              </w:rPr>
              <w:tab/>
            </w:r>
            <w:r w:rsidR="00CE0689">
              <w:rPr>
                <w:noProof/>
                <w:webHidden/>
              </w:rPr>
              <w:fldChar w:fldCharType="begin"/>
            </w:r>
            <w:r w:rsidR="00CE0689">
              <w:rPr>
                <w:noProof/>
                <w:webHidden/>
              </w:rPr>
              <w:instrText xml:space="preserve"> PAGEREF _Toc4589369 \h </w:instrText>
            </w:r>
            <w:r w:rsidR="00CE0689">
              <w:rPr>
                <w:noProof/>
                <w:webHidden/>
              </w:rPr>
            </w:r>
            <w:r w:rsidR="00CE0689">
              <w:rPr>
                <w:noProof/>
                <w:webHidden/>
              </w:rPr>
              <w:fldChar w:fldCharType="separate"/>
            </w:r>
            <w:r w:rsidR="00CE0689">
              <w:rPr>
                <w:noProof/>
                <w:webHidden/>
              </w:rPr>
              <w:t>143</w:t>
            </w:r>
            <w:r w:rsidR="00CE0689">
              <w:rPr>
                <w:noProof/>
                <w:webHidden/>
              </w:rPr>
              <w:fldChar w:fldCharType="end"/>
            </w:r>
          </w:hyperlink>
        </w:p>
        <w:p w14:paraId="1A57BDE1" w14:textId="717830D3" w:rsidR="00CE0689" w:rsidRDefault="004C61E0">
          <w:pPr>
            <w:pStyle w:val="TOC3"/>
            <w:tabs>
              <w:tab w:val="right" w:leader="dot" w:pos="9016"/>
            </w:tabs>
            <w:rPr>
              <w:rFonts w:eastAsiaTheme="minorEastAsia"/>
              <w:noProof/>
              <w:lang w:eastAsia="en-GB"/>
            </w:rPr>
          </w:pPr>
          <w:hyperlink w:anchor="_Toc4589370" w:history="1">
            <w:r w:rsidR="00CE0689" w:rsidRPr="00794030">
              <w:rPr>
                <w:rStyle w:val="Hyperlink"/>
                <w:noProof/>
              </w:rPr>
              <w:t>5.1.3 JAK/STAT signalling in macrophage polarisation</w:t>
            </w:r>
            <w:r w:rsidR="00CE0689">
              <w:rPr>
                <w:noProof/>
                <w:webHidden/>
              </w:rPr>
              <w:tab/>
            </w:r>
            <w:r w:rsidR="00CE0689">
              <w:rPr>
                <w:noProof/>
                <w:webHidden/>
              </w:rPr>
              <w:fldChar w:fldCharType="begin"/>
            </w:r>
            <w:r w:rsidR="00CE0689">
              <w:rPr>
                <w:noProof/>
                <w:webHidden/>
              </w:rPr>
              <w:instrText xml:space="preserve"> PAGEREF _Toc4589370 \h </w:instrText>
            </w:r>
            <w:r w:rsidR="00CE0689">
              <w:rPr>
                <w:noProof/>
                <w:webHidden/>
              </w:rPr>
            </w:r>
            <w:r w:rsidR="00CE0689">
              <w:rPr>
                <w:noProof/>
                <w:webHidden/>
              </w:rPr>
              <w:fldChar w:fldCharType="separate"/>
            </w:r>
            <w:r w:rsidR="00CE0689">
              <w:rPr>
                <w:noProof/>
                <w:webHidden/>
              </w:rPr>
              <w:t>144</w:t>
            </w:r>
            <w:r w:rsidR="00CE0689">
              <w:rPr>
                <w:noProof/>
                <w:webHidden/>
              </w:rPr>
              <w:fldChar w:fldCharType="end"/>
            </w:r>
          </w:hyperlink>
        </w:p>
        <w:p w14:paraId="331C120B" w14:textId="40F46B07" w:rsidR="00CE0689" w:rsidRDefault="004C61E0">
          <w:pPr>
            <w:pStyle w:val="TOC2"/>
            <w:tabs>
              <w:tab w:val="right" w:leader="dot" w:pos="9016"/>
            </w:tabs>
            <w:rPr>
              <w:rFonts w:eastAsiaTheme="minorEastAsia"/>
              <w:noProof/>
              <w:lang w:eastAsia="en-GB"/>
            </w:rPr>
          </w:pPr>
          <w:hyperlink w:anchor="_Toc4589371" w:history="1">
            <w:r w:rsidR="00CE0689" w:rsidRPr="00794030">
              <w:rPr>
                <w:rStyle w:val="Hyperlink"/>
                <w:noProof/>
              </w:rPr>
              <w:t>5.2 Results</w:t>
            </w:r>
            <w:r w:rsidR="00CE0689">
              <w:rPr>
                <w:noProof/>
                <w:webHidden/>
              </w:rPr>
              <w:tab/>
            </w:r>
            <w:r w:rsidR="00CE0689">
              <w:rPr>
                <w:noProof/>
                <w:webHidden/>
              </w:rPr>
              <w:fldChar w:fldCharType="begin"/>
            </w:r>
            <w:r w:rsidR="00CE0689">
              <w:rPr>
                <w:noProof/>
                <w:webHidden/>
              </w:rPr>
              <w:instrText xml:space="preserve"> PAGEREF _Toc4589371 \h </w:instrText>
            </w:r>
            <w:r w:rsidR="00CE0689">
              <w:rPr>
                <w:noProof/>
                <w:webHidden/>
              </w:rPr>
            </w:r>
            <w:r w:rsidR="00CE0689">
              <w:rPr>
                <w:noProof/>
                <w:webHidden/>
              </w:rPr>
              <w:fldChar w:fldCharType="separate"/>
            </w:r>
            <w:r w:rsidR="00CE0689">
              <w:rPr>
                <w:noProof/>
                <w:webHidden/>
              </w:rPr>
              <w:t>147</w:t>
            </w:r>
            <w:r w:rsidR="00CE0689">
              <w:rPr>
                <w:noProof/>
                <w:webHidden/>
              </w:rPr>
              <w:fldChar w:fldCharType="end"/>
            </w:r>
          </w:hyperlink>
        </w:p>
        <w:p w14:paraId="56ECF767" w14:textId="2CB2B481" w:rsidR="00CE0689" w:rsidRDefault="004C61E0">
          <w:pPr>
            <w:pStyle w:val="TOC3"/>
            <w:tabs>
              <w:tab w:val="right" w:leader="dot" w:pos="9016"/>
            </w:tabs>
            <w:rPr>
              <w:rFonts w:eastAsiaTheme="minorEastAsia"/>
              <w:noProof/>
              <w:lang w:eastAsia="en-GB"/>
            </w:rPr>
          </w:pPr>
          <w:hyperlink w:anchor="_Toc4589372" w:history="1">
            <w:r w:rsidR="00CE0689" w:rsidRPr="00794030">
              <w:rPr>
                <w:rStyle w:val="Hyperlink"/>
                <w:noProof/>
              </w:rPr>
              <w:t>5.2.1 Embryos with mutations in Upd demonstrate increased responses to pro-inflammatory wounding</w:t>
            </w:r>
            <w:r w:rsidR="00CE0689">
              <w:rPr>
                <w:noProof/>
                <w:webHidden/>
              </w:rPr>
              <w:tab/>
            </w:r>
            <w:r w:rsidR="00CE0689">
              <w:rPr>
                <w:noProof/>
                <w:webHidden/>
              </w:rPr>
              <w:fldChar w:fldCharType="begin"/>
            </w:r>
            <w:r w:rsidR="00CE0689">
              <w:rPr>
                <w:noProof/>
                <w:webHidden/>
              </w:rPr>
              <w:instrText xml:space="preserve"> PAGEREF _Toc4589372 \h </w:instrText>
            </w:r>
            <w:r w:rsidR="00CE0689">
              <w:rPr>
                <w:noProof/>
                <w:webHidden/>
              </w:rPr>
            </w:r>
            <w:r w:rsidR="00CE0689">
              <w:rPr>
                <w:noProof/>
                <w:webHidden/>
              </w:rPr>
              <w:fldChar w:fldCharType="separate"/>
            </w:r>
            <w:r w:rsidR="00CE0689">
              <w:rPr>
                <w:noProof/>
                <w:webHidden/>
              </w:rPr>
              <w:t>147</w:t>
            </w:r>
            <w:r w:rsidR="00CE0689">
              <w:rPr>
                <w:noProof/>
                <w:webHidden/>
              </w:rPr>
              <w:fldChar w:fldCharType="end"/>
            </w:r>
          </w:hyperlink>
        </w:p>
        <w:p w14:paraId="5BDC083A" w14:textId="6195C38A" w:rsidR="00CE0689" w:rsidRDefault="004C61E0">
          <w:pPr>
            <w:pStyle w:val="TOC3"/>
            <w:tabs>
              <w:tab w:val="right" w:leader="dot" w:pos="9016"/>
            </w:tabs>
            <w:rPr>
              <w:rFonts w:eastAsiaTheme="minorEastAsia"/>
              <w:noProof/>
              <w:lang w:eastAsia="en-GB"/>
            </w:rPr>
          </w:pPr>
          <w:hyperlink w:anchor="_Toc4589373" w:history="1">
            <w:r w:rsidR="00CE0689" w:rsidRPr="00794030">
              <w:rPr>
                <w:rStyle w:val="Hyperlink"/>
                <w:noProof/>
              </w:rPr>
              <w:t xml:space="preserve">5.2.2 Hemocytes in </w:t>
            </w:r>
            <w:r w:rsidR="00CE0689" w:rsidRPr="00794030">
              <w:rPr>
                <w:rStyle w:val="Hyperlink"/>
                <w:i/>
                <w:noProof/>
              </w:rPr>
              <w:t>Upd</w:t>
            </w:r>
            <w:r w:rsidR="00CE0689" w:rsidRPr="00794030">
              <w:rPr>
                <w:rStyle w:val="Hyperlink"/>
                <w:noProof/>
              </w:rPr>
              <w:t xml:space="preserve"> mutants contain similar amounts of apoptotic cells</w:t>
            </w:r>
            <w:r w:rsidR="00CE0689">
              <w:rPr>
                <w:noProof/>
                <w:webHidden/>
              </w:rPr>
              <w:tab/>
            </w:r>
            <w:r w:rsidR="00CE0689">
              <w:rPr>
                <w:noProof/>
                <w:webHidden/>
              </w:rPr>
              <w:fldChar w:fldCharType="begin"/>
            </w:r>
            <w:r w:rsidR="00CE0689">
              <w:rPr>
                <w:noProof/>
                <w:webHidden/>
              </w:rPr>
              <w:instrText xml:space="preserve"> PAGEREF _Toc4589373 \h </w:instrText>
            </w:r>
            <w:r w:rsidR="00CE0689">
              <w:rPr>
                <w:noProof/>
                <w:webHidden/>
              </w:rPr>
            </w:r>
            <w:r w:rsidR="00CE0689">
              <w:rPr>
                <w:noProof/>
                <w:webHidden/>
              </w:rPr>
              <w:fldChar w:fldCharType="separate"/>
            </w:r>
            <w:r w:rsidR="00CE0689">
              <w:rPr>
                <w:noProof/>
                <w:webHidden/>
              </w:rPr>
              <w:t>149</w:t>
            </w:r>
            <w:r w:rsidR="00CE0689">
              <w:rPr>
                <w:noProof/>
                <w:webHidden/>
              </w:rPr>
              <w:fldChar w:fldCharType="end"/>
            </w:r>
          </w:hyperlink>
        </w:p>
        <w:p w14:paraId="233482CC" w14:textId="05871BFE" w:rsidR="00CE0689" w:rsidRDefault="004C61E0">
          <w:pPr>
            <w:pStyle w:val="TOC3"/>
            <w:tabs>
              <w:tab w:val="right" w:leader="dot" w:pos="9016"/>
            </w:tabs>
            <w:rPr>
              <w:rFonts w:eastAsiaTheme="minorEastAsia"/>
              <w:noProof/>
              <w:lang w:eastAsia="en-GB"/>
            </w:rPr>
          </w:pPr>
          <w:hyperlink w:anchor="_Toc4589374" w:history="1">
            <w:r w:rsidR="00CE0689" w:rsidRPr="00794030">
              <w:rPr>
                <w:rStyle w:val="Hyperlink"/>
                <w:noProof/>
              </w:rPr>
              <w:t>5.2.7 Upd mutations effectively modulate STAT signalling</w:t>
            </w:r>
            <w:r w:rsidR="00CE0689">
              <w:rPr>
                <w:noProof/>
                <w:webHidden/>
              </w:rPr>
              <w:tab/>
            </w:r>
            <w:r w:rsidR="00CE0689">
              <w:rPr>
                <w:noProof/>
                <w:webHidden/>
              </w:rPr>
              <w:fldChar w:fldCharType="begin"/>
            </w:r>
            <w:r w:rsidR="00CE0689">
              <w:rPr>
                <w:noProof/>
                <w:webHidden/>
              </w:rPr>
              <w:instrText xml:space="preserve"> PAGEREF _Toc4589374 \h </w:instrText>
            </w:r>
            <w:r w:rsidR="00CE0689">
              <w:rPr>
                <w:noProof/>
                <w:webHidden/>
              </w:rPr>
            </w:r>
            <w:r w:rsidR="00CE0689">
              <w:rPr>
                <w:noProof/>
                <w:webHidden/>
              </w:rPr>
              <w:fldChar w:fldCharType="separate"/>
            </w:r>
            <w:r w:rsidR="00CE0689">
              <w:rPr>
                <w:noProof/>
                <w:webHidden/>
              </w:rPr>
              <w:t>151</w:t>
            </w:r>
            <w:r w:rsidR="00CE0689">
              <w:rPr>
                <w:noProof/>
                <w:webHidden/>
              </w:rPr>
              <w:fldChar w:fldCharType="end"/>
            </w:r>
          </w:hyperlink>
        </w:p>
        <w:p w14:paraId="308A8AE7" w14:textId="566535CD" w:rsidR="00CE0689" w:rsidRDefault="004C61E0">
          <w:pPr>
            <w:pStyle w:val="TOC3"/>
            <w:tabs>
              <w:tab w:val="right" w:leader="dot" w:pos="9016"/>
            </w:tabs>
            <w:rPr>
              <w:rFonts w:eastAsiaTheme="minorEastAsia"/>
              <w:noProof/>
              <w:lang w:eastAsia="en-GB"/>
            </w:rPr>
          </w:pPr>
          <w:hyperlink w:anchor="_Toc4589375" w:history="1">
            <w:r w:rsidR="00CE0689" w:rsidRPr="00794030">
              <w:rPr>
                <w:rStyle w:val="Hyperlink"/>
                <w:noProof/>
              </w:rPr>
              <w:t>5.2.3 Upd expression in hemocytes is required for normal recruitment to wounds</w:t>
            </w:r>
            <w:r w:rsidR="00CE0689">
              <w:rPr>
                <w:noProof/>
                <w:webHidden/>
              </w:rPr>
              <w:tab/>
            </w:r>
            <w:r w:rsidR="00CE0689">
              <w:rPr>
                <w:noProof/>
                <w:webHidden/>
              </w:rPr>
              <w:fldChar w:fldCharType="begin"/>
            </w:r>
            <w:r w:rsidR="00CE0689">
              <w:rPr>
                <w:noProof/>
                <w:webHidden/>
              </w:rPr>
              <w:instrText xml:space="preserve"> PAGEREF _Toc4589375 \h </w:instrText>
            </w:r>
            <w:r w:rsidR="00CE0689">
              <w:rPr>
                <w:noProof/>
                <w:webHidden/>
              </w:rPr>
            </w:r>
            <w:r w:rsidR="00CE0689">
              <w:rPr>
                <w:noProof/>
                <w:webHidden/>
              </w:rPr>
              <w:fldChar w:fldCharType="separate"/>
            </w:r>
            <w:r w:rsidR="00CE0689">
              <w:rPr>
                <w:noProof/>
                <w:webHidden/>
              </w:rPr>
              <w:t>152</w:t>
            </w:r>
            <w:r w:rsidR="00CE0689">
              <w:rPr>
                <w:noProof/>
                <w:webHidden/>
              </w:rPr>
              <w:fldChar w:fldCharType="end"/>
            </w:r>
          </w:hyperlink>
        </w:p>
        <w:p w14:paraId="4DFF7BA3" w14:textId="0EA610B5" w:rsidR="00CE0689" w:rsidRDefault="004C61E0">
          <w:pPr>
            <w:pStyle w:val="TOC3"/>
            <w:tabs>
              <w:tab w:val="right" w:leader="dot" w:pos="9016"/>
            </w:tabs>
            <w:rPr>
              <w:rFonts w:eastAsiaTheme="minorEastAsia"/>
              <w:noProof/>
              <w:lang w:eastAsia="en-GB"/>
            </w:rPr>
          </w:pPr>
          <w:hyperlink w:anchor="_Toc4589376" w:history="1">
            <w:r w:rsidR="00CE0689" w:rsidRPr="00794030">
              <w:rPr>
                <w:rStyle w:val="Hyperlink"/>
                <w:noProof/>
              </w:rPr>
              <w:t>5.2.5 Knockdown of Upd3 in hemocytes does not affect responses to wounding</w:t>
            </w:r>
            <w:r w:rsidR="00CE0689">
              <w:rPr>
                <w:noProof/>
                <w:webHidden/>
              </w:rPr>
              <w:tab/>
            </w:r>
            <w:r w:rsidR="00CE0689">
              <w:rPr>
                <w:noProof/>
                <w:webHidden/>
              </w:rPr>
              <w:fldChar w:fldCharType="begin"/>
            </w:r>
            <w:r w:rsidR="00CE0689">
              <w:rPr>
                <w:noProof/>
                <w:webHidden/>
              </w:rPr>
              <w:instrText xml:space="preserve"> PAGEREF _Toc4589376 \h </w:instrText>
            </w:r>
            <w:r w:rsidR="00CE0689">
              <w:rPr>
                <w:noProof/>
                <w:webHidden/>
              </w:rPr>
            </w:r>
            <w:r w:rsidR="00CE0689">
              <w:rPr>
                <w:noProof/>
                <w:webHidden/>
              </w:rPr>
              <w:fldChar w:fldCharType="separate"/>
            </w:r>
            <w:r w:rsidR="00CE0689">
              <w:rPr>
                <w:noProof/>
                <w:webHidden/>
              </w:rPr>
              <w:t>153</w:t>
            </w:r>
            <w:r w:rsidR="00CE0689">
              <w:rPr>
                <w:noProof/>
                <w:webHidden/>
              </w:rPr>
              <w:fldChar w:fldCharType="end"/>
            </w:r>
          </w:hyperlink>
        </w:p>
        <w:p w14:paraId="5D36ED23" w14:textId="6938B94B" w:rsidR="00CE0689" w:rsidRDefault="004C61E0">
          <w:pPr>
            <w:pStyle w:val="TOC3"/>
            <w:tabs>
              <w:tab w:val="right" w:leader="dot" w:pos="9016"/>
            </w:tabs>
            <w:rPr>
              <w:rFonts w:eastAsiaTheme="minorEastAsia"/>
              <w:noProof/>
              <w:lang w:eastAsia="en-GB"/>
            </w:rPr>
          </w:pPr>
          <w:hyperlink w:anchor="_Toc4589377" w:history="1">
            <w:r w:rsidR="00CE0689" w:rsidRPr="00794030">
              <w:rPr>
                <w:rStyle w:val="Hyperlink"/>
                <w:noProof/>
              </w:rPr>
              <w:t>5.2.6 Hemocytes with mutations in Dome exhibit increased hemocyte recruitment to wounds</w:t>
            </w:r>
            <w:r w:rsidR="00CE0689">
              <w:rPr>
                <w:noProof/>
                <w:webHidden/>
              </w:rPr>
              <w:tab/>
            </w:r>
            <w:r w:rsidR="00CE0689">
              <w:rPr>
                <w:noProof/>
                <w:webHidden/>
              </w:rPr>
              <w:fldChar w:fldCharType="begin"/>
            </w:r>
            <w:r w:rsidR="00CE0689">
              <w:rPr>
                <w:noProof/>
                <w:webHidden/>
              </w:rPr>
              <w:instrText xml:space="preserve"> PAGEREF _Toc4589377 \h </w:instrText>
            </w:r>
            <w:r w:rsidR="00CE0689">
              <w:rPr>
                <w:noProof/>
                <w:webHidden/>
              </w:rPr>
            </w:r>
            <w:r w:rsidR="00CE0689">
              <w:rPr>
                <w:noProof/>
                <w:webHidden/>
              </w:rPr>
              <w:fldChar w:fldCharType="separate"/>
            </w:r>
            <w:r w:rsidR="00CE0689">
              <w:rPr>
                <w:noProof/>
                <w:webHidden/>
              </w:rPr>
              <w:t>154</w:t>
            </w:r>
            <w:r w:rsidR="00CE0689">
              <w:rPr>
                <w:noProof/>
                <w:webHidden/>
              </w:rPr>
              <w:fldChar w:fldCharType="end"/>
            </w:r>
          </w:hyperlink>
        </w:p>
        <w:p w14:paraId="1F343826" w14:textId="3BED0317" w:rsidR="00CE0689" w:rsidRDefault="004C61E0">
          <w:pPr>
            <w:pStyle w:val="TOC3"/>
            <w:tabs>
              <w:tab w:val="right" w:leader="dot" w:pos="9016"/>
            </w:tabs>
            <w:rPr>
              <w:rFonts w:eastAsiaTheme="minorEastAsia"/>
              <w:noProof/>
              <w:lang w:eastAsia="en-GB"/>
            </w:rPr>
          </w:pPr>
          <w:hyperlink w:anchor="_Toc4589378" w:history="1">
            <w:r w:rsidR="00CE0689" w:rsidRPr="00794030">
              <w:rPr>
                <w:rStyle w:val="Hyperlink"/>
                <w:noProof/>
              </w:rPr>
              <w:t>5.2.7 Hemocytes expressing dominant negative Dome do not contain more apoptotic corpses</w:t>
            </w:r>
            <w:r w:rsidR="00CE0689">
              <w:rPr>
                <w:noProof/>
                <w:webHidden/>
              </w:rPr>
              <w:tab/>
            </w:r>
            <w:r w:rsidR="00CE0689">
              <w:rPr>
                <w:noProof/>
                <w:webHidden/>
              </w:rPr>
              <w:fldChar w:fldCharType="begin"/>
            </w:r>
            <w:r w:rsidR="00CE0689">
              <w:rPr>
                <w:noProof/>
                <w:webHidden/>
              </w:rPr>
              <w:instrText xml:space="preserve"> PAGEREF _Toc4589378 \h </w:instrText>
            </w:r>
            <w:r w:rsidR="00CE0689">
              <w:rPr>
                <w:noProof/>
                <w:webHidden/>
              </w:rPr>
            </w:r>
            <w:r w:rsidR="00CE0689">
              <w:rPr>
                <w:noProof/>
                <w:webHidden/>
              </w:rPr>
              <w:fldChar w:fldCharType="separate"/>
            </w:r>
            <w:r w:rsidR="00CE0689">
              <w:rPr>
                <w:noProof/>
                <w:webHidden/>
              </w:rPr>
              <w:t>157</w:t>
            </w:r>
            <w:r w:rsidR="00CE0689">
              <w:rPr>
                <w:noProof/>
                <w:webHidden/>
              </w:rPr>
              <w:fldChar w:fldCharType="end"/>
            </w:r>
          </w:hyperlink>
        </w:p>
        <w:p w14:paraId="315ADAE1" w14:textId="5451DAED" w:rsidR="00CE0689" w:rsidRDefault="004C61E0">
          <w:pPr>
            <w:pStyle w:val="TOC3"/>
            <w:tabs>
              <w:tab w:val="right" w:leader="dot" w:pos="9016"/>
            </w:tabs>
            <w:rPr>
              <w:rFonts w:eastAsiaTheme="minorEastAsia"/>
              <w:noProof/>
              <w:lang w:eastAsia="en-GB"/>
            </w:rPr>
          </w:pPr>
          <w:hyperlink w:anchor="_Toc4589379" w:history="1">
            <w:r w:rsidR="00CE0689" w:rsidRPr="00794030">
              <w:rPr>
                <w:rStyle w:val="Hyperlink"/>
                <w:noProof/>
              </w:rPr>
              <w:t>5.2.8 Dome</w:t>
            </w:r>
            <w:r w:rsidR="00CE0689" w:rsidRPr="00794030">
              <w:rPr>
                <w:rStyle w:val="Hyperlink"/>
                <w:noProof/>
                <w:vertAlign w:val="superscript"/>
              </w:rPr>
              <w:t>DTMCYT</w:t>
            </w:r>
            <w:r w:rsidR="00CE0689" w:rsidRPr="00794030">
              <w:rPr>
                <w:rStyle w:val="Hyperlink"/>
                <w:noProof/>
                <w:vertAlign w:val="subscript"/>
              </w:rPr>
              <w:t xml:space="preserve"> </w:t>
            </w:r>
            <w:r w:rsidR="00CE0689" w:rsidRPr="00794030">
              <w:rPr>
                <w:rStyle w:val="Hyperlink"/>
                <w:noProof/>
              </w:rPr>
              <w:t>but not Dome</w:t>
            </w:r>
            <w:r w:rsidR="00CE0689" w:rsidRPr="00794030">
              <w:rPr>
                <w:rStyle w:val="Hyperlink"/>
                <w:noProof/>
                <w:vertAlign w:val="superscript"/>
              </w:rPr>
              <w:t>ΔCYT</w:t>
            </w:r>
            <w:r w:rsidR="00CE0689" w:rsidRPr="00794030">
              <w:rPr>
                <w:rStyle w:val="Hyperlink"/>
                <w:noProof/>
              </w:rPr>
              <w:t xml:space="preserve"> constructs modulate STAT signalling</w:t>
            </w:r>
            <w:r w:rsidR="00CE0689">
              <w:rPr>
                <w:noProof/>
                <w:webHidden/>
              </w:rPr>
              <w:tab/>
            </w:r>
            <w:r w:rsidR="00CE0689">
              <w:rPr>
                <w:noProof/>
                <w:webHidden/>
              </w:rPr>
              <w:fldChar w:fldCharType="begin"/>
            </w:r>
            <w:r w:rsidR="00CE0689">
              <w:rPr>
                <w:noProof/>
                <w:webHidden/>
              </w:rPr>
              <w:instrText xml:space="preserve"> PAGEREF _Toc4589379 \h </w:instrText>
            </w:r>
            <w:r w:rsidR="00CE0689">
              <w:rPr>
                <w:noProof/>
                <w:webHidden/>
              </w:rPr>
            </w:r>
            <w:r w:rsidR="00CE0689">
              <w:rPr>
                <w:noProof/>
                <w:webHidden/>
              </w:rPr>
              <w:fldChar w:fldCharType="separate"/>
            </w:r>
            <w:r w:rsidR="00CE0689">
              <w:rPr>
                <w:noProof/>
                <w:webHidden/>
              </w:rPr>
              <w:t>159</w:t>
            </w:r>
            <w:r w:rsidR="00CE0689">
              <w:rPr>
                <w:noProof/>
                <w:webHidden/>
              </w:rPr>
              <w:fldChar w:fldCharType="end"/>
            </w:r>
          </w:hyperlink>
        </w:p>
        <w:p w14:paraId="058BB1C0" w14:textId="0344EC81" w:rsidR="00CE0689" w:rsidRDefault="004C61E0">
          <w:pPr>
            <w:pStyle w:val="TOC3"/>
            <w:tabs>
              <w:tab w:val="right" w:leader="dot" w:pos="9016"/>
            </w:tabs>
            <w:rPr>
              <w:rFonts w:eastAsiaTheme="minorEastAsia"/>
              <w:noProof/>
              <w:lang w:eastAsia="en-GB"/>
            </w:rPr>
          </w:pPr>
          <w:hyperlink w:anchor="_Toc4589380" w:history="1">
            <w:r w:rsidR="00CE0689" w:rsidRPr="00794030">
              <w:rPr>
                <w:rStyle w:val="Hyperlink"/>
                <w:noProof/>
              </w:rPr>
              <w:t>5.2.9 Constitutive JAK activity does not affect hemocyte responses to wounding</w:t>
            </w:r>
            <w:r w:rsidR="00CE0689">
              <w:rPr>
                <w:noProof/>
                <w:webHidden/>
              </w:rPr>
              <w:tab/>
            </w:r>
            <w:r w:rsidR="00CE0689">
              <w:rPr>
                <w:noProof/>
                <w:webHidden/>
              </w:rPr>
              <w:fldChar w:fldCharType="begin"/>
            </w:r>
            <w:r w:rsidR="00CE0689">
              <w:rPr>
                <w:noProof/>
                <w:webHidden/>
              </w:rPr>
              <w:instrText xml:space="preserve"> PAGEREF _Toc4589380 \h </w:instrText>
            </w:r>
            <w:r w:rsidR="00CE0689">
              <w:rPr>
                <w:noProof/>
                <w:webHidden/>
              </w:rPr>
            </w:r>
            <w:r w:rsidR="00CE0689">
              <w:rPr>
                <w:noProof/>
                <w:webHidden/>
              </w:rPr>
              <w:fldChar w:fldCharType="separate"/>
            </w:r>
            <w:r w:rsidR="00CE0689">
              <w:rPr>
                <w:noProof/>
                <w:webHidden/>
              </w:rPr>
              <w:t>161</w:t>
            </w:r>
            <w:r w:rsidR="00CE0689">
              <w:rPr>
                <w:noProof/>
                <w:webHidden/>
              </w:rPr>
              <w:fldChar w:fldCharType="end"/>
            </w:r>
          </w:hyperlink>
        </w:p>
        <w:p w14:paraId="5B2EB537" w14:textId="412E1046" w:rsidR="00CE0689" w:rsidRDefault="004C61E0">
          <w:pPr>
            <w:pStyle w:val="TOC3"/>
            <w:tabs>
              <w:tab w:val="right" w:leader="dot" w:pos="9016"/>
            </w:tabs>
            <w:rPr>
              <w:rFonts w:eastAsiaTheme="minorEastAsia"/>
              <w:noProof/>
              <w:lang w:eastAsia="en-GB"/>
            </w:rPr>
          </w:pPr>
          <w:hyperlink w:anchor="_Toc4589381" w:history="1">
            <w:r w:rsidR="00CE0689" w:rsidRPr="00794030">
              <w:rPr>
                <w:rStyle w:val="Hyperlink"/>
                <w:noProof/>
              </w:rPr>
              <w:t>5.2.10 Hemocyte-specific overexpression of JAK/Hop does not affect hemocyte recruitment to wounds</w:t>
            </w:r>
            <w:r w:rsidR="00CE0689">
              <w:rPr>
                <w:noProof/>
                <w:webHidden/>
              </w:rPr>
              <w:tab/>
            </w:r>
            <w:r w:rsidR="00CE0689">
              <w:rPr>
                <w:noProof/>
                <w:webHidden/>
              </w:rPr>
              <w:fldChar w:fldCharType="begin"/>
            </w:r>
            <w:r w:rsidR="00CE0689">
              <w:rPr>
                <w:noProof/>
                <w:webHidden/>
              </w:rPr>
              <w:instrText xml:space="preserve"> PAGEREF _Toc4589381 \h </w:instrText>
            </w:r>
            <w:r w:rsidR="00CE0689">
              <w:rPr>
                <w:noProof/>
                <w:webHidden/>
              </w:rPr>
            </w:r>
            <w:r w:rsidR="00CE0689">
              <w:rPr>
                <w:noProof/>
                <w:webHidden/>
              </w:rPr>
              <w:fldChar w:fldCharType="separate"/>
            </w:r>
            <w:r w:rsidR="00CE0689">
              <w:rPr>
                <w:noProof/>
                <w:webHidden/>
              </w:rPr>
              <w:t>162</w:t>
            </w:r>
            <w:r w:rsidR="00CE0689">
              <w:rPr>
                <w:noProof/>
                <w:webHidden/>
              </w:rPr>
              <w:fldChar w:fldCharType="end"/>
            </w:r>
          </w:hyperlink>
        </w:p>
        <w:p w14:paraId="29EAEE1A" w14:textId="6E4AEBF0" w:rsidR="00CE0689" w:rsidRDefault="004C61E0">
          <w:pPr>
            <w:pStyle w:val="TOC3"/>
            <w:tabs>
              <w:tab w:val="right" w:leader="dot" w:pos="9016"/>
            </w:tabs>
            <w:rPr>
              <w:rFonts w:eastAsiaTheme="minorEastAsia"/>
              <w:noProof/>
              <w:lang w:eastAsia="en-GB"/>
            </w:rPr>
          </w:pPr>
          <w:hyperlink w:anchor="_Toc4589382" w:history="1">
            <w:r w:rsidR="00CE0689" w:rsidRPr="00794030">
              <w:rPr>
                <w:rStyle w:val="Hyperlink"/>
                <w:noProof/>
              </w:rPr>
              <w:t>5.2.11 Overexpression of Socs36e does not affect hemocyte recruitment to wounds</w:t>
            </w:r>
            <w:r w:rsidR="00CE0689">
              <w:rPr>
                <w:noProof/>
                <w:webHidden/>
              </w:rPr>
              <w:tab/>
            </w:r>
            <w:r w:rsidR="00CE0689">
              <w:rPr>
                <w:noProof/>
                <w:webHidden/>
              </w:rPr>
              <w:fldChar w:fldCharType="begin"/>
            </w:r>
            <w:r w:rsidR="00CE0689">
              <w:rPr>
                <w:noProof/>
                <w:webHidden/>
              </w:rPr>
              <w:instrText xml:space="preserve"> PAGEREF _Toc4589382 \h </w:instrText>
            </w:r>
            <w:r w:rsidR="00CE0689">
              <w:rPr>
                <w:noProof/>
                <w:webHidden/>
              </w:rPr>
            </w:r>
            <w:r w:rsidR="00CE0689">
              <w:rPr>
                <w:noProof/>
                <w:webHidden/>
              </w:rPr>
              <w:fldChar w:fldCharType="separate"/>
            </w:r>
            <w:r w:rsidR="00CE0689">
              <w:rPr>
                <w:noProof/>
                <w:webHidden/>
              </w:rPr>
              <w:t>163</w:t>
            </w:r>
            <w:r w:rsidR="00CE0689">
              <w:rPr>
                <w:noProof/>
                <w:webHidden/>
              </w:rPr>
              <w:fldChar w:fldCharType="end"/>
            </w:r>
          </w:hyperlink>
        </w:p>
        <w:p w14:paraId="34BD1D3C" w14:textId="4A5C8943" w:rsidR="00CE0689" w:rsidRDefault="004C61E0">
          <w:pPr>
            <w:pStyle w:val="TOC3"/>
            <w:tabs>
              <w:tab w:val="right" w:leader="dot" w:pos="9016"/>
            </w:tabs>
            <w:rPr>
              <w:rFonts w:eastAsiaTheme="minorEastAsia"/>
              <w:noProof/>
              <w:lang w:eastAsia="en-GB"/>
            </w:rPr>
          </w:pPr>
          <w:hyperlink w:anchor="_Toc4589383" w:history="1">
            <w:r w:rsidR="00CE0689" w:rsidRPr="00794030">
              <w:rPr>
                <w:rStyle w:val="Hyperlink"/>
                <w:noProof/>
              </w:rPr>
              <w:t xml:space="preserve">5.2.12 </w:t>
            </w:r>
            <w:r w:rsidR="00CE0689" w:rsidRPr="00794030">
              <w:rPr>
                <w:rStyle w:val="Hyperlink"/>
                <w:i/>
                <w:noProof/>
              </w:rPr>
              <w:t>UAS-socs36e</w:t>
            </w:r>
            <w:r w:rsidR="00CE0689" w:rsidRPr="00794030">
              <w:rPr>
                <w:rStyle w:val="Hyperlink"/>
                <w:noProof/>
              </w:rPr>
              <w:t xml:space="preserve"> does not modulate STAT signalling</w:t>
            </w:r>
            <w:r w:rsidR="00CE0689">
              <w:rPr>
                <w:noProof/>
                <w:webHidden/>
              </w:rPr>
              <w:tab/>
            </w:r>
            <w:r w:rsidR="00CE0689">
              <w:rPr>
                <w:noProof/>
                <w:webHidden/>
              </w:rPr>
              <w:fldChar w:fldCharType="begin"/>
            </w:r>
            <w:r w:rsidR="00CE0689">
              <w:rPr>
                <w:noProof/>
                <w:webHidden/>
              </w:rPr>
              <w:instrText xml:space="preserve"> PAGEREF _Toc4589383 \h </w:instrText>
            </w:r>
            <w:r w:rsidR="00CE0689">
              <w:rPr>
                <w:noProof/>
                <w:webHidden/>
              </w:rPr>
            </w:r>
            <w:r w:rsidR="00CE0689">
              <w:rPr>
                <w:noProof/>
                <w:webHidden/>
              </w:rPr>
              <w:fldChar w:fldCharType="separate"/>
            </w:r>
            <w:r w:rsidR="00CE0689">
              <w:rPr>
                <w:noProof/>
                <w:webHidden/>
              </w:rPr>
              <w:t>165</w:t>
            </w:r>
            <w:r w:rsidR="00CE0689">
              <w:rPr>
                <w:noProof/>
                <w:webHidden/>
              </w:rPr>
              <w:fldChar w:fldCharType="end"/>
            </w:r>
          </w:hyperlink>
        </w:p>
        <w:p w14:paraId="56174CB4" w14:textId="31F5CA71" w:rsidR="00CE0689" w:rsidRDefault="004C61E0">
          <w:pPr>
            <w:pStyle w:val="TOC3"/>
            <w:tabs>
              <w:tab w:val="right" w:leader="dot" w:pos="9016"/>
            </w:tabs>
            <w:rPr>
              <w:rFonts w:eastAsiaTheme="minorEastAsia"/>
              <w:noProof/>
              <w:lang w:eastAsia="en-GB"/>
            </w:rPr>
          </w:pPr>
          <w:hyperlink w:anchor="_Toc4589384" w:history="1">
            <w:r w:rsidR="00CE0689" w:rsidRPr="00794030">
              <w:rPr>
                <w:rStyle w:val="Hyperlink"/>
                <w:noProof/>
              </w:rPr>
              <w:t xml:space="preserve">5.2.13 Knockdown of </w:t>
            </w:r>
            <w:r w:rsidR="00CE0689" w:rsidRPr="00794030">
              <w:rPr>
                <w:rStyle w:val="Hyperlink"/>
                <w:i/>
                <w:noProof/>
              </w:rPr>
              <w:t xml:space="preserve">socs36e </w:t>
            </w:r>
            <w:r w:rsidR="00CE0689" w:rsidRPr="00794030">
              <w:rPr>
                <w:rStyle w:val="Hyperlink"/>
                <w:noProof/>
              </w:rPr>
              <w:t>in hemocytes does not affect responses to wounding</w:t>
            </w:r>
            <w:r w:rsidR="00CE0689">
              <w:rPr>
                <w:noProof/>
                <w:webHidden/>
              </w:rPr>
              <w:tab/>
            </w:r>
            <w:r w:rsidR="00CE0689">
              <w:rPr>
                <w:noProof/>
                <w:webHidden/>
              </w:rPr>
              <w:fldChar w:fldCharType="begin"/>
            </w:r>
            <w:r w:rsidR="00CE0689">
              <w:rPr>
                <w:noProof/>
                <w:webHidden/>
              </w:rPr>
              <w:instrText xml:space="preserve"> PAGEREF _Toc4589384 \h </w:instrText>
            </w:r>
            <w:r w:rsidR="00CE0689">
              <w:rPr>
                <w:noProof/>
                <w:webHidden/>
              </w:rPr>
            </w:r>
            <w:r w:rsidR="00CE0689">
              <w:rPr>
                <w:noProof/>
                <w:webHidden/>
              </w:rPr>
              <w:fldChar w:fldCharType="separate"/>
            </w:r>
            <w:r w:rsidR="00CE0689">
              <w:rPr>
                <w:noProof/>
                <w:webHidden/>
              </w:rPr>
              <w:t>167</w:t>
            </w:r>
            <w:r w:rsidR="00CE0689">
              <w:rPr>
                <w:noProof/>
                <w:webHidden/>
              </w:rPr>
              <w:fldChar w:fldCharType="end"/>
            </w:r>
          </w:hyperlink>
        </w:p>
        <w:p w14:paraId="56E68149" w14:textId="52BBA7E7" w:rsidR="00CE0689" w:rsidRDefault="004C61E0">
          <w:pPr>
            <w:pStyle w:val="TOC2"/>
            <w:tabs>
              <w:tab w:val="right" w:leader="dot" w:pos="9016"/>
            </w:tabs>
            <w:rPr>
              <w:rFonts w:eastAsiaTheme="minorEastAsia"/>
              <w:noProof/>
              <w:lang w:eastAsia="en-GB"/>
            </w:rPr>
          </w:pPr>
          <w:hyperlink w:anchor="_Toc4589385" w:history="1">
            <w:r w:rsidR="00CE0689" w:rsidRPr="00794030">
              <w:rPr>
                <w:rStyle w:val="Hyperlink"/>
                <w:noProof/>
              </w:rPr>
              <w:t>5.3 Discussion</w:t>
            </w:r>
            <w:r w:rsidR="00CE0689">
              <w:rPr>
                <w:noProof/>
                <w:webHidden/>
              </w:rPr>
              <w:tab/>
            </w:r>
            <w:r w:rsidR="00CE0689">
              <w:rPr>
                <w:noProof/>
                <w:webHidden/>
              </w:rPr>
              <w:fldChar w:fldCharType="begin"/>
            </w:r>
            <w:r w:rsidR="00CE0689">
              <w:rPr>
                <w:noProof/>
                <w:webHidden/>
              </w:rPr>
              <w:instrText xml:space="preserve"> PAGEREF _Toc4589385 \h </w:instrText>
            </w:r>
            <w:r w:rsidR="00CE0689">
              <w:rPr>
                <w:noProof/>
                <w:webHidden/>
              </w:rPr>
            </w:r>
            <w:r w:rsidR="00CE0689">
              <w:rPr>
                <w:noProof/>
                <w:webHidden/>
              </w:rPr>
              <w:fldChar w:fldCharType="separate"/>
            </w:r>
            <w:r w:rsidR="00CE0689">
              <w:rPr>
                <w:noProof/>
                <w:webHidden/>
              </w:rPr>
              <w:t>168</w:t>
            </w:r>
            <w:r w:rsidR="00CE0689">
              <w:rPr>
                <w:noProof/>
                <w:webHidden/>
              </w:rPr>
              <w:fldChar w:fldCharType="end"/>
            </w:r>
          </w:hyperlink>
        </w:p>
        <w:p w14:paraId="63FABCF0" w14:textId="38EFE277" w:rsidR="00CE0689" w:rsidRDefault="004C61E0">
          <w:pPr>
            <w:pStyle w:val="TOC3"/>
            <w:tabs>
              <w:tab w:val="right" w:leader="dot" w:pos="9016"/>
            </w:tabs>
            <w:rPr>
              <w:rFonts w:eastAsiaTheme="minorEastAsia"/>
              <w:noProof/>
              <w:lang w:eastAsia="en-GB"/>
            </w:rPr>
          </w:pPr>
          <w:hyperlink w:anchor="_Toc4589386" w:history="1">
            <w:r w:rsidR="00CE0689" w:rsidRPr="00794030">
              <w:rPr>
                <w:rStyle w:val="Hyperlink"/>
                <w:noProof/>
              </w:rPr>
              <w:t>5.3.1 JAK/STAT signalling limits hemocyte recruitment to wounds</w:t>
            </w:r>
            <w:r w:rsidR="00CE0689">
              <w:rPr>
                <w:noProof/>
                <w:webHidden/>
              </w:rPr>
              <w:tab/>
            </w:r>
            <w:r w:rsidR="00CE0689">
              <w:rPr>
                <w:noProof/>
                <w:webHidden/>
              </w:rPr>
              <w:fldChar w:fldCharType="begin"/>
            </w:r>
            <w:r w:rsidR="00CE0689">
              <w:rPr>
                <w:noProof/>
                <w:webHidden/>
              </w:rPr>
              <w:instrText xml:space="preserve"> PAGEREF _Toc4589386 \h </w:instrText>
            </w:r>
            <w:r w:rsidR="00CE0689">
              <w:rPr>
                <w:noProof/>
                <w:webHidden/>
              </w:rPr>
            </w:r>
            <w:r w:rsidR="00CE0689">
              <w:rPr>
                <w:noProof/>
                <w:webHidden/>
              </w:rPr>
              <w:fldChar w:fldCharType="separate"/>
            </w:r>
            <w:r w:rsidR="00CE0689">
              <w:rPr>
                <w:noProof/>
                <w:webHidden/>
              </w:rPr>
              <w:t>168</w:t>
            </w:r>
            <w:r w:rsidR="00CE0689">
              <w:rPr>
                <w:noProof/>
                <w:webHidden/>
              </w:rPr>
              <w:fldChar w:fldCharType="end"/>
            </w:r>
          </w:hyperlink>
        </w:p>
        <w:p w14:paraId="252F20DA" w14:textId="0176B3B0" w:rsidR="00CE0689" w:rsidRDefault="004C61E0">
          <w:pPr>
            <w:pStyle w:val="TOC3"/>
            <w:tabs>
              <w:tab w:val="right" w:leader="dot" w:pos="9016"/>
            </w:tabs>
            <w:rPr>
              <w:rFonts w:eastAsiaTheme="minorEastAsia"/>
              <w:noProof/>
              <w:lang w:eastAsia="en-GB"/>
            </w:rPr>
          </w:pPr>
          <w:hyperlink w:anchor="_Toc4589387" w:history="1">
            <w:r w:rsidR="00CE0689" w:rsidRPr="00794030">
              <w:rPr>
                <w:rStyle w:val="Hyperlink"/>
                <w:noProof/>
              </w:rPr>
              <w:t>5.3.2 JAK/STAT signalling may be required for normal efferocytosis by hemocytes</w:t>
            </w:r>
            <w:r w:rsidR="00CE0689">
              <w:rPr>
                <w:noProof/>
                <w:webHidden/>
              </w:rPr>
              <w:tab/>
            </w:r>
            <w:r w:rsidR="00CE0689">
              <w:rPr>
                <w:noProof/>
                <w:webHidden/>
              </w:rPr>
              <w:fldChar w:fldCharType="begin"/>
            </w:r>
            <w:r w:rsidR="00CE0689">
              <w:rPr>
                <w:noProof/>
                <w:webHidden/>
              </w:rPr>
              <w:instrText xml:space="preserve"> PAGEREF _Toc4589387 \h </w:instrText>
            </w:r>
            <w:r w:rsidR="00CE0689">
              <w:rPr>
                <w:noProof/>
                <w:webHidden/>
              </w:rPr>
            </w:r>
            <w:r w:rsidR="00CE0689">
              <w:rPr>
                <w:noProof/>
                <w:webHidden/>
              </w:rPr>
              <w:fldChar w:fldCharType="separate"/>
            </w:r>
            <w:r w:rsidR="00CE0689">
              <w:rPr>
                <w:noProof/>
                <w:webHidden/>
              </w:rPr>
              <w:t>170</w:t>
            </w:r>
            <w:r w:rsidR="00CE0689">
              <w:rPr>
                <w:noProof/>
                <w:webHidden/>
              </w:rPr>
              <w:fldChar w:fldCharType="end"/>
            </w:r>
          </w:hyperlink>
        </w:p>
        <w:p w14:paraId="1C0C009F" w14:textId="29B62FBA" w:rsidR="00CE0689" w:rsidRDefault="004C61E0">
          <w:pPr>
            <w:pStyle w:val="TOC3"/>
            <w:tabs>
              <w:tab w:val="right" w:leader="dot" w:pos="9016"/>
            </w:tabs>
            <w:rPr>
              <w:rFonts w:eastAsiaTheme="minorEastAsia"/>
              <w:noProof/>
              <w:lang w:eastAsia="en-GB"/>
            </w:rPr>
          </w:pPr>
          <w:hyperlink w:anchor="_Toc4589388" w:history="1">
            <w:r w:rsidR="00CE0689" w:rsidRPr="00794030">
              <w:rPr>
                <w:rStyle w:val="Hyperlink"/>
                <w:noProof/>
              </w:rPr>
              <w:t xml:space="preserve">5.3.3 </w:t>
            </w:r>
            <w:r w:rsidR="00CE0689" w:rsidRPr="00794030">
              <w:rPr>
                <w:rStyle w:val="Hyperlink"/>
                <w:i/>
                <w:noProof/>
              </w:rPr>
              <w:t xml:space="preserve">Drosophila </w:t>
            </w:r>
            <w:r w:rsidR="00CE0689" w:rsidRPr="00794030">
              <w:rPr>
                <w:rStyle w:val="Hyperlink"/>
                <w:noProof/>
              </w:rPr>
              <w:t>SOCS does not appear to be involved in hemocyte recruitment to wounds</w:t>
            </w:r>
            <w:r w:rsidR="00CE0689">
              <w:rPr>
                <w:noProof/>
                <w:webHidden/>
              </w:rPr>
              <w:tab/>
            </w:r>
            <w:r w:rsidR="00CE0689">
              <w:rPr>
                <w:noProof/>
                <w:webHidden/>
              </w:rPr>
              <w:fldChar w:fldCharType="begin"/>
            </w:r>
            <w:r w:rsidR="00CE0689">
              <w:rPr>
                <w:noProof/>
                <w:webHidden/>
              </w:rPr>
              <w:instrText xml:space="preserve"> PAGEREF _Toc4589388 \h </w:instrText>
            </w:r>
            <w:r w:rsidR="00CE0689">
              <w:rPr>
                <w:noProof/>
                <w:webHidden/>
              </w:rPr>
            </w:r>
            <w:r w:rsidR="00CE0689">
              <w:rPr>
                <w:noProof/>
                <w:webHidden/>
              </w:rPr>
              <w:fldChar w:fldCharType="separate"/>
            </w:r>
            <w:r w:rsidR="00CE0689">
              <w:rPr>
                <w:noProof/>
                <w:webHidden/>
              </w:rPr>
              <w:t>171</w:t>
            </w:r>
            <w:r w:rsidR="00CE0689">
              <w:rPr>
                <w:noProof/>
                <w:webHidden/>
              </w:rPr>
              <w:fldChar w:fldCharType="end"/>
            </w:r>
          </w:hyperlink>
        </w:p>
        <w:p w14:paraId="13809ACC" w14:textId="1FC63697" w:rsidR="00CE0689" w:rsidRDefault="004C61E0">
          <w:pPr>
            <w:pStyle w:val="TOC2"/>
            <w:tabs>
              <w:tab w:val="right" w:leader="dot" w:pos="9016"/>
            </w:tabs>
            <w:rPr>
              <w:rFonts w:eastAsiaTheme="minorEastAsia"/>
              <w:noProof/>
              <w:lang w:eastAsia="en-GB"/>
            </w:rPr>
          </w:pPr>
          <w:hyperlink w:anchor="_Toc4589389" w:history="1">
            <w:r w:rsidR="00CE0689" w:rsidRPr="00794030">
              <w:rPr>
                <w:rStyle w:val="Hyperlink"/>
                <w:noProof/>
              </w:rPr>
              <w:t>5.4 Conclusion</w:t>
            </w:r>
            <w:r w:rsidR="00CE0689">
              <w:rPr>
                <w:noProof/>
                <w:webHidden/>
              </w:rPr>
              <w:tab/>
            </w:r>
            <w:r w:rsidR="00CE0689">
              <w:rPr>
                <w:noProof/>
                <w:webHidden/>
              </w:rPr>
              <w:fldChar w:fldCharType="begin"/>
            </w:r>
            <w:r w:rsidR="00CE0689">
              <w:rPr>
                <w:noProof/>
                <w:webHidden/>
              </w:rPr>
              <w:instrText xml:space="preserve"> PAGEREF _Toc4589389 \h </w:instrText>
            </w:r>
            <w:r w:rsidR="00CE0689">
              <w:rPr>
                <w:noProof/>
                <w:webHidden/>
              </w:rPr>
            </w:r>
            <w:r w:rsidR="00CE0689">
              <w:rPr>
                <w:noProof/>
                <w:webHidden/>
              </w:rPr>
              <w:fldChar w:fldCharType="separate"/>
            </w:r>
            <w:r w:rsidR="00CE0689">
              <w:rPr>
                <w:noProof/>
                <w:webHidden/>
              </w:rPr>
              <w:t>172</w:t>
            </w:r>
            <w:r w:rsidR="00CE0689">
              <w:rPr>
                <w:noProof/>
                <w:webHidden/>
              </w:rPr>
              <w:fldChar w:fldCharType="end"/>
            </w:r>
          </w:hyperlink>
        </w:p>
        <w:p w14:paraId="47BF3F14" w14:textId="6EB5AA99" w:rsidR="00CE0689" w:rsidRDefault="004C61E0">
          <w:pPr>
            <w:pStyle w:val="TOC1"/>
            <w:tabs>
              <w:tab w:val="right" w:leader="dot" w:pos="9016"/>
            </w:tabs>
            <w:rPr>
              <w:rFonts w:eastAsiaTheme="minorEastAsia"/>
              <w:noProof/>
              <w:lang w:eastAsia="en-GB"/>
            </w:rPr>
          </w:pPr>
          <w:hyperlink w:anchor="_Toc4589390" w:history="1">
            <w:r w:rsidR="00CE0689" w:rsidRPr="00794030">
              <w:rPr>
                <w:rStyle w:val="Hyperlink"/>
                <w:noProof/>
              </w:rPr>
              <w:t>Chapter 6. Final discussion</w:t>
            </w:r>
            <w:r w:rsidR="00CE0689">
              <w:rPr>
                <w:noProof/>
                <w:webHidden/>
              </w:rPr>
              <w:tab/>
            </w:r>
            <w:r w:rsidR="00CE0689">
              <w:rPr>
                <w:noProof/>
                <w:webHidden/>
              </w:rPr>
              <w:fldChar w:fldCharType="begin"/>
            </w:r>
            <w:r w:rsidR="00CE0689">
              <w:rPr>
                <w:noProof/>
                <w:webHidden/>
              </w:rPr>
              <w:instrText xml:space="preserve"> PAGEREF _Toc4589390 \h </w:instrText>
            </w:r>
            <w:r w:rsidR="00CE0689">
              <w:rPr>
                <w:noProof/>
                <w:webHidden/>
              </w:rPr>
            </w:r>
            <w:r w:rsidR="00CE0689">
              <w:rPr>
                <w:noProof/>
                <w:webHidden/>
              </w:rPr>
              <w:fldChar w:fldCharType="separate"/>
            </w:r>
            <w:r w:rsidR="00CE0689">
              <w:rPr>
                <w:noProof/>
                <w:webHidden/>
              </w:rPr>
              <w:t>173</w:t>
            </w:r>
            <w:r w:rsidR="00CE0689">
              <w:rPr>
                <w:noProof/>
                <w:webHidden/>
              </w:rPr>
              <w:fldChar w:fldCharType="end"/>
            </w:r>
          </w:hyperlink>
        </w:p>
        <w:p w14:paraId="0EE3BA3C" w14:textId="01122963" w:rsidR="00CE0689" w:rsidRDefault="004C61E0">
          <w:pPr>
            <w:pStyle w:val="TOC2"/>
            <w:tabs>
              <w:tab w:val="left" w:pos="880"/>
              <w:tab w:val="right" w:leader="dot" w:pos="9016"/>
            </w:tabs>
            <w:rPr>
              <w:rFonts w:eastAsiaTheme="minorEastAsia"/>
              <w:noProof/>
              <w:lang w:eastAsia="en-GB"/>
            </w:rPr>
          </w:pPr>
          <w:hyperlink w:anchor="_Toc4589396" w:history="1">
            <w:r w:rsidR="00CE0689" w:rsidRPr="00794030">
              <w:rPr>
                <w:rStyle w:val="Hyperlink"/>
                <w:noProof/>
              </w:rPr>
              <w:t>6.1</w:t>
            </w:r>
            <w:r w:rsidR="00CE0689">
              <w:rPr>
                <w:rFonts w:eastAsiaTheme="minorEastAsia"/>
                <w:noProof/>
                <w:lang w:eastAsia="en-GB"/>
              </w:rPr>
              <w:tab/>
            </w:r>
            <w:r w:rsidR="00CE0689" w:rsidRPr="00794030">
              <w:rPr>
                <w:rStyle w:val="Hyperlink"/>
                <w:noProof/>
              </w:rPr>
              <w:t>Hemocytes exist as a heterogeneous population comprised of subpopulations with distinct functions in responding to sites of injury and efferocytosis</w:t>
            </w:r>
            <w:r w:rsidR="00CE0689">
              <w:rPr>
                <w:noProof/>
                <w:webHidden/>
              </w:rPr>
              <w:tab/>
            </w:r>
            <w:r w:rsidR="00CE0689">
              <w:rPr>
                <w:noProof/>
                <w:webHidden/>
              </w:rPr>
              <w:fldChar w:fldCharType="begin"/>
            </w:r>
            <w:r w:rsidR="00CE0689">
              <w:rPr>
                <w:noProof/>
                <w:webHidden/>
              </w:rPr>
              <w:instrText xml:space="preserve"> PAGEREF _Toc4589396 \h </w:instrText>
            </w:r>
            <w:r w:rsidR="00CE0689">
              <w:rPr>
                <w:noProof/>
                <w:webHidden/>
              </w:rPr>
            </w:r>
            <w:r w:rsidR="00CE0689">
              <w:rPr>
                <w:noProof/>
                <w:webHidden/>
              </w:rPr>
              <w:fldChar w:fldCharType="separate"/>
            </w:r>
            <w:r w:rsidR="00CE0689">
              <w:rPr>
                <w:noProof/>
                <w:webHidden/>
              </w:rPr>
              <w:t>174</w:t>
            </w:r>
            <w:r w:rsidR="00CE0689">
              <w:rPr>
                <w:noProof/>
                <w:webHidden/>
              </w:rPr>
              <w:fldChar w:fldCharType="end"/>
            </w:r>
          </w:hyperlink>
        </w:p>
        <w:p w14:paraId="516C4CB6" w14:textId="1CC03759" w:rsidR="00CE0689" w:rsidRDefault="004C61E0">
          <w:pPr>
            <w:pStyle w:val="TOC2"/>
            <w:tabs>
              <w:tab w:val="left" w:pos="880"/>
              <w:tab w:val="right" w:leader="dot" w:pos="9016"/>
            </w:tabs>
            <w:rPr>
              <w:rFonts w:eastAsiaTheme="minorEastAsia"/>
              <w:noProof/>
              <w:lang w:eastAsia="en-GB"/>
            </w:rPr>
          </w:pPr>
          <w:hyperlink w:anchor="_Toc4589397" w:history="1">
            <w:r w:rsidR="00CE0689" w:rsidRPr="00794030">
              <w:rPr>
                <w:rStyle w:val="Hyperlink"/>
                <w:noProof/>
              </w:rPr>
              <w:t>6.2</w:t>
            </w:r>
            <w:r w:rsidR="00CE0689">
              <w:rPr>
                <w:rFonts w:eastAsiaTheme="minorEastAsia"/>
                <w:noProof/>
                <w:lang w:eastAsia="en-GB"/>
              </w:rPr>
              <w:tab/>
            </w:r>
            <w:r w:rsidR="00CE0689" w:rsidRPr="00794030">
              <w:rPr>
                <w:rStyle w:val="Hyperlink"/>
                <w:noProof/>
              </w:rPr>
              <w:t>Glycolysis promotes a pro-inflammatory hemocyte phenotype</w:t>
            </w:r>
            <w:r w:rsidR="00CE0689">
              <w:rPr>
                <w:noProof/>
                <w:webHidden/>
              </w:rPr>
              <w:tab/>
            </w:r>
            <w:r w:rsidR="00CE0689">
              <w:rPr>
                <w:noProof/>
                <w:webHidden/>
              </w:rPr>
              <w:fldChar w:fldCharType="begin"/>
            </w:r>
            <w:r w:rsidR="00CE0689">
              <w:rPr>
                <w:noProof/>
                <w:webHidden/>
              </w:rPr>
              <w:instrText xml:space="preserve"> PAGEREF _Toc4589397 \h </w:instrText>
            </w:r>
            <w:r w:rsidR="00CE0689">
              <w:rPr>
                <w:noProof/>
                <w:webHidden/>
              </w:rPr>
            </w:r>
            <w:r w:rsidR="00CE0689">
              <w:rPr>
                <w:noProof/>
                <w:webHidden/>
              </w:rPr>
              <w:fldChar w:fldCharType="separate"/>
            </w:r>
            <w:r w:rsidR="00CE0689">
              <w:rPr>
                <w:noProof/>
                <w:webHidden/>
              </w:rPr>
              <w:t>176</w:t>
            </w:r>
            <w:r w:rsidR="00CE0689">
              <w:rPr>
                <w:noProof/>
                <w:webHidden/>
              </w:rPr>
              <w:fldChar w:fldCharType="end"/>
            </w:r>
          </w:hyperlink>
        </w:p>
        <w:p w14:paraId="42C7D5CE" w14:textId="543CF69C" w:rsidR="00CE0689" w:rsidRDefault="004C61E0">
          <w:pPr>
            <w:pStyle w:val="TOC2"/>
            <w:tabs>
              <w:tab w:val="left" w:pos="880"/>
              <w:tab w:val="right" w:leader="dot" w:pos="9016"/>
            </w:tabs>
            <w:rPr>
              <w:rFonts w:eastAsiaTheme="minorEastAsia"/>
              <w:noProof/>
              <w:lang w:eastAsia="en-GB"/>
            </w:rPr>
          </w:pPr>
          <w:hyperlink w:anchor="_Toc4589398" w:history="1">
            <w:r w:rsidR="00CE0689" w:rsidRPr="00794030">
              <w:rPr>
                <w:rStyle w:val="Hyperlink"/>
                <w:noProof/>
              </w:rPr>
              <w:t>6.3</w:t>
            </w:r>
            <w:r w:rsidR="00CE0689">
              <w:rPr>
                <w:rFonts w:eastAsiaTheme="minorEastAsia"/>
                <w:noProof/>
                <w:lang w:eastAsia="en-GB"/>
              </w:rPr>
              <w:tab/>
            </w:r>
            <w:r w:rsidR="00CE0689" w:rsidRPr="00794030">
              <w:rPr>
                <w:rStyle w:val="Hyperlink"/>
                <w:noProof/>
              </w:rPr>
              <w:t>JAK/STAT signalling limits hemocyte responses to wounding</w:t>
            </w:r>
            <w:r w:rsidR="00CE0689">
              <w:rPr>
                <w:noProof/>
                <w:webHidden/>
              </w:rPr>
              <w:tab/>
            </w:r>
            <w:r w:rsidR="00CE0689">
              <w:rPr>
                <w:noProof/>
                <w:webHidden/>
              </w:rPr>
              <w:fldChar w:fldCharType="begin"/>
            </w:r>
            <w:r w:rsidR="00CE0689">
              <w:rPr>
                <w:noProof/>
                <w:webHidden/>
              </w:rPr>
              <w:instrText xml:space="preserve"> PAGEREF _Toc4589398 \h </w:instrText>
            </w:r>
            <w:r w:rsidR="00CE0689">
              <w:rPr>
                <w:noProof/>
                <w:webHidden/>
              </w:rPr>
            </w:r>
            <w:r w:rsidR="00CE0689">
              <w:rPr>
                <w:noProof/>
                <w:webHidden/>
              </w:rPr>
              <w:fldChar w:fldCharType="separate"/>
            </w:r>
            <w:r w:rsidR="00CE0689">
              <w:rPr>
                <w:noProof/>
                <w:webHidden/>
              </w:rPr>
              <w:t>178</w:t>
            </w:r>
            <w:r w:rsidR="00CE0689">
              <w:rPr>
                <w:noProof/>
                <w:webHidden/>
              </w:rPr>
              <w:fldChar w:fldCharType="end"/>
            </w:r>
          </w:hyperlink>
        </w:p>
        <w:p w14:paraId="07622B10" w14:textId="0BE58A65" w:rsidR="00CE0689" w:rsidRDefault="004C61E0">
          <w:pPr>
            <w:pStyle w:val="TOC2"/>
            <w:tabs>
              <w:tab w:val="left" w:pos="880"/>
              <w:tab w:val="right" w:leader="dot" w:pos="9016"/>
            </w:tabs>
            <w:rPr>
              <w:rFonts w:eastAsiaTheme="minorEastAsia"/>
              <w:noProof/>
              <w:lang w:eastAsia="en-GB"/>
            </w:rPr>
          </w:pPr>
          <w:hyperlink w:anchor="_Toc4589399" w:history="1">
            <w:r w:rsidR="00CE0689" w:rsidRPr="00794030">
              <w:rPr>
                <w:rStyle w:val="Hyperlink"/>
                <w:noProof/>
              </w:rPr>
              <w:t>6.4</w:t>
            </w:r>
            <w:r w:rsidR="00CE0689">
              <w:rPr>
                <w:rFonts w:eastAsiaTheme="minorEastAsia"/>
                <w:noProof/>
                <w:lang w:eastAsia="en-GB"/>
              </w:rPr>
              <w:tab/>
            </w:r>
            <w:r w:rsidR="00CE0689" w:rsidRPr="00794030">
              <w:rPr>
                <w:rStyle w:val="Hyperlink"/>
                <w:noProof/>
              </w:rPr>
              <w:t>Further work</w:t>
            </w:r>
            <w:r w:rsidR="00CE0689">
              <w:rPr>
                <w:noProof/>
                <w:webHidden/>
              </w:rPr>
              <w:tab/>
            </w:r>
            <w:r w:rsidR="00CE0689">
              <w:rPr>
                <w:noProof/>
                <w:webHidden/>
              </w:rPr>
              <w:fldChar w:fldCharType="begin"/>
            </w:r>
            <w:r w:rsidR="00CE0689">
              <w:rPr>
                <w:noProof/>
                <w:webHidden/>
              </w:rPr>
              <w:instrText xml:space="preserve"> PAGEREF _Toc4589399 \h </w:instrText>
            </w:r>
            <w:r w:rsidR="00CE0689">
              <w:rPr>
                <w:noProof/>
                <w:webHidden/>
              </w:rPr>
            </w:r>
            <w:r w:rsidR="00CE0689">
              <w:rPr>
                <w:noProof/>
                <w:webHidden/>
              </w:rPr>
              <w:fldChar w:fldCharType="separate"/>
            </w:r>
            <w:r w:rsidR="00CE0689">
              <w:rPr>
                <w:noProof/>
                <w:webHidden/>
              </w:rPr>
              <w:t>179</w:t>
            </w:r>
            <w:r w:rsidR="00CE0689">
              <w:rPr>
                <w:noProof/>
                <w:webHidden/>
              </w:rPr>
              <w:fldChar w:fldCharType="end"/>
            </w:r>
          </w:hyperlink>
        </w:p>
        <w:p w14:paraId="5C1AB584" w14:textId="6ECF7F8C" w:rsidR="00CE0689" w:rsidRDefault="004C61E0">
          <w:pPr>
            <w:pStyle w:val="TOC2"/>
            <w:tabs>
              <w:tab w:val="left" w:pos="880"/>
              <w:tab w:val="right" w:leader="dot" w:pos="9016"/>
            </w:tabs>
            <w:rPr>
              <w:rFonts w:eastAsiaTheme="minorEastAsia"/>
              <w:noProof/>
              <w:lang w:eastAsia="en-GB"/>
            </w:rPr>
          </w:pPr>
          <w:hyperlink w:anchor="_Toc4589400" w:history="1">
            <w:r w:rsidR="00CE0689" w:rsidRPr="00794030">
              <w:rPr>
                <w:rStyle w:val="Hyperlink"/>
                <w:noProof/>
              </w:rPr>
              <w:t>6.5</w:t>
            </w:r>
            <w:r w:rsidR="00CE0689">
              <w:rPr>
                <w:rFonts w:eastAsiaTheme="minorEastAsia"/>
                <w:noProof/>
                <w:lang w:eastAsia="en-GB"/>
              </w:rPr>
              <w:tab/>
            </w:r>
            <w:r w:rsidR="00CE0689" w:rsidRPr="00794030">
              <w:rPr>
                <w:rStyle w:val="Hyperlink"/>
                <w:noProof/>
              </w:rPr>
              <w:t>Conclusion</w:t>
            </w:r>
            <w:r w:rsidR="00CE0689">
              <w:rPr>
                <w:noProof/>
                <w:webHidden/>
              </w:rPr>
              <w:tab/>
            </w:r>
            <w:r w:rsidR="00CE0689">
              <w:rPr>
                <w:noProof/>
                <w:webHidden/>
              </w:rPr>
              <w:fldChar w:fldCharType="begin"/>
            </w:r>
            <w:r w:rsidR="00CE0689">
              <w:rPr>
                <w:noProof/>
                <w:webHidden/>
              </w:rPr>
              <w:instrText xml:space="preserve"> PAGEREF _Toc4589400 \h </w:instrText>
            </w:r>
            <w:r w:rsidR="00CE0689">
              <w:rPr>
                <w:noProof/>
                <w:webHidden/>
              </w:rPr>
            </w:r>
            <w:r w:rsidR="00CE0689">
              <w:rPr>
                <w:noProof/>
                <w:webHidden/>
              </w:rPr>
              <w:fldChar w:fldCharType="separate"/>
            </w:r>
            <w:r w:rsidR="00CE0689">
              <w:rPr>
                <w:noProof/>
                <w:webHidden/>
              </w:rPr>
              <w:t>181</w:t>
            </w:r>
            <w:r w:rsidR="00CE0689">
              <w:rPr>
                <w:noProof/>
                <w:webHidden/>
              </w:rPr>
              <w:fldChar w:fldCharType="end"/>
            </w:r>
          </w:hyperlink>
        </w:p>
        <w:p w14:paraId="07B26558" w14:textId="023E44D9" w:rsidR="00CE0689" w:rsidRDefault="004C61E0">
          <w:pPr>
            <w:pStyle w:val="TOC1"/>
            <w:tabs>
              <w:tab w:val="right" w:leader="dot" w:pos="9016"/>
            </w:tabs>
            <w:rPr>
              <w:rFonts w:eastAsiaTheme="minorEastAsia"/>
              <w:noProof/>
              <w:lang w:eastAsia="en-GB"/>
            </w:rPr>
          </w:pPr>
          <w:hyperlink w:anchor="_Toc4589401" w:history="1">
            <w:r w:rsidR="00CE0689" w:rsidRPr="00794030">
              <w:rPr>
                <w:rStyle w:val="Hyperlink"/>
                <w:noProof/>
              </w:rPr>
              <w:t>Bibliography</w:t>
            </w:r>
            <w:r w:rsidR="00CE0689">
              <w:rPr>
                <w:noProof/>
                <w:webHidden/>
              </w:rPr>
              <w:tab/>
            </w:r>
            <w:r w:rsidR="00CE0689">
              <w:rPr>
                <w:noProof/>
                <w:webHidden/>
              </w:rPr>
              <w:fldChar w:fldCharType="begin"/>
            </w:r>
            <w:r w:rsidR="00CE0689">
              <w:rPr>
                <w:noProof/>
                <w:webHidden/>
              </w:rPr>
              <w:instrText xml:space="preserve"> PAGEREF _Toc4589401 \h </w:instrText>
            </w:r>
            <w:r w:rsidR="00CE0689">
              <w:rPr>
                <w:noProof/>
                <w:webHidden/>
              </w:rPr>
            </w:r>
            <w:r w:rsidR="00CE0689">
              <w:rPr>
                <w:noProof/>
                <w:webHidden/>
              </w:rPr>
              <w:fldChar w:fldCharType="separate"/>
            </w:r>
            <w:r w:rsidR="00CE0689">
              <w:rPr>
                <w:noProof/>
                <w:webHidden/>
              </w:rPr>
              <w:t>183</w:t>
            </w:r>
            <w:r w:rsidR="00CE0689">
              <w:rPr>
                <w:noProof/>
                <w:webHidden/>
              </w:rPr>
              <w:fldChar w:fldCharType="end"/>
            </w:r>
          </w:hyperlink>
        </w:p>
        <w:p w14:paraId="61E69305" w14:textId="33D8B7D7" w:rsidR="00CE0689" w:rsidRDefault="004C61E0">
          <w:pPr>
            <w:pStyle w:val="TOC1"/>
            <w:tabs>
              <w:tab w:val="right" w:leader="dot" w:pos="9016"/>
            </w:tabs>
            <w:rPr>
              <w:rFonts w:eastAsiaTheme="minorEastAsia"/>
              <w:noProof/>
              <w:lang w:eastAsia="en-GB"/>
            </w:rPr>
          </w:pPr>
          <w:hyperlink w:anchor="_Toc4589402" w:history="1">
            <w:r w:rsidR="00CE0689" w:rsidRPr="00794030">
              <w:rPr>
                <w:rStyle w:val="Hyperlink"/>
                <w:noProof/>
              </w:rPr>
              <w:t xml:space="preserve">Appendix 1. Standard </w:t>
            </w:r>
            <w:r w:rsidR="00CE0689" w:rsidRPr="00794030">
              <w:rPr>
                <w:rStyle w:val="Hyperlink"/>
                <w:i/>
                <w:noProof/>
              </w:rPr>
              <w:t>Drosophila</w:t>
            </w:r>
            <w:r w:rsidR="00CE0689" w:rsidRPr="00794030">
              <w:rPr>
                <w:rStyle w:val="Hyperlink"/>
                <w:noProof/>
              </w:rPr>
              <w:t xml:space="preserve"> medium and other recipes</w:t>
            </w:r>
            <w:r w:rsidR="00CE0689">
              <w:rPr>
                <w:noProof/>
                <w:webHidden/>
              </w:rPr>
              <w:tab/>
            </w:r>
            <w:r w:rsidR="00CE0689">
              <w:rPr>
                <w:noProof/>
                <w:webHidden/>
              </w:rPr>
              <w:fldChar w:fldCharType="begin"/>
            </w:r>
            <w:r w:rsidR="00CE0689">
              <w:rPr>
                <w:noProof/>
                <w:webHidden/>
              </w:rPr>
              <w:instrText xml:space="preserve"> PAGEREF _Toc4589402 \h </w:instrText>
            </w:r>
            <w:r w:rsidR="00CE0689">
              <w:rPr>
                <w:noProof/>
                <w:webHidden/>
              </w:rPr>
            </w:r>
            <w:r w:rsidR="00CE0689">
              <w:rPr>
                <w:noProof/>
                <w:webHidden/>
              </w:rPr>
              <w:fldChar w:fldCharType="separate"/>
            </w:r>
            <w:r w:rsidR="00CE0689">
              <w:rPr>
                <w:noProof/>
                <w:webHidden/>
              </w:rPr>
              <w:t>222</w:t>
            </w:r>
            <w:r w:rsidR="00CE0689">
              <w:rPr>
                <w:noProof/>
                <w:webHidden/>
              </w:rPr>
              <w:fldChar w:fldCharType="end"/>
            </w:r>
          </w:hyperlink>
        </w:p>
        <w:p w14:paraId="4791588F" w14:textId="773B5853" w:rsidR="001D1AB8" w:rsidRDefault="001D1AB8">
          <w:r>
            <w:rPr>
              <w:b/>
              <w:bCs/>
              <w:noProof/>
            </w:rPr>
            <w:fldChar w:fldCharType="end"/>
          </w:r>
        </w:p>
      </w:sdtContent>
    </w:sdt>
    <w:p w14:paraId="2DFF5345" w14:textId="77777777" w:rsidR="001D1AB8" w:rsidRDefault="001D1AB8" w:rsidP="001D1AB8"/>
    <w:p w14:paraId="372A586E" w14:textId="77777777" w:rsidR="001D1AB8" w:rsidRDefault="001D1AB8">
      <w:r>
        <w:br w:type="page"/>
      </w:r>
    </w:p>
    <w:p w14:paraId="0BC46DD7" w14:textId="77777777" w:rsidR="00504144" w:rsidRDefault="00504144" w:rsidP="001D1AB8">
      <w:pPr>
        <w:pStyle w:val="Heading1"/>
        <w:sectPr w:rsidR="00504144" w:rsidSect="001E4361">
          <w:pgSz w:w="11906" w:h="16838"/>
          <w:pgMar w:top="1440" w:right="1440" w:bottom="1440" w:left="1440" w:header="708" w:footer="708" w:gutter="0"/>
          <w:cols w:space="708"/>
          <w:docGrid w:linePitch="360"/>
        </w:sectPr>
      </w:pPr>
      <w:bookmarkStart w:id="19" w:name="_Toc531876414"/>
    </w:p>
    <w:p w14:paraId="6E8F500C" w14:textId="26DD1D94" w:rsidR="001D1AB8" w:rsidRDefault="001D1AB8" w:rsidP="001D1AB8">
      <w:pPr>
        <w:pStyle w:val="Heading1"/>
      </w:pPr>
      <w:bookmarkStart w:id="20" w:name="_Toc4589252"/>
      <w:r>
        <w:lastRenderedPageBreak/>
        <w:t>Table of figures</w:t>
      </w:r>
      <w:bookmarkEnd w:id="20"/>
      <w:r>
        <w:t xml:space="preserve"> </w:t>
      </w:r>
      <w:bookmarkEnd w:id="19"/>
    </w:p>
    <w:tbl>
      <w:tblPr>
        <w:tblW w:w="0" w:type="auto"/>
        <w:tblLook w:val="04A0" w:firstRow="1" w:lastRow="0" w:firstColumn="1" w:lastColumn="0" w:noHBand="0" w:noVBand="1"/>
      </w:tblPr>
      <w:tblGrid>
        <w:gridCol w:w="8319"/>
        <w:gridCol w:w="697"/>
      </w:tblGrid>
      <w:tr w:rsidR="001D1AB8" w:rsidRPr="00E2137F" w14:paraId="12AA4EB1" w14:textId="77777777" w:rsidTr="006A45E9">
        <w:tc>
          <w:tcPr>
            <w:tcW w:w="8319" w:type="dxa"/>
          </w:tcPr>
          <w:p w14:paraId="0AFEBF45" w14:textId="77777777" w:rsidR="001D1AB8" w:rsidRPr="00E2137F" w:rsidRDefault="001D1AB8" w:rsidP="001E4361">
            <w:pPr>
              <w:rPr>
                <w:b/>
                <w:u w:val="single"/>
              </w:rPr>
            </w:pPr>
            <w:r w:rsidRPr="00E2137F">
              <w:rPr>
                <w:b/>
                <w:u w:val="single"/>
              </w:rPr>
              <w:t>Figure</w:t>
            </w:r>
          </w:p>
        </w:tc>
        <w:tc>
          <w:tcPr>
            <w:tcW w:w="697" w:type="dxa"/>
          </w:tcPr>
          <w:p w14:paraId="69FC648C" w14:textId="77777777" w:rsidR="001D1AB8" w:rsidRPr="00E2137F" w:rsidRDefault="001D1AB8" w:rsidP="001E4361">
            <w:pPr>
              <w:rPr>
                <w:b/>
                <w:u w:val="single"/>
              </w:rPr>
            </w:pPr>
            <w:r w:rsidRPr="00E2137F">
              <w:rPr>
                <w:b/>
                <w:u w:val="single"/>
              </w:rPr>
              <w:t>Page</w:t>
            </w:r>
          </w:p>
        </w:tc>
      </w:tr>
      <w:tr w:rsidR="001D1AB8" w:rsidRPr="00E2137F" w14:paraId="1AF7B5E7" w14:textId="77777777" w:rsidTr="006A45E9">
        <w:trPr>
          <w:trHeight w:val="315"/>
        </w:trPr>
        <w:tc>
          <w:tcPr>
            <w:tcW w:w="8319" w:type="dxa"/>
          </w:tcPr>
          <w:p w14:paraId="2A998B22" w14:textId="77777777" w:rsidR="001D1AB8" w:rsidRPr="00E2137F" w:rsidRDefault="001D1AB8" w:rsidP="001E4361">
            <w:r w:rsidRPr="00E2137F">
              <w:t>Figure 1.1 Definitive vertebrate hematopoiesis</w:t>
            </w:r>
          </w:p>
        </w:tc>
        <w:tc>
          <w:tcPr>
            <w:tcW w:w="697" w:type="dxa"/>
          </w:tcPr>
          <w:p w14:paraId="5F7B5EFB" w14:textId="1C4C13E6" w:rsidR="001D1AB8" w:rsidRPr="00E2137F" w:rsidRDefault="004B2ADE" w:rsidP="001E4361">
            <w:r>
              <w:t>6</w:t>
            </w:r>
          </w:p>
        </w:tc>
      </w:tr>
      <w:tr w:rsidR="001D1AB8" w:rsidRPr="00E2137F" w14:paraId="4A9A0009" w14:textId="77777777" w:rsidTr="006A45E9">
        <w:tc>
          <w:tcPr>
            <w:tcW w:w="8319" w:type="dxa"/>
          </w:tcPr>
          <w:p w14:paraId="2C0A15EB" w14:textId="77777777" w:rsidR="001D1AB8" w:rsidRPr="00E2137F" w:rsidRDefault="001D1AB8" w:rsidP="001E4361">
            <w:r w:rsidRPr="00E2137F">
              <w:t>Figure 1.2 Multidimensional model of macrophage activation</w:t>
            </w:r>
          </w:p>
        </w:tc>
        <w:tc>
          <w:tcPr>
            <w:tcW w:w="697" w:type="dxa"/>
          </w:tcPr>
          <w:p w14:paraId="19F7984A" w14:textId="0C4E77D2" w:rsidR="001D1AB8" w:rsidRPr="00E2137F" w:rsidRDefault="004B2ADE" w:rsidP="001E4361">
            <w:r>
              <w:t>12</w:t>
            </w:r>
          </w:p>
        </w:tc>
      </w:tr>
      <w:tr w:rsidR="001D1AB8" w:rsidRPr="00E2137F" w14:paraId="789D711C" w14:textId="77777777" w:rsidTr="006A45E9">
        <w:trPr>
          <w:trHeight w:val="333"/>
        </w:trPr>
        <w:tc>
          <w:tcPr>
            <w:tcW w:w="8319" w:type="dxa"/>
          </w:tcPr>
          <w:p w14:paraId="1100391B" w14:textId="3FE71BCA" w:rsidR="001D1AB8" w:rsidRPr="004B2ADE" w:rsidRDefault="00A71549" w:rsidP="004B2ADE">
            <w:pPr>
              <w:pStyle w:val="NoSpacing"/>
              <w:rPr>
                <w:b/>
              </w:rPr>
            </w:pPr>
            <w:r w:rsidRPr="00A71549">
              <w:rPr>
                <w:sz w:val="22"/>
              </w:rPr>
              <w:t>Figure 1.3</w:t>
            </w:r>
            <w:r w:rsidR="004B2ADE" w:rsidRPr="00A71549">
              <w:rPr>
                <w:sz w:val="22"/>
              </w:rPr>
              <w:t xml:space="preserve"> </w:t>
            </w:r>
            <w:r w:rsidR="004B2ADE" w:rsidRPr="00A71549">
              <w:rPr>
                <w:i/>
                <w:sz w:val="22"/>
              </w:rPr>
              <w:t xml:space="preserve">Drosophila </w:t>
            </w:r>
            <w:r w:rsidR="004B2ADE" w:rsidRPr="00A71549">
              <w:rPr>
                <w:sz w:val="22"/>
              </w:rPr>
              <w:t>lifecycle</w:t>
            </w:r>
          </w:p>
        </w:tc>
        <w:tc>
          <w:tcPr>
            <w:tcW w:w="697" w:type="dxa"/>
          </w:tcPr>
          <w:p w14:paraId="509B807F" w14:textId="2B3C85F2" w:rsidR="001D1AB8" w:rsidRPr="00E2137F" w:rsidRDefault="004B2ADE" w:rsidP="001E4361">
            <w:r>
              <w:t>17</w:t>
            </w:r>
          </w:p>
        </w:tc>
      </w:tr>
      <w:tr w:rsidR="001D1AB8" w:rsidRPr="00E2137F" w14:paraId="3910BE71" w14:textId="77777777" w:rsidTr="006A45E9">
        <w:tc>
          <w:tcPr>
            <w:tcW w:w="8319" w:type="dxa"/>
          </w:tcPr>
          <w:p w14:paraId="4B092B5E" w14:textId="1C9BE4B9" w:rsidR="001D1AB8" w:rsidRPr="00E2137F" w:rsidRDefault="001D1AB8" w:rsidP="004B2ADE">
            <w:r w:rsidRPr="00E2137F">
              <w:t xml:space="preserve">Figure 1.4. </w:t>
            </w:r>
            <w:r w:rsidR="004B2ADE" w:rsidRPr="00E2137F">
              <w:t xml:space="preserve">Key functions of hemocytes in </w:t>
            </w:r>
            <w:r w:rsidR="004B2ADE" w:rsidRPr="00E2137F">
              <w:rPr>
                <w:i/>
              </w:rPr>
              <w:t>Drosophila</w:t>
            </w:r>
          </w:p>
        </w:tc>
        <w:tc>
          <w:tcPr>
            <w:tcW w:w="697" w:type="dxa"/>
          </w:tcPr>
          <w:p w14:paraId="39D19A14" w14:textId="6AA3ABA7" w:rsidR="001D1AB8" w:rsidRPr="00E2137F" w:rsidRDefault="004B2ADE" w:rsidP="001E4361">
            <w:r>
              <w:t>24</w:t>
            </w:r>
          </w:p>
        </w:tc>
      </w:tr>
      <w:tr w:rsidR="004B2ADE" w:rsidRPr="00E2137F" w14:paraId="2E122ADA" w14:textId="77777777" w:rsidTr="006A45E9">
        <w:tc>
          <w:tcPr>
            <w:tcW w:w="8319" w:type="dxa"/>
          </w:tcPr>
          <w:p w14:paraId="2717F429" w14:textId="03A2EE48" w:rsidR="004B2ADE" w:rsidRPr="00E2137F" w:rsidRDefault="004B2ADE" w:rsidP="004B2ADE">
            <w:r>
              <w:t xml:space="preserve">Figure 1.5 </w:t>
            </w:r>
            <w:r w:rsidRPr="00E2137F">
              <w:t xml:space="preserve">Hematopoiesis in </w:t>
            </w:r>
            <w:r w:rsidRPr="00E2137F">
              <w:rPr>
                <w:i/>
              </w:rPr>
              <w:t>Drosophila</w:t>
            </w:r>
          </w:p>
        </w:tc>
        <w:tc>
          <w:tcPr>
            <w:tcW w:w="697" w:type="dxa"/>
          </w:tcPr>
          <w:p w14:paraId="5CFE97CB" w14:textId="0A02BA73" w:rsidR="004B2ADE" w:rsidRDefault="004B2ADE" w:rsidP="001E4361">
            <w:r>
              <w:t>28</w:t>
            </w:r>
          </w:p>
        </w:tc>
      </w:tr>
      <w:tr w:rsidR="001D1AB8" w:rsidRPr="00E2137F" w14:paraId="100E58DD" w14:textId="77777777" w:rsidTr="006A45E9">
        <w:trPr>
          <w:trHeight w:val="368"/>
        </w:trPr>
        <w:tc>
          <w:tcPr>
            <w:tcW w:w="8319" w:type="dxa"/>
          </w:tcPr>
          <w:p w14:paraId="5266D256" w14:textId="77777777" w:rsidR="001D1AB8" w:rsidRPr="00E2137F" w:rsidRDefault="001D1AB8" w:rsidP="001E4361">
            <w:r w:rsidRPr="00E2137F">
              <w:t>Figure 2.1 Cloning strategy for creating VT-GFP or VT-RFP plasmids</w:t>
            </w:r>
          </w:p>
        </w:tc>
        <w:tc>
          <w:tcPr>
            <w:tcW w:w="697" w:type="dxa"/>
          </w:tcPr>
          <w:p w14:paraId="4DA00C8D" w14:textId="55B391A0" w:rsidR="001D1AB8" w:rsidRPr="00E2137F" w:rsidRDefault="004B2ADE" w:rsidP="001E4361">
            <w:r>
              <w:t>51</w:t>
            </w:r>
          </w:p>
        </w:tc>
      </w:tr>
      <w:tr w:rsidR="001D1AB8" w:rsidRPr="00E2137F" w14:paraId="2BD0F3C8" w14:textId="77777777" w:rsidTr="006A45E9">
        <w:tc>
          <w:tcPr>
            <w:tcW w:w="8319" w:type="dxa"/>
          </w:tcPr>
          <w:p w14:paraId="1173CF62" w14:textId="77777777" w:rsidR="001D1AB8" w:rsidRPr="00E2137F" w:rsidRDefault="001D1AB8" w:rsidP="001E4361">
            <w:pPr>
              <w:pStyle w:val="NoSpacing"/>
              <w:rPr>
                <w:sz w:val="22"/>
                <w:szCs w:val="22"/>
              </w:rPr>
            </w:pPr>
            <w:r w:rsidRPr="00E2137F">
              <w:rPr>
                <w:sz w:val="22"/>
                <w:szCs w:val="22"/>
              </w:rPr>
              <w:t xml:space="preserve">Figure 3.1. </w:t>
            </w:r>
            <w:r w:rsidRPr="00E2137F">
              <w:rPr>
                <w:i/>
                <w:sz w:val="22"/>
                <w:szCs w:val="22"/>
              </w:rPr>
              <w:t xml:space="preserve">In situ </w:t>
            </w:r>
            <w:r w:rsidRPr="00E2137F">
              <w:rPr>
                <w:sz w:val="22"/>
                <w:szCs w:val="22"/>
              </w:rPr>
              <w:t>data reveals potential hemocyte subpopulations</w:t>
            </w:r>
          </w:p>
        </w:tc>
        <w:tc>
          <w:tcPr>
            <w:tcW w:w="697" w:type="dxa"/>
          </w:tcPr>
          <w:p w14:paraId="22E7A5D0" w14:textId="1DF1FB1C" w:rsidR="001D1AB8" w:rsidRPr="00E2137F" w:rsidRDefault="004B2ADE" w:rsidP="001E4361">
            <w:r>
              <w:t>56</w:t>
            </w:r>
          </w:p>
        </w:tc>
      </w:tr>
      <w:tr w:rsidR="001D1AB8" w:rsidRPr="00E2137F" w14:paraId="69388C83" w14:textId="77777777" w:rsidTr="006A45E9">
        <w:trPr>
          <w:trHeight w:val="243"/>
        </w:trPr>
        <w:tc>
          <w:tcPr>
            <w:tcW w:w="8319" w:type="dxa"/>
          </w:tcPr>
          <w:p w14:paraId="0A25039F" w14:textId="0B1D6E03" w:rsidR="001D1AB8" w:rsidRPr="00E2137F" w:rsidRDefault="001E4361" w:rsidP="001E4361">
            <w:pPr>
              <w:pStyle w:val="NoSpacing"/>
              <w:rPr>
                <w:sz w:val="22"/>
                <w:szCs w:val="22"/>
              </w:rPr>
            </w:pPr>
            <w:r w:rsidRPr="00E2137F">
              <w:rPr>
                <w:sz w:val="22"/>
                <w:szCs w:val="22"/>
              </w:rPr>
              <w:t xml:space="preserve">Figure 3.2. The </w:t>
            </w:r>
            <w:r w:rsidRPr="00E2137F">
              <w:rPr>
                <w:i/>
                <w:sz w:val="22"/>
                <w:szCs w:val="22"/>
              </w:rPr>
              <w:t>GAL4-UAS</w:t>
            </w:r>
            <w:r w:rsidRPr="00E2137F">
              <w:rPr>
                <w:i/>
                <w:sz w:val="22"/>
                <w:szCs w:val="22"/>
              </w:rPr>
              <w:softHyphen/>
              <w:t xml:space="preserve"> </w:t>
            </w:r>
            <w:r w:rsidRPr="00E2137F">
              <w:rPr>
                <w:sz w:val="22"/>
                <w:szCs w:val="22"/>
              </w:rPr>
              <w:t xml:space="preserve">expression system is effective for visualising hemocytes </w:t>
            </w:r>
          </w:p>
        </w:tc>
        <w:tc>
          <w:tcPr>
            <w:tcW w:w="697" w:type="dxa"/>
          </w:tcPr>
          <w:p w14:paraId="49089492" w14:textId="6820C352" w:rsidR="001D1AB8" w:rsidRPr="00E2137F" w:rsidRDefault="000A0B44" w:rsidP="004B2ADE">
            <w:r w:rsidRPr="00E2137F">
              <w:t>5</w:t>
            </w:r>
            <w:r w:rsidR="004B2ADE">
              <w:t>7</w:t>
            </w:r>
          </w:p>
        </w:tc>
      </w:tr>
      <w:tr w:rsidR="001D1AB8" w:rsidRPr="00E2137F" w14:paraId="7F1B82E5" w14:textId="77777777" w:rsidTr="006A45E9">
        <w:trPr>
          <w:trHeight w:val="243"/>
        </w:trPr>
        <w:tc>
          <w:tcPr>
            <w:tcW w:w="8319" w:type="dxa"/>
          </w:tcPr>
          <w:p w14:paraId="397377E0" w14:textId="77777777" w:rsidR="001D1AB8" w:rsidRPr="00E2137F" w:rsidRDefault="001D1AB8" w:rsidP="001E4361">
            <w:r w:rsidRPr="00E2137F">
              <w:t>Figure 3.3. Screening of enhancer lines reveals distinct expression patterns within hemocytes</w:t>
            </w:r>
          </w:p>
        </w:tc>
        <w:tc>
          <w:tcPr>
            <w:tcW w:w="697" w:type="dxa"/>
          </w:tcPr>
          <w:p w14:paraId="1DCA90A3" w14:textId="2F18639E" w:rsidR="001D1AB8" w:rsidRPr="00E2137F" w:rsidRDefault="000A0B44" w:rsidP="001E4361">
            <w:r w:rsidRPr="00E2137F">
              <w:t>59</w:t>
            </w:r>
          </w:p>
        </w:tc>
      </w:tr>
      <w:tr w:rsidR="001D1AB8" w:rsidRPr="00E2137F" w14:paraId="1116B834" w14:textId="77777777" w:rsidTr="006A45E9">
        <w:trPr>
          <w:trHeight w:val="243"/>
        </w:trPr>
        <w:tc>
          <w:tcPr>
            <w:tcW w:w="8319" w:type="dxa"/>
          </w:tcPr>
          <w:p w14:paraId="5D79888C" w14:textId="77777777" w:rsidR="001D1AB8" w:rsidRPr="00E2137F" w:rsidRDefault="001D1AB8" w:rsidP="001E4361">
            <w:r w:rsidRPr="00E2137F">
              <w:t>Figure 3.4. Hemocyte subpopulations are confirmed with additional fluorescent reporters</w:t>
            </w:r>
          </w:p>
        </w:tc>
        <w:tc>
          <w:tcPr>
            <w:tcW w:w="697" w:type="dxa"/>
          </w:tcPr>
          <w:p w14:paraId="1A78385B" w14:textId="55B27638" w:rsidR="001D1AB8" w:rsidRPr="00E2137F" w:rsidRDefault="000A0B44" w:rsidP="001E4361">
            <w:r w:rsidRPr="00E2137F">
              <w:t>61</w:t>
            </w:r>
          </w:p>
        </w:tc>
      </w:tr>
      <w:tr w:rsidR="001E4361" w:rsidRPr="00E2137F" w14:paraId="79147EC3" w14:textId="77777777" w:rsidTr="006A45E9">
        <w:trPr>
          <w:trHeight w:val="243"/>
        </w:trPr>
        <w:tc>
          <w:tcPr>
            <w:tcW w:w="8319" w:type="dxa"/>
          </w:tcPr>
          <w:p w14:paraId="683549DF" w14:textId="224FE86A" w:rsidR="001E4361" w:rsidRPr="00E2137F" w:rsidRDefault="001E4361" w:rsidP="001E4361">
            <w:r w:rsidRPr="00E2137F">
              <w:t>Figure 3.5. Hemocyte subpopulations persist into larval stages</w:t>
            </w:r>
          </w:p>
        </w:tc>
        <w:tc>
          <w:tcPr>
            <w:tcW w:w="697" w:type="dxa"/>
          </w:tcPr>
          <w:p w14:paraId="5F5FCBA6" w14:textId="3A6E29AC" w:rsidR="001E4361" w:rsidRPr="00E2137F" w:rsidRDefault="000A0B44" w:rsidP="001E4361">
            <w:r w:rsidRPr="00E2137F">
              <w:t>63</w:t>
            </w:r>
          </w:p>
        </w:tc>
      </w:tr>
      <w:tr w:rsidR="001E4361" w:rsidRPr="00E2137F" w14:paraId="50187CBE" w14:textId="77777777" w:rsidTr="006A45E9">
        <w:trPr>
          <w:trHeight w:val="243"/>
        </w:trPr>
        <w:tc>
          <w:tcPr>
            <w:tcW w:w="8319" w:type="dxa"/>
          </w:tcPr>
          <w:p w14:paraId="04574B77" w14:textId="556941FE" w:rsidR="001E4361" w:rsidRPr="00E2137F" w:rsidRDefault="001E4361" w:rsidP="001E4361">
            <w:r w:rsidRPr="00E2137F">
              <w:t>Figure 3.6. Hemocyte subpopulations persist into adult flies</w:t>
            </w:r>
          </w:p>
        </w:tc>
        <w:tc>
          <w:tcPr>
            <w:tcW w:w="697" w:type="dxa"/>
          </w:tcPr>
          <w:p w14:paraId="23F6DA11" w14:textId="2F417178" w:rsidR="001E4361" w:rsidRPr="00E2137F" w:rsidRDefault="000A0B44" w:rsidP="001E4361">
            <w:r w:rsidRPr="00E2137F">
              <w:t>65</w:t>
            </w:r>
          </w:p>
        </w:tc>
      </w:tr>
      <w:tr w:rsidR="001D1AB8" w:rsidRPr="00E2137F" w14:paraId="5459166F" w14:textId="77777777" w:rsidTr="006A45E9">
        <w:trPr>
          <w:trHeight w:val="243"/>
        </w:trPr>
        <w:tc>
          <w:tcPr>
            <w:tcW w:w="8319" w:type="dxa"/>
          </w:tcPr>
          <w:p w14:paraId="2FA55EC2" w14:textId="4F157365" w:rsidR="001D1AB8" w:rsidRPr="00E2137F" w:rsidRDefault="001E4361" w:rsidP="001E4361">
            <w:r w:rsidRPr="00E2137F">
              <w:t>Figure 3.7</w:t>
            </w:r>
            <w:r w:rsidR="001D1AB8" w:rsidRPr="00E2137F">
              <w:t>. Hemocyte subpopulations share similar morphologies</w:t>
            </w:r>
          </w:p>
        </w:tc>
        <w:tc>
          <w:tcPr>
            <w:tcW w:w="697" w:type="dxa"/>
          </w:tcPr>
          <w:p w14:paraId="76311755" w14:textId="7CAAD518" w:rsidR="001D1AB8" w:rsidRPr="00E2137F" w:rsidRDefault="000A0B44" w:rsidP="001E4361">
            <w:r w:rsidRPr="00E2137F">
              <w:t>68</w:t>
            </w:r>
          </w:p>
        </w:tc>
      </w:tr>
      <w:tr w:rsidR="001D1AB8" w:rsidRPr="00E2137F" w14:paraId="11C1A171" w14:textId="77777777" w:rsidTr="006A45E9">
        <w:trPr>
          <w:trHeight w:val="243"/>
        </w:trPr>
        <w:tc>
          <w:tcPr>
            <w:tcW w:w="8319" w:type="dxa"/>
          </w:tcPr>
          <w:p w14:paraId="78BE7238" w14:textId="593AEA01" w:rsidR="001D1AB8" w:rsidRPr="00E2137F" w:rsidRDefault="001E4361" w:rsidP="001E4361">
            <w:r w:rsidRPr="00E2137F">
              <w:t>Figure 3.8</w:t>
            </w:r>
            <w:r w:rsidR="001D1AB8" w:rsidRPr="00E2137F">
              <w:t xml:space="preserve">. Hemocyte subpopulations effectively phagocytose </w:t>
            </w:r>
            <w:r w:rsidR="001D1AB8" w:rsidRPr="00E2137F">
              <w:rPr>
                <w:i/>
              </w:rPr>
              <w:t>E. coli</w:t>
            </w:r>
          </w:p>
        </w:tc>
        <w:tc>
          <w:tcPr>
            <w:tcW w:w="697" w:type="dxa"/>
          </w:tcPr>
          <w:p w14:paraId="3D30BCA4" w14:textId="40BDE504" w:rsidR="001D1AB8" w:rsidRPr="00E2137F" w:rsidRDefault="000A0B44" w:rsidP="001E4361">
            <w:r w:rsidRPr="00E2137F">
              <w:t>70</w:t>
            </w:r>
          </w:p>
        </w:tc>
      </w:tr>
      <w:tr w:rsidR="001D1AB8" w:rsidRPr="00E2137F" w14:paraId="3F9E31CE" w14:textId="77777777" w:rsidTr="006A45E9">
        <w:trPr>
          <w:trHeight w:val="243"/>
        </w:trPr>
        <w:tc>
          <w:tcPr>
            <w:tcW w:w="8319" w:type="dxa"/>
          </w:tcPr>
          <w:p w14:paraId="4C5B38ED" w14:textId="02D0FF8C" w:rsidR="001D1AB8" w:rsidRPr="00E2137F" w:rsidRDefault="001E4361" w:rsidP="001E4361">
            <w:r w:rsidRPr="00E2137F">
              <w:t>Figure 3.9</w:t>
            </w:r>
            <w:r w:rsidR="001D1AB8" w:rsidRPr="00E2137F">
              <w:t>. Hemocyte subpopulations stain positively for Reactive Oxygen Species</w:t>
            </w:r>
          </w:p>
        </w:tc>
        <w:tc>
          <w:tcPr>
            <w:tcW w:w="697" w:type="dxa"/>
          </w:tcPr>
          <w:p w14:paraId="62A3C3DF" w14:textId="5007A87D" w:rsidR="001D1AB8" w:rsidRPr="00E2137F" w:rsidRDefault="000A0B44" w:rsidP="001E4361">
            <w:r w:rsidRPr="00E2137F">
              <w:t>72</w:t>
            </w:r>
          </w:p>
        </w:tc>
      </w:tr>
      <w:tr w:rsidR="001D1AB8" w:rsidRPr="00E2137F" w14:paraId="0D0BE246" w14:textId="77777777" w:rsidTr="006A45E9">
        <w:trPr>
          <w:trHeight w:val="243"/>
        </w:trPr>
        <w:tc>
          <w:tcPr>
            <w:tcW w:w="8319" w:type="dxa"/>
          </w:tcPr>
          <w:p w14:paraId="32E985FA" w14:textId="38C1AAB6" w:rsidR="001D1AB8" w:rsidRPr="00E2137F" w:rsidRDefault="001E4361" w:rsidP="001E4361">
            <w:r w:rsidRPr="00E2137F">
              <w:t>Figure 3.10</w:t>
            </w:r>
            <w:r w:rsidR="001D1AB8" w:rsidRPr="00E2137F">
              <w:t>. Multiple enhancer lines label hemocyte subpopulations with increased random migratory speeds</w:t>
            </w:r>
          </w:p>
        </w:tc>
        <w:tc>
          <w:tcPr>
            <w:tcW w:w="697" w:type="dxa"/>
          </w:tcPr>
          <w:p w14:paraId="43C58F01" w14:textId="50D79BAD" w:rsidR="001D1AB8" w:rsidRPr="00E2137F" w:rsidRDefault="000A0B44" w:rsidP="001E4361">
            <w:r w:rsidRPr="00E2137F">
              <w:t>74</w:t>
            </w:r>
          </w:p>
        </w:tc>
      </w:tr>
      <w:tr w:rsidR="001D1AB8" w:rsidRPr="00E2137F" w14:paraId="67E6CDCA" w14:textId="77777777" w:rsidTr="006A45E9">
        <w:trPr>
          <w:trHeight w:val="243"/>
        </w:trPr>
        <w:tc>
          <w:tcPr>
            <w:tcW w:w="8319" w:type="dxa"/>
          </w:tcPr>
          <w:p w14:paraId="1BF440CB" w14:textId="72D7E302" w:rsidR="001D1AB8" w:rsidRPr="00E2137F" w:rsidRDefault="005E2BAA" w:rsidP="001E4361">
            <w:r w:rsidRPr="00E2137F">
              <w:t>Figure 3.11. Dispersal of hemocyte subpopulations throughout the embryo</w:t>
            </w:r>
          </w:p>
        </w:tc>
        <w:tc>
          <w:tcPr>
            <w:tcW w:w="697" w:type="dxa"/>
          </w:tcPr>
          <w:p w14:paraId="0466696B" w14:textId="7A7C14A2" w:rsidR="001D1AB8" w:rsidRPr="00E2137F" w:rsidRDefault="000A0B44" w:rsidP="001E4361">
            <w:r w:rsidRPr="00E2137F">
              <w:t>76</w:t>
            </w:r>
          </w:p>
        </w:tc>
      </w:tr>
      <w:tr w:rsidR="001D1AB8" w:rsidRPr="00E2137F" w14:paraId="494A656B" w14:textId="77777777" w:rsidTr="006A45E9">
        <w:trPr>
          <w:trHeight w:val="629"/>
        </w:trPr>
        <w:tc>
          <w:tcPr>
            <w:tcW w:w="8319" w:type="dxa"/>
          </w:tcPr>
          <w:p w14:paraId="1C71A6C3" w14:textId="4EDEE740" w:rsidR="001D1AB8" w:rsidRPr="00E2137F" w:rsidRDefault="001D1AB8" w:rsidP="001E4361">
            <w:r w:rsidRPr="00E2137F">
              <w:t>Figure 3.</w:t>
            </w:r>
            <w:r w:rsidR="005E2BAA" w:rsidRPr="00E2137F">
              <w:t>12</w:t>
            </w:r>
            <w:r w:rsidRPr="00E2137F">
              <w:t>. Multiple enhancer lines label hemocyte subpopulations with more potent responses to pro-inflammatory wounding</w:t>
            </w:r>
          </w:p>
        </w:tc>
        <w:tc>
          <w:tcPr>
            <w:tcW w:w="697" w:type="dxa"/>
          </w:tcPr>
          <w:p w14:paraId="4F173B4A" w14:textId="0530946C" w:rsidR="001D1AB8" w:rsidRPr="00E2137F" w:rsidRDefault="000A0B44" w:rsidP="001E4361">
            <w:r w:rsidRPr="00E2137F">
              <w:t>78</w:t>
            </w:r>
          </w:p>
        </w:tc>
      </w:tr>
      <w:tr w:rsidR="001D1AB8" w:rsidRPr="00E2137F" w14:paraId="6B8C719F" w14:textId="77777777" w:rsidTr="006A45E9">
        <w:trPr>
          <w:trHeight w:val="243"/>
        </w:trPr>
        <w:tc>
          <w:tcPr>
            <w:tcW w:w="8319" w:type="dxa"/>
          </w:tcPr>
          <w:p w14:paraId="4621840D" w14:textId="1F26BD89" w:rsidR="001D1AB8" w:rsidRPr="00E2137F" w:rsidRDefault="001D1AB8" w:rsidP="005E2BAA">
            <w:r w:rsidRPr="00E2137F">
              <w:t>Figure 3.1</w:t>
            </w:r>
            <w:r w:rsidR="005E2BAA" w:rsidRPr="00E2137F">
              <w:t>3</w:t>
            </w:r>
            <w:r w:rsidRPr="00E2137F">
              <w:t>. Multiple enhancer lines label hemocyte subpopulations that display reduced levels of efferocytosis</w:t>
            </w:r>
          </w:p>
        </w:tc>
        <w:tc>
          <w:tcPr>
            <w:tcW w:w="697" w:type="dxa"/>
          </w:tcPr>
          <w:p w14:paraId="0ED3B9D2" w14:textId="33BAB998" w:rsidR="001D1AB8" w:rsidRPr="00E2137F" w:rsidRDefault="000A0B44" w:rsidP="001E4361">
            <w:r w:rsidRPr="00E2137F">
              <w:t>80</w:t>
            </w:r>
          </w:p>
        </w:tc>
      </w:tr>
      <w:tr w:rsidR="001D1AB8" w:rsidRPr="00E2137F" w14:paraId="64DC5560" w14:textId="77777777" w:rsidTr="006A45E9">
        <w:trPr>
          <w:trHeight w:val="243"/>
        </w:trPr>
        <w:tc>
          <w:tcPr>
            <w:tcW w:w="8319" w:type="dxa"/>
          </w:tcPr>
          <w:p w14:paraId="0501DEA2" w14:textId="7AE9D909" w:rsidR="001D1AB8" w:rsidRPr="00E2137F" w:rsidRDefault="001D1AB8" w:rsidP="00D61B4E">
            <w:r w:rsidRPr="00E2137F">
              <w:t>Figure 3.1</w:t>
            </w:r>
            <w:r w:rsidR="00D61B4E" w:rsidRPr="00E2137F">
              <w:t>4</w:t>
            </w:r>
            <w:r w:rsidRPr="00E2137F">
              <w:t>. Overexpression of calnexin-14D within hemocytes increases hemocyte inflammatory wound responses</w:t>
            </w:r>
          </w:p>
        </w:tc>
        <w:tc>
          <w:tcPr>
            <w:tcW w:w="697" w:type="dxa"/>
          </w:tcPr>
          <w:p w14:paraId="33C698B0" w14:textId="1D6EC534" w:rsidR="001D1AB8" w:rsidRPr="00E2137F" w:rsidRDefault="000A0B44" w:rsidP="001E4361">
            <w:r w:rsidRPr="00E2137F">
              <w:t>84</w:t>
            </w:r>
          </w:p>
        </w:tc>
      </w:tr>
      <w:tr w:rsidR="00A13915" w:rsidRPr="00E2137F" w14:paraId="6FFDB94A" w14:textId="77777777" w:rsidTr="006A45E9">
        <w:trPr>
          <w:trHeight w:val="243"/>
        </w:trPr>
        <w:tc>
          <w:tcPr>
            <w:tcW w:w="8319" w:type="dxa"/>
          </w:tcPr>
          <w:p w14:paraId="4B9BE5A8" w14:textId="4B8D2A9B" w:rsidR="00A13915" w:rsidRPr="00E2137F" w:rsidRDefault="00A13915" w:rsidP="00D61B4E">
            <w:r w:rsidRPr="00E2137F">
              <w:t>Figure 3.15 Summary of chapter 3 findings</w:t>
            </w:r>
          </w:p>
        </w:tc>
        <w:tc>
          <w:tcPr>
            <w:tcW w:w="697" w:type="dxa"/>
          </w:tcPr>
          <w:p w14:paraId="36C6497B" w14:textId="37E688CE" w:rsidR="00A13915" w:rsidRPr="00E2137F" w:rsidRDefault="00A13915" w:rsidP="00A82C29">
            <w:r w:rsidRPr="00E2137F">
              <w:t>9</w:t>
            </w:r>
            <w:r w:rsidR="00A82C29">
              <w:t>3</w:t>
            </w:r>
          </w:p>
        </w:tc>
      </w:tr>
      <w:tr w:rsidR="001D1AB8" w:rsidRPr="00E2137F" w14:paraId="40692FCA" w14:textId="77777777" w:rsidTr="006A45E9">
        <w:trPr>
          <w:trHeight w:val="629"/>
        </w:trPr>
        <w:tc>
          <w:tcPr>
            <w:tcW w:w="8319" w:type="dxa"/>
          </w:tcPr>
          <w:p w14:paraId="73C441FA" w14:textId="77777777" w:rsidR="001D1AB8" w:rsidRPr="00E2137F" w:rsidRDefault="001D1AB8" w:rsidP="001E4361">
            <w:r w:rsidRPr="00E2137F">
              <w:t>Figure 4.1. Overexpression of Nos within hemocytes does not affect hemocyte inflammatory wound responses</w:t>
            </w:r>
          </w:p>
        </w:tc>
        <w:tc>
          <w:tcPr>
            <w:tcW w:w="697" w:type="dxa"/>
          </w:tcPr>
          <w:p w14:paraId="4B24088F" w14:textId="31A459BA" w:rsidR="001D1AB8" w:rsidRPr="00E2137F" w:rsidRDefault="00A82C29" w:rsidP="00A82C29">
            <w:r>
              <w:t>101</w:t>
            </w:r>
          </w:p>
        </w:tc>
      </w:tr>
      <w:tr w:rsidR="001D1AB8" w:rsidRPr="00E2137F" w14:paraId="210EFA8C" w14:textId="77777777" w:rsidTr="006A45E9">
        <w:trPr>
          <w:trHeight w:val="243"/>
        </w:trPr>
        <w:tc>
          <w:tcPr>
            <w:tcW w:w="8319" w:type="dxa"/>
          </w:tcPr>
          <w:p w14:paraId="1E5B2A0F" w14:textId="77777777" w:rsidR="001D1AB8" w:rsidRPr="00E2137F" w:rsidRDefault="001D1AB8" w:rsidP="001E4361">
            <w:r w:rsidRPr="00E2137F">
              <w:t>Figure 4.2. Knockdown of Nos within hemocytes does not affect inflammatory wound responses</w:t>
            </w:r>
          </w:p>
        </w:tc>
        <w:tc>
          <w:tcPr>
            <w:tcW w:w="697" w:type="dxa"/>
          </w:tcPr>
          <w:p w14:paraId="2A69347A" w14:textId="0417F1AA" w:rsidR="001D1AB8" w:rsidRPr="00E2137F" w:rsidRDefault="00A82C29" w:rsidP="001E4361">
            <w:r>
              <w:t>102</w:t>
            </w:r>
          </w:p>
        </w:tc>
      </w:tr>
      <w:tr w:rsidR="001D1AB8" w:rsidRPr="00E2137F" w14:paraId="38DED2F9" w14:textId="77777777" w:rsidTr="006A45E9">
        <w:trPr>
          <w:trHeight w:val="243"/>
        </w:trPr>
        <w:tc>
          <w:tcPr>
            <w:tcW w:w="8319" w:type="dxa"/>
          </w:tcPr>
          <w:p w14:paraId="56AE989C" w14:textId="77777777" w:rsidR="001D1AB8" w:rsidRPr="00E2137F" w:rsidRDefault="001D1AB8" w:rsidP="001E4361">
            <w:r w:rsidRPr="00E2137F">
              <w:lastRenderedPageBreak/>
              <w:t>Figure 4.3. Knockdown of arginase within hemocytes does not affect inflammatory wound responses</w:t>
            </w:r>
          </w:p>
        </w:tc>
        <w:tc>
          <w:tcPr>
            <w:tcW w:w="697" w:type="dxa"/>
          </w:tcPr>
          <w:p w14:paraId="03218B04" w14:textId="23EF9303" w:rsidR="001D1AB8" w:rsidRPr="00E2137F" w:rsidRDefault="000A0B44" w:rsidP="00A82C29">
            <w:r w:rsidRPr="00E2137F">
              <w:t>1</w:t>
            </w:r>
            <w:r w:rsidR="00A82C29">
              <w:t>04</w:t>
            </w:r>
          </w:p>
        </w:tc>
      </w:tr>
      <w:tr w:rsidR="001D1AB8" w:rsidRPr="00E2137F" w14:paraId="787B129A" w14:textId="77777777" w:rsidTr="00BA68AB">
        <w:trPr>
          <w:trHeight w:val="608"/>
        </w:trPr>
        <w:tc>
          <w:tcPr>
            <w:tcW w:w="8319" w:type="dxa"/>
          </w:tcPr>
          <w:p w14:paraId="57506EFA" w14:textId="77777777" w:rsidR="001D1AB8" w:rsidRPr="00E2137F" w:rsidRDefault="001D1AB8" w:rsidP="001E4361">
            <w:r w:rsidRPr="00E2137F">
              <w:t>Figure 4.4. Overexpression of catalase within hemocytes decreases hemocyte inflammatory wound responses</w:t>
            </w:r>
          </w:p>
        </w:tc>
        <w:tc>
          <w:tcPr>
            <w:tcW w:w="697" w:type="dxa"/>
          </w:tcPr>
          <w:p w14:paraId="43BE5977" w14:textId="2BAF45FB" w:rsidR="001D1AB8" w:rsidRPr="00E2137F" w:rsidRDefault="000A0B44" w:rsidP="00A82C29">
            <w:r w:rsidRPr="00E2137F">
              <w:t>10</w:t>
            </w:r>
            <w:r w:rsidR="00A82C29">
              <w:t>5</w:t>
            </w:r>
          </w:p>
        </w:tc>
      </w:tr>
      <w:tr w:rsidR="001D1AB8" w:rsidRPr="00E2137F" w14:paraId="7E6D2749" w14:textId="77777777" w:rsidTr="006A45E9">
        <w:trPr>
          <w:trHeight w:val="243"/>
        </w:trPr>
        <w:tc>
          <w:tcPr>
            <w:tcW w:w="8319" w:type="dxa"/>
          </w:tcPr>
          <w:p w14:paraId="24859F20" w14:textId="77777777" w:rsidR="001D1AB8" w:rsidRPr="00E2137F" w:rsidRDefault="001D1AB8" w:rsidP="001E4361">
            <w:r w:rsidRPr="00E2137F">
              <w:t>Figure 4.5. Knockdown of GSS within hemocytes does not affect inflammatory wound responses</w:t>
            </w:r>
          </w:p>
        </w:tc>
        <w:tc>
          <w:tcPr>
            <w:tcW w:w="697" w:type="dxa"/>
          </w:tcPr>
          <w:p w14:paraId="353647CC" w14:textId="23E0CACA" w:rsidR="001D1AB8" w:rsidRPr="00E2137F" w:rsidRDefault="00A82C29" w:rsidP="001E4361">
            <w:r>
              <w:t>107</w:t>
            </w:r>
          </w:p>
        </w:tc>
      </w:tr>
      <w:tr w:rsidR="001D1AB8" w:rsidRPr="00E2137F" w14:paraId="1E3B8BD7" w14:textId="77777777" w:rsidTr="006A45E9">
        <w:trPr>
          <w:trHeight w:val="243"/>
        </w:trPr>
        <w:tc>
          <w:tcPr>
            <w:tcW w:w="8319" w:type="dxa"/>
          </w:tcPr>
          <w:p w14:paraId="3C8914FB" w14:textId="77777777" w:rsidR="001D1AB8" w:rsidRPr="00E2137F" w:rsidRDefault="001D1AB8" w:rsidP="001E4361">
            <w:r w:rsidRPr="00E2137F">
              <w:t>Figure 4.6. Knockdown of Keap1 within hemocytes does not significantly affect hemocyte inflammatory wound responses</w:t>
            </w:r>
          </w:p>
        </w:tc>
        <w:tc>
          <w:tcPr>
            <w:tcW w:w="697" w:type="dxa"/>
          </w:tcPr>
          <w:p w14:paraId="71F6A597" w14:textId="35005024" w:rsidR="001D1AB8" w:rsidRPr="00E2137F" w:rsidRDefault="00A82C29" w:rsidP="001E4361">
            <w:r>
              <w:t>109</w:t>
            </w:r>
          </w:p>
        </w:tc>
      </w:tr>
      <w:tr w:rsidR="001D1AB8" w:rsidRPr="00E2137F" w14:paraId="7C11CD36" w14:textId="77777777" w:rsidTr="006A45E9">
        <w:trPr>
          <w:trHeight w:val="243"/>
        </w:trPr>
        <w:tc>
          <w:tcPr>
            <w:tcW w:w="8319" w:type="dxa"/>
          </w:tcPr>
          <w:p w14:paraId="6D7085DA" w14:textId="77777777" w:rsidR="001D1AB8" w:rsidRPr="00E2137F" w:rsidRDefault="001D1AB8" w:rsidP="001E4361">
            <w:r w:rsidRPr="00E2137F">
              <w:t>Figure 4.7. Knockdown of ND75 within hemocytes increases levels of ROS within hemocytes</w:t>
            </w:r>
          </w:p>
        </w:tc>
        <w:tc>
          <w:tcPr>
            <w:tcW w:w="697" w:type="dxa"/>
          </w:tcPr>
          <w:p w14:paraId="10CBF8BB" w14:textId="2DB83D08" w:rsidR="001D1AB8" w:rsidRPr="00E2137F" w:rsidRDefault="00A82C29" w:rsidP="001E4361">
            <w:r>
              <w:t>111</w:t>
            </w:r>
          </w:p>
        </w:tc>
      </w:tr>
      <w:tr w:rsidR="001D1AB8" w:rsidRPr="00E2137F" w14:paraId="7AFF8F09" w14:textId="77777777" w:rsidTr="006A45E9">
        <w:trPr>
          <w:trHeight w:val="243"/>
        </w:trPr>
        <w:tc>
          <w:tcPr>
            <w:tcW w:w="8319" w:type="dxa"/>
          </w:tcPr>
          <w:p w14:paraId="51FA820F" w14:textId="77777777" w:rsidR="001D1AB8" w:rsidRPr="00E2137F" w:rsidRDefault="001D1AB8" w:rsidP="001E4361">
            <w:r w:rsidRPr="00E2137F">
              <w:t>Figure 4.8. Knockdown of ND75 within hemocytes increases hemocyte inflammatory wound responses</w:t>
            </w:r>
          </w:p>
        </w:tc>
        <w:tc>
          <w:tcPr>
            <w:tcW w:w="697" w:type="dxa"/>
          </w:tcPr>
          <w:p w14:paraId="125C5397" w14:textId="702A6FAC" w:rsidR="001D1AB8" w:rsidRPr="00E2137F" w:rsidRDefault="00A82C29" w:rsidP="001E4361">
            <w:r>
              <w:t>113</w:t>
            </w:r>
          </w:p>
        </w:tc>
      </w:tr>
      <w:tr w:rsidR="001D1AB8" w:rsidRPr="00E2137F" w14:paraId="5BFD5175" w14:textId="77777777" w:rsidTr="006A45E9">
        <w:trPr>
          <w:trHeight w:val="243"/>
        </w:trPr>
        <w:tc>
          <w:tcPr>
            <w:tcW w:w="8319" w:type="dxa"/>
          </w:tcPr>
          <w:p w14:paraId="391F3B8A" w14:textId="77777777" w:rsidR="001D1AB8" w:rsidRPr="00E2137F" w:rsidRDefault="001D1AB8" w:rsidP="001E4361">
            <w:r w:rsidRPr="00E2137F">
              <w:t>Figure 4.9. Overexpression of succinate dehydrogenase within hemocytes does not significantly increase hemocyte inflammatory wound responses</w:t>
            </w:r>
          </w:p>
        </w:tc>
        <w:tc>
          <w:tcPr>
            <w:tcW w:w="697" w:type="dxa"/>
          </w:tcPr>
          <w:p w14:paraId="7E3BECEE" w14:textId="6D86C1E5" w:rsidR="001D1AB8" w:rsidRPr="00E2137F" w:rsidRDefault="00A82C29" w:rsidP="001E4361">
            <w:r>
              <w:t>114</w:t>
            </w:r>
          </w:p>
        </w:tc>
      </w:tr>
      <w:tr w:rsidR="001D1AB8" w:rsidRPr="00E2137F" w14:paraId="0B16638B" w14:textId="77777777" w:rsidTr="00A71549">
        <w:trPr>
          <w:trHeight w:val="640"/>
        </w:trPr>
        <w:tc>
          <w:tcPr>
            <w:tcW w:w="8319" w:type="dxa"/>
          </w:tcPr>
          <w:p w14:paraId="202ADE08" w14:textId="77777777" w:rsidR="001D1AB8" w:rsidRPr="00E2137F" w:rsidRDefault="001D1AB8" w:rsidP="001E4361">
            <w:pPr>
              <w:pStyle w:val="NoSpacing"/>
              <w:rPr>
                <w:sz w:val="22"/>
                <w:szCs w:val="22"/>
              </w:rPr>
            </w:pPr>
            <w:r w:rsidRPr="00E2137F">
              <w:rPr>
                <w:sz w:val="22"/>
                <w:szCs w:val="22"/>
              </w:rPr>
              <w:t>Figure 4.10. Overexpression of succinate dehydrogenase within hemocytes decreases efferocytosis of apoptotic cells</w:t>
            </w:r>
          </w:p>
        </w:tc>
        <w:tc>
          <w:tcPr>
            <w:tcW w:w="697" w:type="dxa"/>
          </w:tcPr>
          <w:p w14:paraId="27949B4B" w14:textId="79A02167" w:rsidR="001D1AB8" w:rsidRPr="00E2137F" w:rsidRDefault="00A82C29" w:rsidP="001E4361">
            <w:r>
              <w:t>116</w:t>
            </w:r>
          </w:p>
        </w:tc>
      </w:tr>
      <w:tr w:rsidR="001D1AB8" w:rsidRPr="00E2137F" w14:paraId="495DC336" w14:textId="77777777" w:rsidTr="006A45E9">
        <w:trPr>
          <w:trHeight w:val="243"/>
        </w:trPr>
        <w:tc>
          <w:tcPr>
            <w:tcW w:w="8319" w:type="dxa"/>
          </w:tcPr>
          <w:p w14:paraId="74F5700F" w14:textId="77777777" w:rsidR="001D1AB8" w:rsidRPr="00E2137F" w:rsidRDefault="001D1AB8" w:rsidP="001E4361">
            <w:r w:rsidRPr="00E2137F">
              <w:t>Figure 4.11. Knockdown of complex-I of the ETC within hemocytes does not affect hemocyte inflammatory wound responses</w:t>
            </w:r>
          </w:p>
        </w:tc>
        <w:tc>
          <w:tcPr>
            <w:tcW w:w="697" w:type="dxa"/>
          </w:tcPr>
          <w:p w14:paraId="06D8E1DE" w14:textId="7F63AB9C" w:rsidR="001D1AB8" w:rsidRPr="00E2137F" w:rsidRDefault="00A82C29" w:rsidP="001E4361">
            <w:r>
              <w:t>118</w:t>
            </w:r>
          </w:p>
        </w:tc>
      </w:tr>
      <w:tr w:rsidR="001D1AB8" w:rsidRPr="00E2137F" w14:paraId="2FEDAB59" w14:textId="77777777" w:rsidTr="006A45E9">
        <w:trPr>
          <w:trHeight w:val="629"/>
        </w:trPr>
        <w:tc>
          <w:tcPr>
            <w:tcW w:w="8319" w:type="dxa"/>
          </w:tcPr>
          <w:p w14:paraId="2D16C5FC" w14:textId="77777777" w:rsidR="001D1AB8" w:rsidRPr="00E2137F" w:rsidRDefault="001D1AB8" w:rsidP="001E4361">
            <w:r w:rsidRPr="00E2137F">
              <w:t>Figure 4.12. Knockdown of hexokinase within hemocytes does not affect hemocyte inflammatory wound responses</w:t>
            </w:r>
          </w:p>
        </w:tc>
        <w:tc>
          <w:tcPr>
            <w:tcW w:w="697" w:type="dxa"/>
          </w:tcPr>
          <w:p w14:paraId="5DB62671" w14:textId="0EA994BE" w:rsidR="001D1AB8" w:rsidRPr="00E2137F" w:rsidRDefault="00A82C29" w:rsidP="001E4361">
            <w:r>
              <w:t>119</w:t>
            </w:r>
          </w:p>
        </w:tc>
      </w:tr>
      <w:tr w:rsidR="001D1AB8" w:rsidRPr="00E2137F" w14:paraId="7600D568" w14:textId="77777777" w:rsidTr="006A45E9">
        <w:trPr>
          <w:trHeight w:val="243"/>
        </w:trPr>
        <w:tc>
          <w:tcPr>
            <w:tcW w:w="8319" w:type="dxa"/>
          </w:tcPr>
          <w:p w14:paraId="4BD33732" w14:textId="77777777" w:rsidR="001D1AB8" w:rsidRPr="00E2137F" w:rsidRDefault="001D1AB8" w:rsidP="001E4361">
            <w:r w:rsidRPr="00E2137F">
              <w:t>Figure 4.13. Knockdown of pyruvate dehydrogenase within hemocytes does not affect hemocyte inflammatory wound responses</w:t>
            </w:r>
          </w:p>
        </w:tc>
        <w:tc>
          <w:tcPr>
            <w:tcW w:w="697" w:type="dxa"/>
          </w:tcPr>
          <w:p w14:paraId="00F9460B" w14:textId="3628DA21" w:rsidR="001D1AB8" w:rsidRPr="00E2137F" w:rsidRDefault="00A82C29" w:rsidP="001E4361">
            <w:r>
              <w:t>121</w:t>
            </w:r>
          </w:p>
        </w:tc>
      </w:tr>
      <w:tr w:rsidR="001D1AB8" w:rsidRPr="00E2137F" w14:paraId="3BEF9AC3" w14:textId="77777777" w:rsidTr="006A45E9">
        <w:trPr>
          <w:trHeight w:val="243"/>
        </w:trPr>
        <w:tc>
          <w:tcPr>
            <w:tcW w:w="8319" w:type="dxa"/>
          </w:tcPr>
          <w:p w14:paraId="1907E694" w14:textId="77777777" w:rsidR="001D1AB8" w:rsidRPr="00E2137F" w:rsidRDefault="001D1AB8" w:rsidP="001E4361">
            <w:r w:rsidRPr="00E2137F">
              <w:t>Figure 4.14. Knockdown of pyruvate dehydrogenase phosphatase within hemocytes does not affect hemocyte inflammatory wound responses</w:t>
            </w:r>
          </w:p>
        </w:tc>
        <w:tc>
          <w:tcPr>
            <w:tcW w:w="697" w:type="dxa"/>
          </w:tcPr>
          <w:p w14:paraId="5F257B14" w14:textId="6B48CE7C" w:rsidR="001D1AB8" w:rsidRPr="00E2137F" w:rsidRDefault="00A82C29" w:rsidP="001E4361">
            <w:r>
              <w:t>122</w:t>
            </w:r>
          </w:p>
        </w:tc>
      </w:tr>
      <w:tr w:rsidR="001D1AB8" w:rsidRPr="00E2137F" w14:paraId="4BAAFEC4" w14:textId="77777777" w:rsidTr="006A45E9">
        <w:trPr>
          <w:trHeight w:val="243"/>
        </w:trPr>
        <w:tc>
          <w:tcPr>
            <w:tcW w:w="8319" w:type="dxa"/>
          </w:tcPr>
          <w:p w14:paraId="72110547" w14:textId="77777777" w:rsidR="001D1AB8" w:rsidRPr="00E2137F" w:rsidRDefault="001D1AB8" w:rsidP="001E4361">
            <w:r w:rsidRPr="00E2137F">
              <w:t>Figure 4.15. Overexpression of pyruvate dehydrogenase kinase within hemocytes increases hemocyte inflammatory wound responses</w:t>
            </w:r>
          </w:p>
        </w:tc>
        <w:tc>
          <w:tcPr>
            <w:tcW w:w="697" w:type="dxa"/>
          </w:tcPr>
          <w:p w14:paraId="120457DA" w14:textId="52357BDC" w:rsidR="001D1AB8" w:rsidRPr="00E2137F" w:rsidRDefault="00A82C29" w:rsidP="001E4361">
            <w:r>
              <w:t>124</w:t>
            </w:r>
          </w:p>
        </w:tc>
      </w:tr>
      <w:tr w:rsidR="001D1AB8" w:rsidRPr="00E2137F" w14:paraId="1C9BC9D3" w14:textId="77777777" w:rsidTr="006A45E9">
        <w:trPr>
          <w:trHeight w:val="243"/>
        </w:trPr>
        <w:tc>
          <w:tcPr>
            <w:tcW w:w="8319" w:type="dxa"/>
          </w:tcPr>
          <w:p w14:paraId="79FC845C" w14:textId="041E7033" w:rsidR="001D1AB8" w:rsidRPr="00E2137F" w:rsidRDefault="001D1AB8" w:rsidP="001E4361">
            <w:r w:rsidRPr="00E2137F">
              <w:t>Figure 4.16. Overexpression of pyruvate dehydrogenase kinase decreases the number of apoptotic cells engulfed by hemocyte</w:t>
            </w:r>
            <w:r w:rsidR="000A0B44" w:rsidRPr="00E2137F">
              <w:t>s</w:t>
            </w:r>
          </w:p>
        </w:tc>
        <w:tc>
          <w:tcPr>
            <w:tcW w:w="697" w:type="dxa"/>
          </w:tcPr>
          <w:p w14:paraId="676EB17C" w14:textId="1368389C" w:rsidR="001D1AB8" w:rsidRPr="00E2137F" w:rsidRDefault="00A82C29" w:rsidP="001E4361">
            <w:r>
              <w:t>126</w:t>
            </w:r>
          </w:p>
        </w:tc>
      </w:tr>
      <w:tr w:rsidR="001D1AB8" w:rsidRPr="00E2137F" w14:paraId="758C84BF" w14:textId="77777777" w:rsidTr="006A45E9">
        <w:trPr>
          <w:trHeight w:val="323"/>
        </w:trPr>
        <w:tc>
          <w:tcPr>
            <w:tcW w:w="8319" w:type="dxa"/>
          </w:tcPr>
          <w:p w14:paraId="1F9A6D16" w14:textId="465D7B4A" w:rsidR="001D1AB8" w:rsidRPr="00E2137F" w:rsidRDefault="001D1AB8" w:rsidP="000A0B44">
            <w:r w:rsidRPr="00E2137F">
              <w:t xml:space="preserve">Figure 4.17. Overexpression of </w:t>
            </w:r>
            <w:r w:rsidR="000A0B44" w:rsidRPr="00E2137F">
              <w:t>pyruvate dehydrogenase kinase in</w:t>
            </w:r>
            <w:r w:rsidRPr="00E2137F">
              <w:t xml:space="preserve">creases the number of </w:t>
            </w:r>
            <w:r w:rsidR="000A0B44" w:rsidRPr="00E2137F">
              <w:t>circulating hemocytes in larvae</w:t>
            </w:r>
          </w:p>
        </w:tc>
        <w:tc>
          <w:tcPr>
            <w:tcW w:w="697" w:type="dxa"/>
          </w:tcPr>
          <w:p w14:paraId="025798C6" w14:textId="4C53F14F" w:rsidR="001D1AB8" w:rsidRPr="00E2137F" w:rsidRDefault="00A82C29" w:rsidP="001E4361">
            <w:r>
              <w:t>128</w:t>
            </w:r>
          </w:p>
        </w:tc>
      </w:tr>
      <w:tr w:rsidR="001D1AB8" w:rsidRPr="00E2137F" w14:paraId="7125E670" w14:textId="77777777" w:rsidTr="006A45E9">
        <w:trPr>
          <w:trHeight w:val="243"/>
        </w:trPr>
        <w:tc>
          <w:tcPr>
            <w:tcW w:w="8319" w:type="dxa"/>
          </w:tcPr>
          <w:p w14:paraId="2ACD82A9" w14:textId="77777777" w:rsidR="001D1AB8" w:rsidRPr="00E2137F" w:rsidRDefault="001D1AB8" w:rsidP="001E4361">
            <w:r w:rsidRPr="00E2137F">
              <w:t>Figure 4.18. Overexpression of pyruvate dehydrogenase kinase promotes pro-inflammatory gene expression in hemocytes</w:t>
            </w:r>
          </w:p>
        </w:tc>
        <w:tc>
          <w:tcPr>
            <w:tcW w:w="697" w:type="dxa"/>
          </w:tcPr>
          <w:p w14:paraId="291A4DC2" w14:textId="50FAE0BB" w:rsidR="001D1AB8" w:rsidRPr="00E2137F" w:rsidRDefault="00A82C29" w:rsidP="001E4361">
            <w:r>
              <w:t>129</w:t>
            </w:r>
          </w:p>
        </w:tc>
      </w:tr>
      <w:tr w:rsidR="001D1AB8" w:rsidRPr="00E2137F" w14:paraId="26509119" w14:textId="77777777" w:rsidTr="006A45E9">
        <w:trPr>
          <w:trHeight w:val="243"/>
        </w:trPr>
        <w:tc>
          <w:tcPr>
            <w:tcW w:w="8319" w:type="dxa"/>
          </w:tcPr>
          <w:p w14:paraId="56064428" w14:textId="77777777" w:rsidR="001D1AB8" w:rsidRPr="00E2137F" w:rsidRDefault="001D1AB8" w:rsidP="001E4361">
            <w:r w:rsidRPr="00E2137F">
              <w:t>Figure 4.19. Overexpression of activated-AMPK within hemocytes does not significantly affect hemocyte inflammatory wound responses</w:t>
            </w:r>
          </w:p>
        </w:tc>
        <w:tc>
          <w:tcPr>
            <w:tcW w:w="697" w:type="dxa"/>
          </w:tcPr>
          <w:p w14:paraId="49719AE8" w14:textId="75AB49C8" w:rsidR="001D1AB8" w:rsidRPr="00E2137F" w:rsidRDefault="00A82C29" w:rsidP="001E4361">
            <w:r>
              <w:t>131</w:t>
            </w:r>
          </w:p>
        </w:tc>
      </w:tr>
      <w:tr w:rsidR="001D1AB8" w:rsidRPr="00E2137F" w14:paraId="6EC556FD" w14:textId="77777777" w:rsidTr="006A45E9">
        <w:trPr>
          <w:trHeight w:val="243"/>
        </w:trPr>
        <w:tc>
          <w:tcPr>
            <w:tcW w:w="8319" w:type="dxa"/>
          </w:tcPr>
          <w:p w14:paraId="7BDB2540" w14:textId="77777777" w:rsidR="001D1AB8" w:rsidRPr="00E2137F" w:rsidRDefault="001D1AB8" w:rsidP="001E4361">
            <w:r w:rsidRPr="00E2137F">
              <w:t>Figure 4.20. Overexpression of activated-AMPK decreases the number of apoptotic cells engulfed by hemocytes</w:t>
            </w:r>
          </w:p>
        </w:tc>
        <w:tc>
          <w:tcPr>
            <w:tcW w:w="697" w:type="dxa"/>
          </w:tcPr>
          <w:p w14:paraId="2130F8CB" w14:textId="27C4EC39" w:rsidR="001D1AB8" w:rsidRPr="00E2137F" w:rsidRDefault="00A82C29" w:rsidP="001E4361">
            <w:r>
              <w:t>132</w:t>
            </w:r>
          </w:p>
        </w:tc>
      </w:tr>
      <w:tr w:rsidR="001D1AB8" w:rsidRPr="00E2137F" w14:paraId="39916D6E" w14:textId="77777777" w:rsidTr="006A45E9">
        <w:trPr>
          <w:trHeight w:val="243"/>
        </w:trPr>
        <w:tc>
          <w:tcPr>
            <w:tcW w:w="8319" w:type="dxa"/>
          </w:tcPr>
          <w:p w14:paraId="23A7208C" w14:textId="77777777" w:rsidR="001D1AB8" w:rsidRPr="00E2137F" w:rsidRDefault="001D1AB8" w:rsidP="001E4361">
            <w:r w:rsidRPr="00E2137F">
              <w:t>Figure 4.21. Constitutive expression of spätzle within hemocytes does not significantly affect hemocyte inflammatory wound responses</w:t>
            </w:r>
          </w:p>
        </w:tc>
        <w:tc>
          <w:tcPr>
            <w:tcW w:w="697" w:type="dxa"/>
          </w:tcPr>
          <w:p w14:paraId="5D985F6B" w14:textId="4BCCACBC" w:rsidR="001D1AB8" w:rsidRPr="00E2137F" w:rsidRDefault="00A82C29" w:rsidP="001E4361">
            <w:r>
              <w:t>134</w:t>
            </w:r>
          </w:p>
        </w:tc>
      </w:tr>
      <w:tr w:rsidR="00A13915" w:rsidRPr="00E2137F" w14:paraId="7A6AAE92" w14:textId="77777777" w:rsidTr="006A45E9">
        <w:trPr>
          <w:trHeight w:val="243"/>
        </w:trPr>
        <w:tc>
          <w:tcPr>
            <w:tcW w:w="8319" w:type="dxa"/>
          </w:tcPr>
          <w:p w14:paraId="5B4349AB" w14:textId="219A3392" w:rsidR="00A13915" w:rsidRPr="00A71549" w:rsidRDefault="00A13915" w:rsidP="00A71549">
            <w:pPr>
              <w:pStyle w:val="NoSpacing"/>
              <w:rPr>
                <w:sz w:val="22"/>
                <w:szCs w:val="22"/>
              </w:rPr>
            </w:pPr>
            <w:r w:rsidRPr="00E2137F">
              <w:rPr>
                <w:sz w:val="22"/>
                <w:szCs w:val="22"/>
              </w:rPr>
              <w:lastRenderedPageBreak/>
              <w:t>Figure 4.2</w:t>
            </w:r>
            <w:r w:rsidR="00A71549">
              <w:rPr>
                <w:sz w:val="22"/>
                <w:szCs w:val="22"/>
              </w:rPr>
              <w:t>2 Summary of chapter 4 findings</w:t>
            </w:r>
          </w:p>
        </w:tc>
        <w:tc>
          <w:tcPr>
            <w:tcW w:w="697" w:type="dxa"/>
          </w:tcPr>
          <w:p w14:paraId="3F6E02B5" w14:textId="01083BDA" w:rsidR="00A13915" w:rsidRPr="00E2137F" w:rsidRDefault="00A13915" w:rsidP="00A82C29">
            <w:r w:rsidRPr="00E2137F">
              <w:t>14</w:t>
            </w:r>
            <w:r w:rsidR="00A82C29">
              <w:t>4</w:t>
            </w:r>
          </w:p>
        </w:tc>
      </w:tr>
      <w:tr w:rsidR="001D1AB8" w:rsidRPr="00E2137F" w14:paraId="3E30AD0A" w14:textId="77777777" w:rsidTr="006A45E9">
        <w:trPr>
          <w:trHeight w:val="243"/>
        </w:trPr>
        <w:tc>
          <w:tcPr>
            <w:tcW w:w="8319" w:type="dxa"/>
          </w:tcPr>
          <w:p w14:paraId="1B1FDB79" w14:textId="6CB75031" w:rsidR="001D1AB8" w:rsidRPr="00E2137F" w:rsidRDefault="006A45E9" w:rsidP="001E4361">
            <w:r w:rsidRPr="00E2137F">
              <w:t xml:space="preserve">Figure 5.1 JAK/STAT signalling cascade in </w:t>
            </w:r>
            <w:r w:rsidRPr="00E2137F">
              <w:rPr>
                <w:i/>
              </w:rPr>
              <w:t>Drosophila</w:t>
            </w:r>
          </w:p>
        </w:tc>
        <w:tc>
          <w:tcPr>
            <w:tcW w:w="697" w:type="dxa"/>
          </w:tcPr>
          <w:p w14:paraId="30336183" w14:textId="1BACD2EA" w:rsidR="001D1AB8" w:rsidRPr="00E2137F" w:rsidRDefault="000A0B44" w:rsidP="00A82C29">
            <w:r w:rsidRPr="00E2137F">
              <w:t>14</w:t>
            </w:r>
            <w:r w:rsidR="00A82C29">
              <w:t>6</w:t>
            </w:r>
          </w:p>
        </w:tc>
      </w:tr>
      <w:tr w:rsidR="001D1AB8" w:rsidRPr="00E2137F" w14:paraId="52912701" w14:textId="77777777" w:rsidTr="006A45E9">
        <w:trPr>
          <w:trHeight w:val="243"/>
        </w:trPr>
        <w:tc>
          <w:tcPr>
            <w:tcW w:w="8319" w:type="dxa"/>
          </w:tcPr>
          <w:p w14:paraId="6C6B394A" w14:textId="39A0360C" w:rsidR="001D1AB8" w:rsidRPr="00E2137F" w:rsidRDefault="006A45E9" w:rsidP="006A45E9">
            <w:pPr>
              <w:pStyle w:val="NoSpacing"/>
              <w:rPr>
                <w:sz w:val="22"/>
                <w:szCs w:val="22"/>
              </w:rPr>
            </w:pPr>
            <w:r w:rsidRPr="00E2137F">
              <w:rPr>
                <w:sz w:val="22"/>
                <w:szCs w:val="22"/>
              </w:rPr>
              <w:t xml:space="preserve">Figure 5.2 JAK/STAT signalling in macrophage polarisation </w:t>
            </w:r>
          </w:p>
        </w:tc>
        <w:tc>
          <w:tcPr>
            <w:tcW w:w="697" w:type="dxa"/>
          </w:tcPr>
          <w:p w14:paraId="6881B1DC" w14:textId="142B1730" w:rsidR="001D1AB8" w:rsidRPr="00E2137F" w:rsidRDefault="00A82C29" w:rsidP="001E4361">
            <w:r>
              <w:t>149</w:t>
            </w:r>
          </w:p>
        </w:tc>
      </w:tr>
      <w:tr w:rsidR="001D1AB8" w:rsidRPr="00E2137F" w14:paraId="3C8EA3B7" w14:textId="77777777" w:rsidTr="006A45E9">
        <w:trPr>
          <w:trHeight w:val="243"/>
        </w:trPr>
        <w:tc>
          <w:tcPr>
            <w:tcW w:w="8319" w:type="dxa"/>
          </w:tcPr>
          <w:p w14:paraId="2592224A" w14:textId="16D35F57" w:rsidR="001D1AB8" w:rsidRPr="00E2137F" w:rsidRDefault="006A45E9" w:rsidP="001E4361">
            <w:r w:rsidRPr="00E2137F">
              <w:t xml:space="preserve">Figure 5.3 Loss of </w:t>
            </w:r>
            <w:r w:rsidRPr="00E2137F">
              <w:rPr>
                <w:i/>
              </w:rPr>
              <w:t xml:space="preserve">upd </w:t>
            </w:r>
            <w:r w:rsidRPr="00E2137F">
              <w:t>function improves hemocyte responses to injury</w:t>
            </w:r>
          </w:p>
        </w:tc>
        <w:tc>
          <w:tcPr>
            <w:tcW w:w="697" w:type="dxa"/>
          </w:tcPr>
          <w:p w14:paraId="723A2AF3" w14:textId="3789FDB8" w:rsidR="001D1AB8" w:rsidRPr="00E2137F" w:rsidRDefault="00A82C29" w:rsidP="001E4361">
            <w:r>
              <w:t>151</w:t>
            </w:r>
          </w:p>
        </w:tc>
      </w:tr>
      <w:tr w:rsidR="001D1AB8" w:rsidRPr="00E2137F" w14:paraId="43C3DE0F" w14:textId="77777777" w:rsidTr="006A45E9">
        <w:trPr>
          <w:trHeight w:val="243"/>
        </w:trPr>
        <w:tc>
          <w:tcPr>
            <w:tcW w:w="8319" w:type="dxa"/>
          </w:tcPr>
          <w:p w14:paraId="472B6BA3" w14:textId="30338766" w:rsidR="001D1AB8" w:rsidRPr="00E2137F" w:rsidRDefault="006A45E9" w:rsidP="001E4361">
            <w:r w:rsidRPr="00E2137F">
              <w:t>Figure 5.4 Hemocytes in embryos with Upd mutations do not display different rates of efferocytosis</w:t>
            </w:r>
          </w:p>
        </w:tc>
        <w:tc>
          <w:tcPr>
            <w:tcW w:w="697" w:type="dxa"/>
          </w:tcPr>
          <w:p w14:paraId="67CD22FB" w14:textId="35D119D4" w:rsidR="001D1AB8" w:rsidRPr="00E2137F" w:rsidRDefault="00A82C29" w:rsidP="001E4361">
            <w:r>
              <w:t>153</w:t>
            </w:r>
          </w:p>
        </w:tc>
      </w:tr>
      <w:tr w:rsidR="001D1AB8" w:rsidRPr="00E2137F" w14:paraId="721D83FF" w14:textId="77777777" w:rsidTr="006A45E9">
        <w:trPr>
          <w:trHeight w:val="243"/>
        </w:trPr>
        <w:tc>
          <w:tcPr>
            <w:tcW w:w="8319" w:type="dxa"/>
          </w:tcPr>
          <w:p w14:paraId="4C2ACE59" w14:textId="6E291607" w:rsidR="001D1AB8" w:rsidRPr="00E2137F" w:rsidRDefault="006A45E9" w:rsidP="006A45E9">
            <w:pPr>
              <w:pStyle w:val="NoSpacing"/>
              <w:rPr>
                <w:sz w:val="22"/>
                <w:szCs w:val="22"/>
              </w:rPr>
            </w:pPr>
            <w:r w:rsidRPr="00E2137F">
              <w:rPr>
                <w:sz w:val="22"/>
                <w:szCs w:val="22"/>
              </w:rPr>
              <w:t xml:space="preserve">Figure 5.5 Cuticle preparations confirm that </w:t>
            </w:r>
            <w:r w:rsidRPr="00E2137F">
              <w:rPr>
                <w:i/>
                <w:sz w:val="22"/>
                <w:szCs w:val="22"/>
              </w:rPr>
              <w:t>Upd</w:t>
            </w:r>
            <w:r w:rsidRPr="00E2137F">
              <w:rPr>
                <w:sz w:val="22"/>
                <w:szCs w:val="22"/>
              </w:rPr>
              <w:t xml:space="preserve"> mutations effectively modulate JAK/STAT signalling. </w:t>
            </w:r>
          </w:p>
        </w:tc>
        <w:tc>
          <w:tcPr>
            <w:tcW w:w="697" w:type="dxa"/>
          </w:tcPr>
          <w:p w14:paraId="213B1190" w14:textId="5D42BABA" w:rsidR="001D1AB8" w:rsidRPr="00E2137F" w:rsidRDefault="00A82C29" w:rsidP="001E4361">
            <w:r>
              <w:t>154</w:t>
            </w:r>
          </w:p>
        </w:tc>
      </w:tr>
      <w:tr w:rsidR="001D1AB8" w:rsidRPr="00E2137F" w14:paraId="6C02CCA6" w14:textId="77777777" w:rsidTr="006A45E9">
        <w:trPr>
          <w:trHeight w:val="243"/>
        </w:trPr>
        <w:tc>
          <w:tcPr>
            <w:tcW w:w="8319" w:type="dxa"/>
          </w:tcPr>
          <w:p w14:paraId="715DC0CC" w14:textId="5C47789F" w:rsidR="001D1AB8" w:rsidRPr="00E2137F" w:rsidRDefault="006A45E9" w:rsidP="006A45E9">
            <w:pPr>
              <w:tabs>
                <w:tab w:val="left" w:pos="4845"/>
              </w:tabs>
            </w:pPr>
            <w:r w:rsidRPr="00E2137F">
              <w:t xml:space="preserve">Figure 5.6 Hemocytes in embryos with </w:t>
            </w:r>
            <w:r w:rsidRPr="00E2137F">
              <w:rPr>
                <w:i/>
              </w:rPr>
              <w:t>Upd</w:t>
            </w:r>
            <w:r w:rsidRPr="00E2137F">
              <w:t xml:space="preserve"> overexpression do not display different wound responses</w:t>
            </w:r>
          </w:p>
        </w:tc>
        <w:tc>
          <w:tcPr>
            <w:tcW w:w="697" w:type="dxa"/>
          </w:tcPr>
          <w:p w14:paraId="34BA595B" w14:textId="48A35AD7" w:rsidR="001D1AB8" w:rsidRPr="00E2137F" w:rsidRDefault="00A82C29" w:rsidP="001E4361">
            <w:r>
              <w:t>155</w:t>
            </w:r>
          </w:p>
        </w:tc>
      </w:tr>
      <w:tr w:rsidR="001D1AB8" w:rsidRPr="00E2137F" w14:paraId="07EB16E7" w14:textId="77777777" w:rsidTr="006A45E9">
        <w:trPr>
          <w:trHeight w:val="243"/>
        </w:trPr>
        <w:tc>
          <w:tcPr>
            <w:tcW w:w="8319" w:type="dxa"/>
          </w:tcPr>
          <w:p w14:paraId="4271FF48" w14:textId="15BFACD8" w:rsidR="001D1AB8" w:rsidRPr="00E2137F" w:rsidRDefault="006A45E9" w:rsidP="001E4361">
            <w:r w:rsidRPr="00E2137F">
              <w:t>Figure 5.7 Hemocytes in embryos with Upd3 knockdown do not display different wound responses</w:t>
            </w:r>
          </w:p>
        </w:tc>
        <w:tc>
          <w:tcPr>
            <w:tcW w:w="697" w:type="dxa"/>
          </w:tcPr>
          <w:p w14:paraId="2A5B341D" w14:textId="731D48D5" w:rsidR="001D1AB8" w:rsidRPr="00E2137F" w:rsidRDefault="00A82C29" w:rsidP="001E4361">
            <w:r>
              <w:t>157</w:t>
            </w:r>
          </w:p>
        </w:tc>
      </w:tr>
      <w:tr w:rsidR="001D1AB8" w:rsidRPr="00E2137F" w14:paraId="2F75DCE5" w14:textId="77777777" w:rsidTr="006A45E9">
        <w:trPr>
          <w:trHeight w:val="243"/>
        </w:trPr>
        <w:tc>
          <w:tcPr>
            <w:tcW w:w="8319" w:type="dxa"/>
          </w:tcPr>
          <w:p w14:paraId="60DA51A4" w14:textId="46C0DAE0" w:rsidR="001D1AB8" w:rsidRPr="00E2137F" w:rsidRDefault="006A45E9" w:rsidP="001E4361">
            <w:r w:rsidRPr="00E2137F">
              <w:t>Figure 5.8 Hemocytes with deletions in Dome display more potent wound responses</w:t>
            </w:r>
          </w:p>
        </w:tc>
        <w:tc>
          <w:tcPr>
            <w:tcW w:w="697" w:type="dxa"/>
          </w:tcPr>
          <w:p w14:paraId="327AE37C" w14:textId="5CC1355B" w:rsidR="001D1AB8" w:rsidRPr="00E2137F" w:rsidRDefault="00A82C29" w:rsidP="001E4361">
            <w:r>
              <w:t>159</w:t>
            </w:r>
          </w:p>
        </w:tc>
      </w:tr>
      <w:tr w:rsidR="001D1AB8" w:rsidRPr="00E2137F" w14:paraId="716778B3" w14:textId="77777777" w:rsidTr="006A45E9">
        <w:trPr>
          <w:trHeight w:val="243"/>
        </w:trPr>
        <w:tc>
          <w:tcPr>
            <w:tcW w:w="8319" w:type="dxa"/>
          </w:tcPr>
          <w:p w14:paraId="57A816A8" w14:textId="1A186BD7" w:rsidR="001D1AB8" w:rsidRPr="00E2137F" w:rsidRDefault="006A45E9" w:rsidP="001E4361">
            <w:r w:rsidRPr="00E2137F">
              <w:t>Figure 5.9 Hemocytes with mutations in Dome do not display different rates of efferocytosis</w:t>
            </w:r>
          </w:p>
        </w:tc>
        <w:tc>
          <w:tcPr>
            <w:tcW w:w="697" w:type="dxa"/>
          </w:tcPr>
          <w:p w14:paraId="667A0039" w14:textId="66F57C1C" w:rsidR="001D1AB8" w:rsidRPr="00E2137F" w:rsidRDefault="00A82C29" w:rsidP="001E4361">
            <w:r>
              <w:t>161</w:t>
            </w:r>
          </w:p>
        </w:tc>
      </w:tr>
      <w:tr w:rsidR="001D1AB8" w:rsidRPr="00E2137F" w14:paraId="3A56B8C0" w14:textId="77777777" w:rsidTr="006A45E9">
        <w:trPr>
          <w:trHeight w:val="243"/>
        </w:trPr>
        <w:tc>
          <w:tcPr>
            <w:tcW w:w="8319" w:type="dxa"/>
          </w:tcPr>
          <w:p w14:paraId="298E5DBF" w14:textId="4F7BD4A0" w:rsidR="001D1AB8" w:rsidRPr="00E2137F" w:rsidRDefault="006A45E9" w:rsidP="001E4361">
            <w:r w:rsidRPr="00E2137F">
              <w:t>Figure 5.10 Hemocytes with mutations in Dome do not display different rates of efferocytosis</w:t>
            </w:r>
          </w:p>
        </w:tc>
        <w:tc>
          <w:tcPr>
            <w:tcW w:w="697" w:type="dxa"/>
          </w:tcPr>
          <w:p w14:paraId="55AF1F75" w14:textId="7B13A57C" w:rsidR="00A82C29" w:rsidRPr="00E2137F" w:rsidRDefault="00A82C29" w:rsidP="001E4361">
            <w:r>
              <w:t>163</w:t>
            </w:r>
          </w:p>
        </w:tc>
      </w:tr>
      <w:tr w:rsidR="001D1AB8" w:rsidRPr="00E2137F" w14:paraId="68C85AD5" w14:textId="77777777" w:rsidTr="006A45E9">
        <w:trPr>
          <w:trHeight w:val="243"/>
        </w:trPr>
        <w:tc>
          <w:tcPr>
            <w:tcW w:w="8319" w:type="dxa"/>
          </w:tcPr>
          <w:p w14:paraId="2BFA7126" w14:textId="2C752776" w:rsidR="001D1AB8" w:rsidRPr="00E2137F" w:rsidRDefault="006A45E9" w:rsidP="001E4361">
            <w:r w:rsidRPr="00E2137F">
              <w:t>Figure 5.11 Expression of constitutively active Jak/Hop in hemocytes does not alter wound responses</w:t>
            </w:r>
          </w:p>
        </w:tc>
        <w:tc>
          <w:tcPr>
            <w:tcW w:w="697" w:type="dxa"/>
          </w:tcPr>
          <w:p w14:paraId="41D378A6" w14:textId="62FC81A7" w:rsidR="001D1AB8" w:rsidRPr="00E2137F" w:rsidRDefault="00A82C29" w:rsidP="001E4361">
            <w:r>
              <w:t>165</w:t>
            </w:r>
          </w:p>
        </w:tc>
      </w:tr>
      <w:tr w:rsidR="001D1AB8" w:rsidRPr="00E2137F" w14:paraId="515715D8" w14:textId="77777777" w:rsidTr="006A45E9">
        <w:trPr>
          <w:trHeight w:val="243"/>
        </w:trPr>
        <w:tc>
          <w:tcPr>
            <w:tcW w:w="8319" w:type="dxa"/>
          </w:tcPr>
          <w:p w14:paraId="6951981C" w14:textId="784209FF" w:rsidR="001D1AB8" w:rsidRPr="00E2137F" w:rsidRDefault="006A45E9" w:rsidP="001E4361">
            <w:r w:rsidRPr="00E2137F">
              <w:t>Figure 5.12 Hemocytes overexpressing Hop do not display different wound responses</w:t>
            </w:r>
          </w:p>
        </w:tc>
        <w:tc>
          <w:tcPr>
            <w:tcW w:w="697" w:type="dxa"/>
          </w:tcPr>
          <w:p w14:paraId="7A45583D" w14:textId="7ED3DA04" w:rsidR="001D1AB8" w:rsidRPr="00E2137F" w:rsidRDefault="00A82C29" w:rsidP="001E4361">
            <w:r>
              <w:t>166</w:t>
            </w:r>
          </w:p>
        </w:tc>
      </w:tr>
      <w:tr w:rsidR="001D1AB8" w:rsidRPr="00E2137F" w14:paraId="18C12FC7" w14:textId="77777777" w:rsidTr="006A45E9">
        <w:trPr>
          <w:trHeight w:val="243"/>
        </w:trPr>
        <w:tc>
          <w:tcPr>
            <w:tcW w:w="8319" w:type="dxa"/>
          </w:tcPr>
          <w:p w14:paraId="14EDD8B6" w14:textId="67BE2627" w:rsidR="001D1AB8" w:rsidRPr="00E2137F" w:rsidRDefault="006A45E9" w:rsidP="001E4361">
            <w:r w:rsidRPr="00E2137F">
              <w:t>Figure 5.13 Hemocytes with overexpression of socs36e do not display different wound responses</w:t>
            </w:r>
          </w:p>
        </w:tc>
        <w:tc>
          <w:tcPr>
            <w:tcW w:w="697" w:type="dxa"/>
          </w:tcPr>
          <w:p w14:paraId="039F7E69" w14:textId="17878D06" w:rsidR="001D1AB8" w:rsidRPr="00E2137F" w:rsidRDefault="00A82C29" w:rsidP="001E4361">
            <w:r>
              <w:t>167</w:t>
            </w:r>
          </w:p>
        </w:tc>
      </w:tr>
      <w:tr w:rsidR="001D1AB8" w:rsidRPr="00E2137F" w14:paraId="68A40FE3" w14:textId="77777777" w:rsidTr="006A45E9">
        <w:trPr>
          <w:trHeight w:val="243"/>
        </w:trPr>
        <w:tc>
          <w:tcPr>
            <w:tcW w:w="8319" w:type="dxa"/>
          </w:tcPr>
          <w:p w14:paraId="4652B085" w14:textId="6CC5F932" w:rsidR="001D1AB8" w:rsidRPr="00E2137F" w:rsidRDefault="006A45E9" w:rsidP="001E4361">
            <w:r w:rsidRPr="00E2137F">
              <w:t>Figure 5.14 Hemocytes with mutations in Dome do not display different rates of efferocytosis</w:t>
            </w:r>
          </w:p>
        </w:tc>
        <w:tc>
          <w:tcPr>
            <w:tcW w:w="697" w:type="dxa"/>
          </w:tcPr>
          <w:p w14:paraId="6D4AC63D" w14:textId="3413E00A" w:rsidR="001D1AB8" w:rsidRPr="00E2137F" w:rsidRDefault="00A82C29" w:rsidP="001E4361">
            <w:r>
              <w:t>169</w:t>
            </w:r>
          </w:p>
        </w:tc>
      </w:tr>
      <w:tr w:rsidR="001D1AB8" w:rsidRPr="00E2137F" w14:paraId="7E17BCA7" w14:textId="77777777" w:rsidTr="006A45E9">
        <w:trPr>
          <w:trHeight w:val="243"/>
        </w:trPr>
        <w:tc>
          <w:tcPr>
            <w:tcW w:w="8319" w:type="dxa"/>
          </w:tcPr>
          <w:p w14:paraId="79026FDF" w14:textId="5765348E" w:rsidR="001D1AB8" w:rsidRPr="00E2137F" w:rsidRDefault="006A45E9" w:rsidP="001E4361">
            <w:r w:rsidRPr="00E2137F">
              <w:t xml:space="preserve">Figure 5.15 Hemocyte-specific knockdown of </w:t>
            </w:r>
            <w:r w:rsidRPr="00E2137F">
              <w:rPr>
                <w:i/>
              </w:rPr>
              <w:t xml:space="preserve">socs36e </w:t>
            </w:r>
            <w:r w:rsidRPr="00E2137F">
              <w:t>does not alter wound responses</w:t>
            </w:r>
          </w:p>
        </w:tc>
        <w:tc>
          <w:tcPr>
            <w:tcW w:w="697" w:type="dxa"/>
          </w:tcPr>
          <w:p w14:paraId="6D8ABA3E" w14:textId="3F529678" w:rsidR="001D1AB8" w:rsidRPr="00E2137F" w:rsidRDefault="00A82C29" w:rsidP="001E4361">
            <w:r>
              <w:t>170</w:t>
            </w:r>
          </w:p>
        </w:tc>
      </w:tr>
      <w:tr w:rsidR="00A13915" w:rsidRPr="00E2137F" w14:paraId="1968D1F0" w14:textId="77777777" w:rsidTr="006A45E9">
        <w:trPr>
          <w:trHeight w:val="243"/>
        </w:trPr>
        <w:tc>
          <w:tcPr>
            <w:tcW w:w="8319" w:type="dxa"/>
          </w:tcPr>
          <w:p w14:paraId="47E0A632" w14:textId="3400B3C0" w:rsidR="00A13915" w:rsidRPr="00E2137F" w:rsidRDefault="00B41611" w:rsidP="00B41611">
            <w:pPr>
              <w:pStyle w:val="NoSpacing"/>
              <w:rPr>
                <w:sz w:val="22"/>
                <w:szCs w:val="22"/>
              </w:rPr>
            </w:pPr>
            <w:r w:rsidRPr="00E2137F">
              <w:rPr>
                <w:sz w:val="22"/>
                <w:szCs w:val="22"/>
              </w:rPr>
              <w:t>Figure 5.16 Summary of chapter 5 findings</w:t>
            </w:r>
          </w:p>
        </w:tc>
        <w:tc>
          <w:tcPr>
            <w:tcW w:w="697" w:type="dxa"/>
          </w:tcPr>
          <w:p w14:paraId="10549F1D" w14:textId="208DBD24" w:rsidR="00A13915" w:rsidRPr="00E2137F" w:rsidRDefault="00B41611" w:rsidP="001E4361">
            <w:r w:rsidRPr="00E2137F">
              <w:t>1</w:t>
            </w:r>
            <w:r w:rsidR="00A82C29">
              <w:t>76</w:t>
            </w:r>
          </w:p>
        </w:tc>
      </w:tr>
      <w:tr w:rsidR="001D1AB8" w:rsidRPr="00E2137F" w14:paraId="29F3879F" w14:textId="77777777" w:rsidTr="006A45E9">
        <w:trPr>
          <w:trHeight w:val="243"/>
        </w:trPr>
        <w:tc>
          <w:tcPr>
            <w:tcW w:w="8319" w:type="dxa"/>
          </w:tcPr>
          <w:p w14:paraId="403357E3" w14:textId="77777777" w:rsidR="001D1AB8" w:rsidRPr="00E2137F" w:rsidRDefault="001D1AB8" w:rsidP="001E4361">
            <w:r w:rsidRPr="00E2137F">
              <w:t>Figure 6.1. Schematic of the main findings in this thesis</w:t>
            </w:r>
          </w:p>
        </w:tc>
        <w:tc>
          <w:tcPr>
            <w:tcW w:w="697" w:type="dxa"/>
          </w:tcPr>
          <w:p w14:paraId="0CBF8239" w14:textId="241FD38A" w:rsidR="001D1AB8" w:rsidRPr="00E2137F" w:rsidRDefault="000A0B44" w:rsidP="001E4361">
            <w:r w:rsidRPr="00E2137F">
              <w:t>18</w:t>
            </w:r>
            <w:r w:rsidR="00B41611" w:rsidRPr="00E2137F">
              <w:t>8</w:t>
            </w:r>
          </w:p>
        </w:tc>
      </w:tr>
    </w:tbl>
    <w:p w14:paraId="7EA69A1A" w14:textId="77777777" w:rsidR="001D1AB8" w:rsidRDefault="001D1AB8" w:rsidP="001D1AB8"/>
    <w:p w14:paraId="5872D240" w14:textId="77777777" w:rsidR="001D1AB8" w:rsidRDefault="001D1AB8" w:rsidP="001D1AB8">
      <w:pPr>
        <w:pStyle w:val="Heading1"/>
      </w:pPr>
      <w:bookmarkStart w:id="21" w:name="_Toc531876415"/>
      <w:bookmarkStart w:id="22" w:name="_Toc4589253"/>
      <w:r>
        <w:t>Table of tables</w:t>
      </w:r>
      <w:bookmarkEnd w:id="21"/>
      <w:bookmarkEnd w:id="22"/>
    </w:p>
    <w:tbl>
      <w:tblPr>
        <w:tblW w:w="0" w:type="auto"/>
        <w:tblLook w:val="04A0" w:firstRow="1" w:lastRow="0" w:firstColumn="1" w:lastColumn="0" w:noHBand="0" w:noVBand="1"/>
      </w:tblPr>
      <w:tblGrid>
        <w:gridCol w:w="8369"/>
        <w:gridCol w:w="657"/>
      </w:tblGrid>
      <w:tr w:rsidR="001D1AB8" w14:paraId="4F86FD22" w14:textId="77777777" w:rsidTr="00393E4C">
        <w:tc>
          <w:tcPr>
            <w:tcW w:w="8500" w:type="dxa"/>
          </w:tcPr>
          <w:p w14:paraId="47F8D65D" w14:textId="77777777" w:rsidR="001D1AB8" w:rsidRPr="00432783" w:rsidRDefault="001D1AB8" w:rsidP="001E4361">
            <w:pPr>
              <w:rPr>
                <w:b/>
                <w:u w:val="single"/>
              </w:rPr>
            </w:pPr>
            <w:r w:rsidRPr="00432783">
              <w:rPr>
                <w:b/>
                <w:u w:val="single"/>
              </w:rPr>
              <w:t>Table</w:t>
            </w:r>
          </w:p>
        </w:tc>
        <w:tc>
          <w:tcPr>
            <w:tcW w:w="510" w:type="dxa"/>
          </w:tcPr>
          <w:p w14:paraId="304483F4" w14:textId="77777777" w:rsidR="001D1AB8" w:rsidRPr="00432783" w:rsidRDefault="001D1AB8" w:rsidP="001E4361">
            <w:pPr>
              <w:rPr>
                <w:b/>
                <w:u w:val="single"/>
              </w:rPr>
            </w:pPr>
            <w:r w:rsidRPr="00432783">
              <w:rPr>
                <w:b/>
                <w:u w:val="single"/>
              </w:rPr>
              <w:t>Page</w:t>
            </w:r>
          </w:p>
        </w:tc>
      </w:tr>
      <w:tr w:rsidR="006A45E9" w14:paraId="595D9739" w14:textId="77777777" w:rsidTr="00393E4C">
        <w:tc>
          <w:tcPr>
            <w:tcW w:w="8500" w:type="dxa"/>
          </w:tcPr>
          <w:p w14:paraId="46BC42BD" w14:textId="769F5984" w:rsidR="006A45E9" w:rsidRPr="006A45E9" w:rsidRDefault="006A45E9" w:rsidP="001E4361">
            <w:r w:rsidRPr="006A45E9">
              <w:t>Table 2.1 GAL4 drivers used for hemocyte-specific expression</w:t>
            </w:r>
          </w:p>
        </w:tc>
        <w:tc>
          <w:tcPr>
            <w:tcW w:w="510" w:type="dxa"/>
          </w:tcPr>
          <w:p w14:paraId="3F592141" w14:textId="5916DF3D" w:rsidR="006A45E9" w:rsidRDefault="00A82C29" w:rsidP="001E4361">
            <w:r>
              <w:t>33</w:t>
            </w:r>
          </w:p>
        </w:tc>
      </w:tr>
      <w:tr w:rsidR="006A45E9" w14:paraId="707BBA72" w14:textId="77777777" w:rsidTr="00393E4C">
        <w:tc>
          <w:tcPr>
            <w:tcW w:w="8500" w:type="dxa"/>
          </w:tcPr>
          <w:p w14:paraId="0C202E01" w14:textId="76AC1262" w:rsidR="006A45E9" w:rsidRPr="006A45E9" w:rsidRDefault="006A45E9" w:rsidP="001E4361">
            <w:r w:rsidRPr="006A45E9">
              <w:t>Table 2.2 UAS lines used to mark reporter expression</w:t>
            </w:r>
          </w:p>
        </w:tc>
        <w:tc>
          <w:tcPr>
            <w:tcW w:w="510" w:type="dxa"/>
          </w:tcPr>
          <w:p w14:paraId="49919130" w14:textId="6B92B777" w:rsidR="006A45E9" w:rsidRDefault="00393E4C" w:rsidP="001E4361">
            <w:r>
              <w:t>33</w:t>
            </w:r>
          </w:p>
        </w:tc>
      </w:tr>
      <w:tr w:rsidR="006A45E9" w14:paraId="3EA6A9DC" w14:textId="77777777" w:rsidTr="00393E4C">
        <w:tc>
          <w:tcPr>
            <w:tcW w:w="8500" w:type="dxa"/>
          </w:tcPr>
          <w:p w14:paraId="652D5DF8" w14:textId="5D95EA2B" w:rsidR="006A45E9" w:rsidRPr="006A45E9" w:rsidRDefault="006A45E9" w:rsidP="001E4361">
            <w:r w:rsidRPr="006A45E9">
              <w:t>Table 2.3 Other UAS lines used in this study</w:t>
            </w:r>
          </w:p>
        </w:tc>
        <w:tc>
          <w:tcPr>
            <w:tcW w:w="510" w:type="dxa"/>
          </w:tcPr>
          <w:p w14:paraId="187AEB6E" w14:textId="552AF2E3" w:rsidR="006A45E9" w:rsidRDefault="00A82C29" w:rsidP="001E4361">
            <w:r>
              <w:t>34</w:t>
            </w:r>
          </w:p>
        </w:tc>
      </w:tr>
      <w:tr w:rsidR="006A45E9" w14:paraId="375C5E04" w14:textId="77777777" w:rsidTr="00393E4C">
        <w:tc>
          <w:tcPr>
            <w:tcW w:w="8500" w:type="dxa"/>
          </w:tcPr>
          <w:p w14:paraId="38C35A56" w14:textId="0ED546F1" w:rsidR="006A45E9" w:rsidRPr="006A45E9" w:rsidRDefault="006A45E9" w:rsidP="001E4361">
            <w:r w:rsidRPr="006A45E9">
              <w:t>Table 2.4 Mutant alleles used in this study</w:t>
            </w:r>
          </w:p>
        </w:tc>
        <w:tc>
          <w:tcPr>
            <w:tcW w:w="510" w:type="dxa"/>
          </w:tcPr>
          <w:p w14:paraId="396D7633" w14:textId="11CB6622" w:rsidR="006A45E9" w:rsidRDefault="00A82C29" w:rsidP="001E4361">
            <w:r>
              <w:t>35</w:t>
            </w:r>
          </w:p>
        </w:tc>
      </w:tr>
      <w:tr w:rsidR="006A45E9" w14:paraId="4A6CF83D" w14:textId="77777777" w:rsidTr="00393E4C">
        <w:tc>
          <w:tcPr>
            <w:tcW w:w="8500" w:type="dxa"/>
          </w:tcPr>
          <w:p w14:paraId="20AF6009" w14:textId="0B147B5C" w:rsidR="006A45E9" w:rsidRPr="006A45E9" w:rsidRDefault="006A45E9" w:rsidP="001E4361">
            <w:r w:rsidRPr="006A45E9">
              <w:lastRenderedPageBreak/>
              <w:t>Table 2.5 Genetic deficiencies used in this study</w:t>
            </w:r>
          </w:p>
        </w:tc>
        <w:tc>
          <w:tcPr>
            <w:tcW w:w="510" w:type="dxa"/>
          </w:tcPr>
          <w:p w14:paraId="0303F8D0" w14:textId="1B532109" w:rsidR="006A45E9" w:rsidRDefault="00393E4C" w:rsidP="00393E4C">
            <w:r>
              <w:t>36</w:t>
            </w:r>
          </w:p>
        </w:tc>
      </w:tr>
      <w:tr w:rsidR="001D1AB8" w14:paraId="1A0F2F3F" w14:textId="77777777" w:rsidTr="00393E4C">
        <w:tc>
          <w:tcPr>
            <w:tcW w:w="8500" w:type="dxa"/>
          </w:tcPr>
          <w:p w14:paraId="08A9E4DC" w14:textId="43AC38BC" w:rsidR="001D1AB8" w:rsidRPr="006A45E9" w:rsidRDefault="006A45E9" w:rsidP="001E4361">
            <w:r w:rsidRPr="006A45E9">
              <w:t>Table 2.6 Primer sequences used in this study</w:t>
            </w:r>
          </w:p>
        </w:tc>
        <w:tc>
          <w:tcPr>
            <w:tcW w:w="510" w:type="dxa"/>
          </w:tcPr>
          <w:p w14:paraId="78BD87C9" w14:textId="506D7B35" w:rsidR="001D1AB8" w:rsidRDefault="00A82C29" w:rsidP="001E4361">
            <w:r>
              <w:t>46</w:t>
            </w:r>
          </w:p>
        </w:tc>
      </w:tr>
      <w:tr w:rsidR="001D1AB8" w14:paraId="63F66814" w14:textId="77777777" w:rsidTr="00393E4C">
        <w:tc>
          <w:tcPr>
            <w:tcW w:w="8500" w:type="dxa"/>
          </w:tcPr>
          <w:p w14:paraId="539435DD" w14:textId="3C945867" w:rsidR="001D1AB8" w:rsidRPr="006A45E9" w:rsidRDefault="001D1AB8" w:rsidP="001E4361">
            <w:pPr>
              <w:pStyle w:val="NoSpacing"/>
            </w:pPr>
            <w:r w:rsidRPr="006A45E9">
              <w:t xml:space="preserve">Table 3.1 </w:t>
            </w:r>
            <w:r w:rsidR="001E4361" w:rsidRPr="006A45E9">
              <w:t>Enhancer lines investigated in this study</w:t>
            </w:r>
          </w:p>
        </w:tc>
        <w:tc>
          <w:tcPr>
            <w:tcW w:w="510" w:type="dxa"/>
          </w:tcPr>
          <w:p w14:paraId="77E33F0A" w14:textId="45D28469" w:rsidR="001D1AB8" w:rsidRDefault="00A82C29" w:rsidP="001E4361">
            <w:r>
              <w:t>55</w:t>
            </w:r>
          </w:p>
        </w:tc>
      </w:tr>
      <w:tr w:rsidR="001D1AB8" w14:paraId="07464D72" w14:textId="77777777" w:rsidTr="00393E4C">
        <w:tc>
          <w:tcPr>
            <w:tcW w:w="8500" w:type="dxa"/>
          </w:tcPr>
          <w:p w14:paraId="4C2DF91D" w14:textId="0C364DCA" w:rsidR="001D1AB8" w:rsidRPr="001E4361" w:rsidRDefault="001E4361" w:rsidP="001E4361">
            <w:r w:rsidRPr="001E4361">
              <w:t>Table 3.2 Potential genes being controlled by our enhancers</w:t>
            </w:r>
          </w:p>
        </w:tc>
        <w:tc>
          <w:tcPr>
            <w:tcW w:w="510" w:type="dxa"/>
          </w:tcPr>
          <w:p w14:paraId="1ABAB1DE" w14:textId="6A6AF17F" w:rsidR="001D1AB8" w:rsidRDefault="00A82C29" w:rsidP="001E4361">
            <w:r>
              <w:t>82</w:t>
            </w:r>
          </w:p>
        </w:tc>
      </w:tr>
      <w:tr w:rsidR="001D1AB8" w14:paraId="48045BBB" w14:textId="77777777" w:rsidTr="00393E4C">
        <w:tc>
          <w:tcPr>
            <w:tcW w:w="8500" w:type="dxa"/>
          </w:tcPr>
          <w:p w14:paraId="2F15BFF1" w14:textId="7E8F700B" w:rsidR="001D1AB8" w:rsidRPr="0057793C" w:rsidRDefault="001E4361" w:rsidP="001E4361">
            <w:r>
              <w:t>Table 4.1 Signalling pathways and components involved in macrophage</w:t>
            </w:r>
            <w:r w:rsidRPr="001E4361">
              <w:t xml:space="preserve"> polarisation</w:t>
            </w:r>
          </w:p>
        </w:tc>
        <w:tc>
          <w:tcPr>
            <w:tcW w:w="510" w:type="dxa"/>
          </w:tcPr>
          <w:p w14:paraId="70715CDC" w14:textId="03EE6907" w:rsidR="001D1AB8" w:rsidRDefault="00A82C29" w:rsidP="001E4361">
            <w:r>
              <w:t>97</w:t>
            </w:r>
          </w:p>
        </w:tc>
      </w:tr>
      <w:tr w:rsidR="00393E4C" w14:paraId="0999D827" w14:textId="77777777" w:rsidTr="00393E4C">
        <w:tc>
          <w:tcPr>
            <w:tcW w:w="8500" w:type="dxa"/>
          </w:tcPr>
          <w:p w14:paraId="65DC5AAD" w14:textId="21601842" w:rsidR="00393E4C" w:rsidRDefault="00393E4C" w:rsidP="001E4361">
            <w:r w:rsidRPr="0057793C">
              <w:t xml:space="preserve">Table 4.2 Results of screening macrophage polarisation pathways in </w:t>
            </w:r>
            <w:r w:rsidRPr="0057793C">
              <w:rPr>
                <w:i/>
              </w:rPr>
              <w:t>Drosophila</w:t>
            </w:r>
          </w:p>
        </w:tc>
        <w:tc>
          <w:tcPr>
            <w:tcW w:w="510" w:type="dxa"/>
          </w:tcPr>
          <w:p w14:paraId="518F82CD" w14:textId="6DD02633" w:rsidR="00393E4C" w:rsidRDefault="00A82C29" w:rsidP="00A82C29">
            <w:r>
              <w:t>135</w:t>
            </w:r>
          </w:p>
        </w:tc>
      </w:tr>
    </w:tbl>
    <w:p w14:paraId="6A3FFFDB" w14:textId="77777777" w:rsidR="001D1AB8" w:rsidRDefault="001D1AB8" w:rsidP="001D1AB8"/>
    <w:p w14:paraId="3447561E" w14:textId="77777777" w:rsidR="001D1AB8" w:rsidRDefault="001D1AB8" w:rsidP="001D1AB8"/>
    <w:p w14:paraId="2FBF8368" w14:textId="77777777" w:rsidR="001D1AB8" w:rsidRDefault="001D1AB8" w:rsidP="001D1AB8"/>
    <w:p w14:paraId="612103B2" w14:textId="77777777" w:rsidR="001D1AB8" w:rsidRDefault="001D1AB8">
      <w:r>
        <w:br w:type="page"/>
      </w:r>
    </w:p>
    <w:p w14:paraId="4A97B87A" w14:textId="77777777" w:rsidR="001D1AB8" w:rsidRDefault="001D1AB8" w:rsidP="001D1AB8">
      <w:pPr>
        <w:pStyle w:val="Heading1"/>
      </w:pPr>
      <w:bookmarkStart w:id="23" w:name="_Toc502936275"/>
      <w:bookmarkStart w:id="24" w:name="_Toc4589254"/>
      <w:r>
        <w:lastRenderedPageBreak/>
        <w:t>Chapter 1. Introduction</w:t>
      </w:r>
      <w:bookmarkEnd w:id="23"/>
      <w:bookmarkEnd w:id="24"/>
      <w:r>
        <w:t xml:space="preserve"> </w:t>
      </w:r>
    </w:p>
    <w:p w14:paraId="398D00FB" w14:textId="77777777" w:rsidR="001D1AB8" w:rsidRDefault="001D1AB8" w:rsidP="001D1AB8"/>
    <w:p w14:paraId="716B5CCC" w14:textId="77777777" w:rsidR="001D1AB8" w:rsidRDefault="001D1AB8" w:rsidP="001D1AB8">
      <w:pPr>
        <w:pStyle w:val="Heading2"/>
        <w:numPr>
          <w:ilvl w:val="1"/>
          <w:numId w:val="1"/>
        </w:numPr>
        <w:spacing w:line="276" w:lineRule="auto"/>
      </w:pPr>
      <w:r>
        <w:t xml:space="preserve"> </w:t>
      </w:r>
      <w:bookmarkStart w:id="25" w:name="_Toc502936276"/>
      <w:bookmarkStart w:id="26" w:name="_Toc4589255"/>
      <w:r>
        <w:t>Overview</w:t>
      </w:r>
      <w:bookmarkEnd w:id="25"/>
      <w:bookmarkEnd w:id="26"/>
      <w:r>
        <w:t xml:space="preserve"> </w:t>
      </w:r>
    </w:p>
    <w:p w14:paraId="3ED3E01E" w14:textId="77777777" w:rsidR="001D1AB8" w:rsidRDefault="001D1AB8" w:rsidP="001D1AB8">
      <w:pPr>
        <w:pStyle w:val="Thesisnormal"/>
      </w:pPr>
    </w:p>
    <w:p w14:paraId="6149A8DA" w14:textId="77777777" w:rsidR="001D1AB8" w:rsidRPr="00333A0C" w:rsidRDefault="001D1AB8" w:rsidP="001D1AB8">
      <w:pPr>
        <w:pStyle w:val="Thesisnormal"/>
      </w:pPr>
      <w:r>
        <w:t xml:space="preserve">In order to survive, all organisms must protect themselves from both infection and injury. To do this, multicellular organisms posses specialised cells and tissues that form the immune system. More evolutionarily advanced organisms possess both innate and adaptive immune responses. However, this adaptive response is not essential to survival as animals possessing only an innate immune system survive, and thrive, well in nature. This powerful innate immune system is present in invertebrates such as </w:t>
      </w:r>
      <w:r>
        <w:rPr>
          <w:i/>
        </w:rPr>
        <w:t>Drosophila melanogaster (Drosophila)</w:t>
      </w:r>
      <w:r>
        <w:t xml:space="preserve">. One of the most important innate immune cells is the macrophage which is crucial for normal development, tissue repair and clearance of pathogens. These cells are of such importance that specialised subpopulations reside within all tissues in the human body. During normal homeostasis, these tissue resident macrophages clear dead cells, perform repair functions and maintain the tissue microenvironment. However, during infection these cells phagocytose pathogens, secrete pro-inflammatory mediators and activate the adaptive immune response. These opposing functions of kill or repair are the result of macrophage polarisation and shift in effector functions. To date, there has been little study into macrophage heterogeneity and polarisation beyond fish, with almost no investigations into this behaviour in flies. In this thesis, I will investigate the existence and function of macrophage subtypes in </w:t>
      </w:r>
      <w:r>
        <w:rPr>
          <w:i/>
        </w:rPr>
        <w:t>Drosophila</w:t>
      </w:r>
      <w:r>
        <w:t xml:space="preserve">. </w:t>
      </w:r>
    </w:p>
    <w:p w14:paraId="61DF97BF" w14:textId="77777777" w:rsidR="001D1AB8" w:rsidRDefault="001D1AB8" w:rsidP="001D1AB8">
      <w:pPr>
        <w:pStyle w:val="Thesisnormal"/>
      </w:pPr>
    </w:p>
    <w:p w14:paraId="59CD7172" w14:textId="77777777" w:rsidR="001D1AB8" w:rsidRDefault="001D1AB8" w:rsidP="001D1AB8">
      <w:pPr>
        <w:pStyle w:val="Heading3"/>
      </w:pPr>
      <w:r>
        <w:t xml:space="preserve"> </w:t>
      </w:r>
      <w:r>
        <w:tab/>
      </w:r>
      <w:bookmarkStart w:id="27" w:name="_Toc502936277"/>
      <w:bookmarkStart w:id="28" w:name="_Toc4589256"/>
      <w:r>
        <w:t>1.1.1 Vertebrate hematopoiesis</w:t>
      </w:r>
      <w:bookmarkEnd w:id="27"/>
      <w:bookmarkEnd w:id="28"/>
      <w:r>
        <w:t xml:space="preserve"> </w:t>
      </w:r>
    </w:p>
    <w:p w14:paraId="3986144E" w14:textId="77777777" w:rsidR="001D1AB8" w:rsidRDefault="001D1AB8" w:rsidP="006A45E9">
      <w:pPr>
        <w:pStyle w:val="Thesisnormal"/>
      </w:pPr>
    </w:p>
    <w:p w14:paraId="22F25905" w14:textId="6F1D0508" w:rsidR="00ED6040" w:rsidRPr="00ED6040" w:rsidRDefault="001D1AB8" w:rsidP="00ED6040">
      <w:pPr>
        <w:pStyle w:val="Thesisnormal"/>
      </w:pPr>
      <w:r>
        <w:t xml:space="preserve">Human hematopoiesis is relatively well characterised </w:t>
      </w:r>
      <w:r>
        <w:fldChar w:fldCharType="begin"/>
      </w:r>
      <w:r w:rsidR="000A209C">
        <w:instrText xml:space="preserve"> ADDIN ZOTERO_ITEM CSL_CITATION {"citationID":"YiOxcRyX","properties":{"formattedCitation":"(1,2)","plainCitation":"(1,2)","noteIndex":0},"citationItems":[{"id":1425,"uris":["http://zotero.org/users/952979/items/456RXVM5"],"uri":["http://zotero.org/users/952979/items/456RXVM5"],"itemData":{"id":1425,"type":"book","title":"Color atlas of hematology: practical microscopic and clinical diagnosis","publisher":"Thieme","publisher-place":"Stuttgart; New York","source":"Open WorldCat","event-place":"Stuttgart; New York","ISBN":"978-3-13-673102-4","shortTitle":"Color atlas of hematology","language":"English","author":[{"family":"Theml","given":"Harald"},{"family":"Diem","given":"Heinz"},{"family":"Haferlach","given":"Torsten"},{"family":"Theml","given":"Harald"}],"issued":{"date-parts":[["2004"]]}}},{"id":24,"uris":["http://zotero.org/users/952979/items/KJ9F352J"],"uri":["http://zotero.org/users/952979/items/KJ9F352J"],"itemData":{"id":24,"type":"article-journal","title":"Blood cells and blood cell development in the animal kingdom","container-title":"Annual Review of Cell and Developmental Biology","page":"677-712","volume":"22","source":"PubMed","abstract":"Recent findings strongly suggest that the molecular pathways involved in the development and function of blood cells are highly conserved among vertebrates and various invertebrate phyla. This has led to a renewed interest regarding homologies between blood cell types and their developmental origin among different animals. One way to address these areas of inquiry is to shed more light on the biology of blood cells in extant invertebrate taxa that have branched off the bilaterian tree in between insects and vertebrates. This review attempts, in a broadly comparative manner, to update the existing literature that deals with early blood cell development. I begin by providing a brief survey of the different types of blood cell lineages among metazoa. There is now good reason to believe that, in vertebrates and invertebrates alike, blood cell lineages diverge from a common type of progenitor cell, the hemocytoblast. I give a synopsis of the origin and determination of the hematocytoblast, beginning with a look at the hematopoietic organs that house hemocytoblasts in adult animals, followed by a more detailed overview of the embryonic development of the hematopoietic organ. Finally, I compare the process of blood lineage diversification in vertebrates and Drosophila.","DOI":"10.1146/annurev.cellbio.22.010605.093317","ISSN":"1081-0706","note":"PMID: 16824014","journalAbbreviation":"Annu. Rev. Cell Dev. Biol.","language":"eng","author":[{"family":"Hartenstein","given":"Volker"}],"issued":{"date-parts":[["2006"]]}}}],"schema":"https://github.com/citation-style-language/schema/raw/master/csl-citation.json"} </w:instrText>
      </w:r>
      <w:r>
        <w:fldChar w:fldCharType="separate"/>
      </w:r>
      <w:r w:rsidR="009C2B02" w:rsidRPr="009C2B02">
        <w:rPr>
          <w:rFonts w:ascii="Calibri" w:hAnsi="Calibri"/>
        </w:rPr>
        <w:t>(1,2)</w:t>
      </w:r>
      <w:r>
        <w:fldChar w:fldCharType="end"/>
      </w:r>
      <w:r>
        <w:t>. There are two major blood cell lineages in humans, the lymphoid lineage associated with the adaptive immune system and the myeloid lineage which gives rise to macrophages and other innate immune cells (</w:t>
      </w:r>
      <w:r w:rsidRPr="00373FEF">
        <w:t>Fig</w:t>
      </w:r>
      <w:r w:rsidRPr="00335A96">
        <w:t xml:space="preserve"> 1.1</w:t>
      </w:r>
      <w:r>
        <w:t>). Monocyte-derived m</w:t>
      </w:r>
      <w:r w:rsidRPr="00CE341A">
        <w:t>acrophages</w:t>
      </w:r>
      <w:r>
        <w:t xml:space="preserve"> originate from pluripotent hematopoietic stem cells found in the bone marrow that can differentiate into all blood cells found in vertebrates. In the case of macrophages, this pluripotent stem cell first becomes a common myeloid progenitor, which can develop into either the myeloblast or pro-erythroblast. Myeloblasts then give rise to monoblasts which ultimately develop into monocytes in the blood </w:t>
      </w:r>
      <w:r>
        <w:fldChar w:fldCharType="begin"/>
      </w:r>
      <w:r w:rsidR="000A209C">
        <w:instrText xml:space="preserve"> ADDIN ZOTERO_ITEM CSL_CITATION {"citationID":"9470c402k","properties":{"formattedCitation":"(1,3,4)","plainCitation":"(1,3,4)","noteIndex":0},"citationItems":[{"id":1437,"uris":["http://zotero.org/users/952979/items/IEUM8B72"],"uri":["http://zotero.org/users/952979/items/IEUM8B72"],"itemData":{"id":1437,"type":"article-journal","title":"Functional conservation of hematopoietic factors in Drosophila and vertebrates","container-title":"Differentiation; Research in Biological Diversity","page":"83-90","volume":"69","issue":"2-3","source":"PubMed","abstract":"The GATA, Friend of GATA, and Runt homology domain protein families function during hematopoiesis to promote progenitor cell development and regulate lineage commitment and differentiation. The hematopoietic functions of these factors have been remarkably conserved across taxonomic groups, ranging from flies to humans. Furthermore, aspects of hematopoiesis and hemocyte function appear to be conserved. Thus, comparative studies using Drosophila and vertebrate models should enhance our understanding of blood cell development.","DOI":"10.1046/j.1432-0436.2001.690202.x","ISSN":"0301-4681","note":"PMID: 11798069","journalAbbreviation":"Differentiation","language":"eng","author":[{"family":"Fossett","given":"N."},{"family":"Schulz","given":"R. A."}],"issued":{"date-parts":[["2001",12]]}}},{"id":1425,"uris":["http://zotero.org/users/952979/items/456RXVM5"],"uri":["http://zotero.org/users/952979/items/456RXVM5"],"itemData":{"id":1425,"type":"book","title":"Color atlas of hematology: practical microscopic and clinical diagnosis","publisher":"Thieme","publisher-place":"Stuttgart; New York","source":"Open WorldCat","event-place":"Stuttgart; New York","ISBN":"978-3-13-673102-4","shortTitle":"Color atlas of hematology","language":"English","author":[{"family":"Theml","given":"Harald"},{"family":"Diem","given":"Heinz"},{"family":"Haferlach","given":"Torsten"},{"family":"Theml","given":"Harald"}],"issued":{"date-parts":[["2004"]]}}},{"id":328,"uris":["http://zotero.org/users/952979/items/J3WQ6Q9W"],"uri":["http://zotero.org/users/952979/items/J3WQ6Q9W"],"itemData":{"id":328,"type":"book","title":"Hematology in practice","publisher":"F.A. Davis Co.","publisher-place":"Philadelphia","source":"Open WorldCat","event-place":"Philadelphia","abstract":"This innovative new text provides students with an understanding of hematology in the context of practical laboratory practice and principles. Author Betty Ciesla, an educator of both MLT and MT students, has infused this text with her visually descriptive language to guide the reader to mastery of this sometimes daunting subject matter. Foundational information is clearly presented, allowing students to expand their knowledge base once they understand these concepts. Hematology in Practice was reviewed and approved by students and educators, and will fully engage your students while guiding t.","ISBN":"9781435603905","language":"English","author":[{"family":"Ciesla","given":"Betty"}],"issued":{"date-parts":[["2007"]]}}}],"schema":"https://github.com/citation-style-language/schema/raw/master/csl-citation.json"} </w:instrText>
      </w:r>
      <w:r>
        <w:fldChar w:fldCharType="separate"/>
      </w:r>
      <w:r w:rsidR="009C2B02" w:rsidRPr="009C2B02">
        <w:rPr>
          <w:rFonts w:ascii="Calibri" w:hAnsi="Calibri"/>
        </w:rPr>
        <w:t>(1,3,4)</w:t>
      </w:r>
      <w:r>
        <w:fldChar w:fldCharType="end"/>
      </w:r>
      <w:r>
        <w:t xml:space="preserve">. Finally, as </w:t>
      </w:r>
      <w:r>
        <w:lastRenderedPageBreak/>
        <w:t xml:space="preserve">monocytes migrate into tissues, they develop into macrophages as illustrated by early studies in which monocytes were depleted </w:t>
      </w:r>
      <w:r>
        <w:fldChar w:fldCharType="begin"/>
      </w:r>
      <w:r w:rsidR="000A209C">
        <w:instrText xml:space="preserve"> ADDIN ZOTERO_ITEM CSL_CITATION {"citationID":"1dbtodaa1k","properties":{"formattedCitation":"(5\\uc0\\u8211{}7)","plainCitation":"(5–7)","noteIndex":0},"citationItems":[{"id":1429,"uris":["http://zotero.org/users/952979/items/AS6DTSN4"],"uri":["http://zotero.org/users/952979/items/AS6DTSN4"],"itemData":{"id":1429,"type":"article-journal","title":"THE ORIGIN AND KINETICS OF MONONUCLEAR PHAGOCYTES","container-title":"The Journal of Experimental Medicine","page":"415-435","volume":"128","issue":"3","source":"PubMed Central","abstract":"The origin and turnover of efferent populations of mouse mononuclear phagocytes has been described. Mononuclear phagocytes were defined as mononuclear cells which are able to adhere to glass and phagocytize. In vitro labeling studies with thymidine-3H showed that monocytes in the peripheral blood and peritoneal macrophages do not multiply and can be considered end cells in a normal, steady state situation. However, the mononuclear phagocytes of the bone marrow appear to be rapidly dividing cells. This conclusion was supported by in vivo labeling experiments. A peak of labeled mononuclear phagocytes of the bone marrow was found 24 hr after a pulse of thymidine-3H. This was followed, 24 hr later, by a peak of labeled monocytes in the peripheral blood. From these experiments it was concluded that the rapidly dividing mononuclear phagocytes of the bone marrow, called promonocytes, are the progenitor cells of the monocytes. Labeling studies after splenectomy and after X-irradiation excluded other organs as a major source of the monocytes. Peak labeling of both the blood monocyte and peritoneal macrophages occurred at the same time. A rapid entry of monocytes from the blood into the peritoneal cavity was observed, after a sterile inflammation was evoked by an injection of newborn calf serum. These data have led to the conclusion that monocytes give rise to peritoneal macrophages. No indications have been obtained that mononuclear phagocytes originate from lymphocytes. In the normal steady state the monocytes leave the circulation by a random process, with a half-time of 22 hr. The average blood transit time of the monocytes has been calculated to be 32 hr. The turnover rate of peritoneal macrophages was low and estimated at about 0.1% per hour. On the basis of these studies the life history of mouse mononuclear phagocytes was formulated to be: promonocytes in the bone marrow, → monocytes in the peripheral blood, → macrophages in the tissue.","ISSN":"0022-1007","note":"PMID: 5666958\nPMCID: PMC2138527","journalAbbreviation":"J Exp Med","author":[{"family":"Furth","given":"Ralph","non-dropping-particle":"van"},{"family":"Cohn","given":"Zanvil A."}],"issued":{"date-parts":[["1968",9,1]]}}},{"id":1430,"uris":["http://zotero.org/users/952979/items/C3VZNQ5Q"],"uri":["http://zotero.org/users/952979/items/C3VZNQ5Q"],"itemData":{"id":1430,"type":"article-journal","title":"Resident macrophage proliferation in mice depleted of blood monocytes by strontium-89","container-title":"Laboratory Investigation; a Journal of Technical Methods and Pathology","page":"165-170","volume":"46","issue":"2","source":"PubMed","abstract":"The capacity of resident peritoneal macrophages and alveolar macrophages for self-renewal was studied in CD-1 mice depleted of radiosensitive blood monocyte precursors by irradiation of the bone marrow with the bone-seeking isotope 89Sr. Thermoluminescent dosimetry and studies of DNA synthesis showed that significant levels of radiation were absorbed predominantly in anatomical sites in close proximity to bone. Cell proliferation remote from bone marrow was unaffected when quantitated by DNA precursor uptake. Between 10 and 15 days after injecting mice intravenously with 89Sr at 2 microCi per gm. of body weight, monocytes were only rarely detectable in the peripheral blood as determined by morphology, stains for nonspecific esterase and peroxidase, and by latex phagocytosis. Total numbers of resident peritoneal and alveolar macrophages were not significantly decreased and tritiated thymidine incorporation in vivo persisted at normal levels rather than regressing at a predicted rate during profound monocyte depletion. The data, therefore, suggest that local proliferation by resident macrophages in monocytopenic and intact mice is an important mechanism of population renewal.","ISSN":"0023-6837","note":"PMID: 6174824","journalAbbreviation":"Lab. Invest.","language":"eng","author":[{"family":"Sawyer","given":"R. T."},{"family":"Strausbauch","given":"P. H."},{"family":"Volkman","given":"A."}],"issued":{"date-parts":[["1982",2]]}}},{"id":1428,"uris":["http://zotero.org/users/952979/items/GHPRBGUV"],"uri":["http://zotero.org/users/952979/items/GHPRBGUV"],"itemData":{"id":1428,"type":"article-journal","title":"Differential effects of chronic monocyte depletion on macrophage populations","container-title":"Laboratory Investigation; a Journal of Technical Methods and Pathology","page":"291-298","volume":"49","issue":"3","source":"PubMed","abstract":"The administration of the bone-seeking isotope, 89Sr, to mice results in severe monocytopenia without any apparent effect on the numbers of resident peritoneal macrophages (Mphi). An explanation for this dichotomy was sought by determining whether the residual blood monocytes were still an effective source of Mphi after 89Sr treatment. Stem cell enumeration showed that a 90% fall in bone marrow macrophage colony-forming cells after 89Sr was accompanied by a 10-fold rise in splenic M-CFC. Splenectomy performed before 89Sr treatment, however, resulted in little additional monocytopenia and had no affect on the numbers of resident peritoneal Mphi even when sampling was extended to 31 days, an interval beyond the accepted half-time for peritoneal Mphi. Intraperitoneal injections of thioglycollate or Corynebacterium parvum elicited few or no monocyte-Mphi during respective intervals of 4 and 7 days. Elicitation with thioglycollate was attempted in tritiated thymidine-labeled mice 26 days after 89Sr. Four days later only a 2-fold increase in labeled peritoneal Mphi was found in the 89Sr-treated mice compared with a 150-fold increase in the controls. Studies of the ectoenzymes 5'-nucleotidase, alkaline phosphodiesterase I, and leucine aminopeptidase in such elicitation experiments suggested that the observed changes in activities reflected the direct stimulation of resident Mphi rather than monocyte immigration. Overall, the results indicate that treatment with 89Sr distinguishes two large populations of Mphi on the basis of their dependence on bone marrow. Mphi of inflammation reflect the monocytopenia and are severely and rapidly depleted by such treatment. The maintenance of resident type Mphi, on the other hand, appears to be independent of both the state of the bone marrow and the level of monocytes in the blood.","ISSN":"0023-6837","note":"PMID: 6887784","journalAbbreviation":"Lab. Invest.","language":"eng","author":[{"family":"Volkman","given":"A."},{"family":"Chang","given":"N. C."},{"family":"Strausbauch","given":"P. H."},{"family":"Morahan","given":"P. S."}],"issued":{"date-parts":[["1983",9]]}}}],"schema":"https://github.com/citation-style-language/schema/raw/master/csl-citation.json"} </w:instrText>
      </w:r>
      <w:r>
        <w:fldChar w:fldCharType="separate"/>
      </w:r>
      <w:r w:rsidR="009C2B02" w:rsidRPr="009C2B02">
        <w:rPr>
          <w:rFonts w:ascii="Calibri" w:hAnsi="Calibri" w:cs="Times New Roman"/>
        </w:rPr>
        <w:t>(5–7)</w:t>
      </w:r>
      <w:r>
        <w:fldChar w:fldCharType="end"/>
      </w:r>
      <w:r>
        <w:t>.</w:t>
      </w:r>
      <w:r w:rsidR="00ED6040">
        <w:t xml:space="preserve"> </w:t>
      </w:r>
      <w:r w:rsidR="00ED6040" w:rsidRPr="00ED6040">
        <w:t xml:space="preserve">Fate mapping experiments have revealed that, in contrast to the monocyte-seeding model of macrophage ontogeny, tissue resident macrophages are derived from embryonic populations present in the yolk sac and foetal liver </w:t>
      </w:r>
      <w:r w:rsidR="00ED6040" w:rsidRPr="00ED6040">
        <w:fldChar w:fldCharType="begin"/>
      </w:r>
      <w:r w:rsidR="000A209C">
        <w:instrText xml:space="preserve"> ADDIN ZOTERO_ITEM CSL_CITATION {"citationID":"2yXtegR6","properties":{"formattedCitation":"(8\\uc0\\u8211{}11)","plainCitation":"(8–11)","noteIndex":0},"citationItems":[{"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id":32,"uris":["http://zotero.org/users/952979/items/99NC5UPT"],"uri":["http://zotero.org/users/952979/items/99NC5UPT"],"itemData":{"id":32,"type":"article-journal","title":"Fate mapping reveals origins and dynamics of monocytes and tissue macrophages under homeostasis","container-title":"Immunity","page":"79-91","volume":"38","issue":"1","source":"PubMed","abstract":"Mononuclear phagocytes, including monocytes, macrophages, and dendritic cells, contribute to tissue integrity as well as to innate and adaptive immune defense. Emerging evidence for labor division indicates that manipulation of these cells could bear therapeutic potential. However, specific ontogenies of individual populations and the overall functional organization of this cellular network are not well defined. Here we report a fate-mapping study of the murine monocyte and macrophage compartment taking advantage of constitutive and conditional CX(3)CR1 promoter-driven Cre recombinase expression. We have demonstrated that major tissue-resident macrophage populations, including liver Kupffer cells and lung alveolar, splenic, and peritoneal macrophages, are established prior to birth and maintain themselves subsequently during adulthood independent of replenishment by blood monocytes. Furthermore, we have established that short-lived Ly6C(+) monocytes constitute obligatory steady-state precursors of blood-resident Ly6C(-) cells and that the abundance of Ly6C(+) blood monocytes dynamically controls the circulation lifespan of their progeny.","DOI":"10.1016/j.immuni.2012.12.001","ISSN":"1097-4180","note":"PMID: 23273845\nPMCID: PMC3908543","journalAbbreviation":"Immunity","language":"eng","author":[{"family":"Yona","given":"Simon"},{"family":"Kim","given":"Ki-Wook"},{"family":"Wolf","given":"Yochai"},{"family":"Mildner","given":"Alexander"},{"family":"Varol","given":"Diana"},{"family":"Breker","given":"Michal"},{"family":"Strauss-Ayali","given":"Dalit"},{"family":"Viukov","given":"Sergey"},{"family":"Guilliams","given":"Martin"},{"family":"Misharin","given":"Alexander"},{"family":"Hume","given":"David A."},{"family":"Perlman","given":"Harris"},{"family":"Malissen","given":"Bernard"},{"family":"Zelzer","given":"Elazar"},{"family":"Jung","given":"Steffen"}],"issued":{"date-parts":[["2013",1,24]]}}},{"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rsidR="00ED6040" w:rsidRPr="00ED6040">
        <w:fldChar w:fldCharType="separate"/>
      </w:r>
      <w:r w:rsidR="00ED6040" w:rsidRPr="00ED6040">
        <w:t>(8–11)</w:t>
      </w:r>
      <w:r w:rsidR="00ED6040" w:rsidRPr="00ED6040">
        <w:fldChar w:fldCharType="end"/>
      </w:r>
      <w:r w:rsidR="00ED6040" w:rsidRPr="00ED6040">
        <w:t xml:space="preserve">. </w:t>
      </w:r>
    </w:p>
    <w:p w14:paraId="60112D33" w14:textId="77777777" w:rsidR="006A45E9" w:rsidRDefault="006A45E9" w:rsidP="006A45E9">
      <w:pPr>
        <w:pStyle w:val="Thesisnormal"/>
      </w:pPr>
    </w:p>
    <w:p w14:paraId="3B2181F5" w14:textId="77777777" w:rsidR="001D1AB8" w:rsidRDefault="001D1AB8" w:rsidP="001D1AB8">
      <w:pPr>
        <w:pStyle w:val="Thesisnormal"/>
      </w:pPr>
      <w:r w:rsidRPr="00810B9D">
        <w:rPr>
          <w:noProof/>
          <w:lang w:eastAsia="en-GB"/>
        </w:rPr>
        <w:drawing>
          <wp:anchor distT="0" distB="0" distL="114300" distR="114300" simplePos="0" relativeHeight="251661312" behindDoc="0" locked="0" layoutInCell="1" allowOverlap="1" wp14:anchorId="181987FC" wp14:editId="26829FFF">
            <wp:simplePos x="0" y="0"/>
            <wp:positionH relativeFrom="column">
              <wp:posOffset>0</wp:posOffset>
            </wp:positionH>
            <wp:positionV relativeFrom="paragraph">
              <wp:posOffset>0</wp:posOffset>
            </wp:positionV>
            <wp:extent cx="5731200" cy="396720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31200" cy="3967200"/>
                    </a:xfrm>
                    <a:prstGeom prst="rect">
                      <a:avLst/>
                    </a:prstGeom>
                  </pic:spPr>
                </pic:pic>
              </a:graphicData>
            </a:graphic>
            <wp14:sizeRelH relativeFrom="margin">
              <wp14:pctWidth>0</wp14:pctWidth>
            </wp14:sizeRelH>
            <wp14:sizeRelV relativeFrom="margin">
              <wp14:pctHeight>0</wp14:pctHeight>
            </wp14:sizeRelV>
          </wp:anchor>
        </w:drawing>
      </w:r>
    </w:p>
    <w:p w14:paraId="0F837437" w14:textId="77777777" w:rsidR="001D1AB8" w:rsidRDefault="001D1AB8" w:rsidP="001D1AB8">
      <w:pPr>
        <w:pStyle w:val="Thesisnormal"/>
      </w:pPr>
    </w:p>
    <w:p w14:paraId="410E1E26" w14:textId="77777777" w:rsidR="001D1AB8" w:rsidRDefault="001D1AB8" w:rsidP="001D1AB8">
      <w:pPr>
        <w:pStyle w:val="Thesisnormal"/>
      </w:pPr>
    </w:p>
    <w:p w14:paraId="55A76C2C" w14:textId="77777777" w:rsidR="001D1AB8" w:rsidRDefault="001D1AB8" w:rsidP="001D1AB8">
      <w:pPr>
        <w:pStyle w:val="Thesisnormal"/>
      </w:pPr>
    </w:p>
    <w:p w14:paraId="12EDC20F" w14:textId="77777777" w:rsidR="001D1AB8" w:rsidRDefault="001D1AB8" w:rsidP="001D1AB8">
      <w:pPr>
        <w:pStyle w:val="Thesisnormal"/>
      </w:pPr>
    </w:p>
    <w:p w14:paraId="463A6668" w14:textId="77777777" w:rsidR="001D1AB8" w:rsidRDefault="001D1AB8" w:rsidP="001D1AB8">
      <w:pPr>
        <w:pStyle w:val="Thesisnormal"/>
      </w:pPr>
    </w:p>
    <w:p w14:paraId="49777D05" w14:textId="77777777" w:rsidR="001D1AB8" w:rsidRDefault="001D1AB8" w:rsidP="001D1AB8">
      <w:pPr>
        <w:pStyle w:val="Thesisnormal"/>
      </w:pPr>
    </w:p>
    <w:p w14:paraId="08040F79" w14:textId="77777777" w:rsidR="001D1AB8" w:rsidRDefault="001D1AB8" w:rsidP="001D1AB8">
      <w:pPr>
        <w:pStyle w:val="Thesisnormal"/>
      </w:pPr>
    </w:p>
    <w:p w14:paraId="1ED24297" w14:textId="77777777" w:rsidR="001D1AB8" w:rsidRDefault="001D1AB8" w:rsidP="001D1AB8">
      <w:pPr>
        <w:pStyle w:val="Thesisnormal"/>
      </w:pPr>
    </w:p>
    <w:p w14:paraId="03516616" w14:textId="77777777" w:rsidR="001D1AB8" w:rsidRDefault="001D1AB8" w:rsidP="001D1AB8">
      <w:pPr>
        <w:pStyle w:val="Thesisnormal"/>
      </w:pPr>
    </w:p>
    <w:p w14:paraId="64C61B8D" w14:textId="77777777" w:rsidR="001D1AB8" w:rsidRDefault="001D1AB8" w:rsidP="001D1AB8">
      <w:pPr>
        <w:pStyle w:val="Thesisnormal"/>
      </w:pPr>
    </w:p>
    <w:p w14:paraId="1F1BEDF5" w14:textId="77777777" w:rsidR="001D1AB8" w:rsidRDefault="001D1AB8" w:rsidP="001D1AB8">
      <w:pPr>
        <w:pStyle w:val="Thesisnormal"/>
      </w:pPr>
    </w:p>
    <w:p w14:paraId="0D84928B" w14:textId="77777777" w:rsidR="001D1AB8" w:rsidRDefault="001D1AB8" w:rsidP="001D1AB8">
      <w:pPr>
        <w:pStyle w:val="Thesisnormal"/>
      </w:pPr>
    </w:p>
    <w:p w14:paraId="31F69D5D" w14:textId="77777777" w:rsidR="001D1AB8" w:rsidRDefault="001D1AB8" w:rsidP="001D1AB8">
      <w:pPr>
        <w:pStyle w:val="Thesisnormal"/>
      </w:pPr>
    </w:p>
    <w:p w14:paraId="5CFFBB78" w14:textId="77777777" w:rsidR="001D1AB8" w:rsidRDefault="001D1AB8" w:rsidP="001D1AB8">
      <w:pPr>
        <w:pStyle w:val="Thesisnormal"/>
      </w:pPr>
    </w:p>
    <w:p w14:paraId="59C7DDC2" w14:textId="1BFD24EB" w:rsidR="001D1AB8" w:rsidRPr="00CC0541" w:rsidRDefault="001D1AB8" w:rsidP="001D1AB8">
      <w:pPr>
        <w:pStyle w:val="NoSpacing"/>
        <w:rPr>
          <w:b/>
        </w:rPr>
      </w:pPr>
      <w:r w:rsidRPr="00CC0541">
        <w:rPr>
          <w:b/>
        </w:rPr>
        <w:t>Fig</w:t>
      </w:r>
      <w:r w:rsidR="00D61B4E">
        <w:rPr>
          <w:b/>
        </w:rPr>
        <w:t>ure 1.1 Definitive vertebrate h</w:t>
      </w:r>
      <w:r w:rsidRPr="00CC0541">
        <w:rPr>
          <w:b/>
        </w:rPr>
        <w:t xml:space="preserve">ematopoiesis. </w:t>
      </w:r>
    </w:p>
    <w:p w14:paraId="63933C48" w14:textId="426CA3B1" w:rsidR="001D1AB8" w:rsidRDefault="001D1AB8" w:rsidP="001D1AB8">
      <w:pPr>
        <w:pStyle w:val="NoSpacing"/>
      </w:pPr>
      <w:r>
        <w:t>In vertebrates, all h</w:t>
      </w:r>
      <w:r w:rsidRPr="00CC0541">
        <w:t>emocytes</w:t>
      </w:r>
      <w:r>
        <w:t xml:space="preserve"> (blood cells)</w:t>
      </w:r>
      <w:r w:rsidRPr="00CC0541">
        <w:t xml:space="preserve"> originate from a pluripotent hematopoietic stem cell in the bone marrow. Macrophages are descendent from the common myeloid progenitor which differentiates into a myeloblast, the committed myeloid progenitor. This then differentiates into the monoblast which matures into a monocyte in the blood. Monocytes then travel to tissues where they mature into macrophages. Differentiation factors shown in blue have homologs in </w:t>
      </w:r>
      <w:r w:rsidRPr="00CC0541">
        <w:rPr>
          <w:i/>
        </w:rPr>
        <w:t>Drosophila</w:t>
      </w:r>
      <w:r w:rsidRPr="00CC0541">
        <w:t>, shown in parenthesis. Adapted from</w:t>
      </w:r>
      <w:r>
        <w:t xml:space="preserve"> </w:t>
      </w:r>
      <w:r>
        <w:fldChar w:fldCharType="begin"/>
      </w:r>
      <w:r w:rsidR="000A209C">
        <w:instrText xml:space="preserve"> ADDIN ZOTERO_ITEM CSL_CITATION {"citationID":"VSmdKhvH","properties":{"formattedCitation":"(1,4,12,13)","plainCitation":"(1,4,12,13)","noteIndex":0},"citationItems":[{"id":1425,"uris":["http://zotero.org/users/952979/items/456RXVM5"],"uri":["http://zotero.org/users/952979/items/456RXVM5"],"itemData":{"id":1425,"type":"book","title":"Color atlas of hematology: practical microscopic and clinical diagnosis","publisher":"Thieme","publisher-place":"Stuttgart; New York","source":"Open WorldCat","event-place":"Stuttgart; New York","ISBN":"978-3-13-673102-4","shortTitle":"Color atlas of hematology","language":"English","author":[{"family":"Theml","given":"Harald"},{"family":"Diem","given":"Heinz"},{"family":"Haferlach","given":"Torsten"},{"family":"Theml","given":"Harald"}],"issued":{"date-parts":[["2004"]]}}},{"id":328,"uris":["http://zotero.org/users/952979/items/J3WQ6Q9W"],"uri":["http://zotero.org/users/952979/items/J3WQ6Q9W"],"itemData":{"id":328,"type":"book","title":"Hematology in practice","publisher":"F.A. Davis Co.","publisher-place":"Philadelphia","source":"Open WorldCat","event-place":"Philadelphia","abstract":"This innovative new text provides students with an understanding of hematology in the context of practical laboratory practice and principles. Author Betty Ciesla, an educator of both MLT and MT students, has infused this text with her visually descriptive language to guide the reader to mastery of this sometimes daunting subject matter. Foundational information is clearly presented, allowing students to expand their knowledge base once they understand these concepts. Hematology in Practice was reviewed and approved by students and educators, and will fully engage your students while guiding t.","ISBN":"9781435603905","language":"English","author":[{"family":"Ciesla","given":"Betty"}],"issued":{"date-parts":[["2007"]]}}},{"id":1426,"uris":["http://zotero.org/users/952979/items/UAAV5KUB"],"uri":["http://zotero.org/users/952979/items/UAAV5KUB"],"itemData":{"id":1426,"type":"article-journal","title":"Embryonic stem cells and transgenic mice in the study of hematopoiesis","container-title":"The International Journal of Developmental Biology","page":"927-934","volume":"42","issue":"7","source":"PubMed","abstract":"Blood formation (hematopoiesis) entails the generation of hematopoietic stem cells (HSCs) within the embryo and subsequent commitment of multipotential progenitors to differentiation along single lineages. These processes are controlled in large part by cell-restricted transcription factors which cooperate with more widely expressed factors to direct lineage-specific gene expression. Candidate hematopoietic transcriptional regulators have been identified by characterizing factors mediating cell-specific gene transcription and by defining genes involved in chromosomal rearrangements in leukemia. The application of transgenic and embryonic stem cell methods have provided insights into their in vivo functions and suggested mechanisms by which lineage selection may be achieved. One of the first, and best, characterized hematopoietic transcription factors is GATA-1. Herein studies of GATA-1 are reviewed to illustrate how manipulations of its locus in the mouse have contributed to current understanding in unique and unexpected ways.","ISSN":"0214-6282","note":"PMID: 9853823","journalAbbreviation":"Int. J. Dev. Biol.","language":"eng","author":[{"family":"Orkin","given":"S. H."}],"issued":{"date-parts":[["1998"]]}}},{"id":1436,"uris":["http://zotero.org/users/952979/items/7WZDSEAF"],"uri":["http://zotero.org/users/952979/items/7WZDSEAF"],"itemData":{"id":1436,"type":"article-journal","title":"Diversification of haematopoietic stem cells to specific lineages","container-title":"Nature Reviews. Genetics","page":"57-64","volume":"1","issue":"1","source":"PubMed","abstract":"Diverse types of blood cell (lineages) are produced from rare haematopoietic stem cells that reside in the bone marrow. This process, known as haematopoiesis, provides a valuable model for examining how genetic programs are established and executed in vertebrates, and also how homeostasis of blood formation is altered in leukaemias. So, how does an apparently small group of critical lineage-restricted nuclear regulatory factors specify the diversity of haematopoietic cells? Recent findings not only indicate how this may be achieved but also show the extraordinary plasticity of tissue stem cells in vivo.","DOI":"10.1038/35049577","ISSN":"1471-0056","note":"PMID: 11262875","journalAbbreviation":"Nat. Rev. Genet.","language":"eng","author":[{"family":"Orkin","given":"S. H."}],"issued":{"date-parts":[["2000",10]]}}}],"schema":"https://github.com/citation-style-language/schema/raw/master/csl-citation.json"} </w:instrText>
      </w:r>
      <w:r>
        <w:fldChar w:fldCharType="separate"/>
      </w:r>
      <w:r w:rsidR="00A53A6B" w:rsidRPr="00A53A6B">
        <w:rPr>
          <w:rFonts w:ascii="Calibri" w:hAnsi="Calibri"/>
        </w:rPr>
        <w:t>(1,4,12,13)</w:t>
      </w:r>
      <w:r>
        <w:fldChar w:fldCharType="end"/>
      </w:r>
      <w:r>
        <w:t>.</w:t>
      </w:r>
    </w:p>
    <w:p w14:paraId="227C8A13" w14:textId="77777777" w:rsidR="001D1AB8" w:rsidRDefault="001D1AB8" w:rsidP="001D1AB8">
      <w:pPr>
        <w:pStyle w:val="Thesisnormal"/>
      </w:pPr>
    </w:p>
    <w:p w14:paraId="1EC9AE4E" w14:textId="77777777" w:rsidR="001D1AB8" w:rsidRDefault="001D1AB8" w:rsidP="001D1AB8">
      <w:pPr>
        <w:pStyle w:val="Thesisnormal"/>
      </w:pPr>
    </w:p>
    <w:p w14:paraId="35034923" w14:textId="77777777" w:rsidR="00ED6040" w:rsidRDefault="00ED6040" w:rsidP="001D1AB8">
      <w:pPr>
        <w:pStyle w:val="Thesisnormal"/>
      </w:pPr>
    </w:p>
    <w:p w14:paraId="5A199C0E" w14:textId="77777777" w:rsidR="00ED6040" w:rsidRDefault="00ED6040" w:rsidP="001D1AB8">
      <w:pPr>
        <w:pStyle w:val="Thesisnormal"/>
      </w:pPr>
    </w:p>
    <w:p w14:paraId="3A30B10A" w14:textId="77777777" w:rsidR="001D1AB8" w:rsidRDefault="001D1AB8" w:rsidP="001D1AB8">
      <w:pPr>
        <w:pStyle w:val="Heading3"/>
        <w:ind w:firstLine="720"/>
      </w:pPr>
      <w:bookmarkStart w:id="29" w:name="_Toc502936278"/>
      <w:bookmarkStart w:id="30" w:name="_Toc4589257"/>
      <w:r>
        <w:lastRenderedPageBreak/>
        <w:t>1.1.2 Macrophages</w:t>
      </w:r>
      <w:bookmarkEnd w:id="29"/>
      <w:bookmarkEnd w:id="30"/>
      <w:r>
        <w:t xml:space="preserve"> </w:t>
      </w:r>
    </w:p>
    <w:p w14:paraId="7904AA24" w14:textId="77777777" w:rsidR="001D1AB8" w:rsidRDefault="001D1AB8" w:rsidP="001D1AB8">
      <w:pPr>
        <w:pStyle w:val="Thesisnormal"/>
      </w:pPr>
    </w:p>
    <w:p w14:paraId="43001B4B" w14:textId="00CDF901" w:rsidR="001D1AB8" w:rsidRDefault="001D1AB8" w:rsidP="001D1AB8">
      <w:pPr>
        <w:pStyle w:val="Thesisnormal"/>
      </w:pPr>
      <w:r>
        <w:t xml:space="preserve">Macrophages are a class of professional antigen presenting cells and major phagocytes in the mammalian innate immune system, first described in 1887 </w:t>
      </w:r>
      <w:r>
        <w:fldChar w:fldCharType="begin"/>
      </w:r>
      <w:r w:rsidR="000A209C">
        <w:instrText xml:space="preserve"> ADDIN ZOTERO_ITEM CSL_CITATION {"citationID":"N2w7J60h","properties":{"formattedCitation":"(14)","plainCitation":"(14)","noteIndex":0},"citationItems":[{"id":1579,"uris":["http://zotero.org/users/952979/items/PRP2VEAN"],"uri":["http://zotero.org/users/952979/items/PRP2VEAN"],"itemData":{"id":1579,"type":"article-journal","title":"Uber den Kampf der Zellen gegen Erysipelkokken. Ein Beitrag zur Phagocytenlehre","page":"209-49","issue":"107","journalAbbreviation":"Archiv für pathologische Anatomie und Physiologie und für klinische Medicin","author":[{"family":"Metchnikoff","given":"Elie"}],"issued":{"date-parts":[["1887"]]}}}],"schema":"https://github.com/citation-style-language/schema/raw/master/csl-citation.json"} </w:instrText>
      </w:r>
      <w:r>
        <w:fldChar w:fldCharType="separate"/>
      </w:r>
      <w:r w:rsidR="00A53A6B" w:rsidRPr="00A53A6B">
        <w:rPr>
          <w:rFonts w:ascii="Calibri" w:hAnsi="Calibri"/>
        </w:rPr>
        <w:t>(14)</w:t>
      </w:r>
      <w:r>
        <w:fldChar w:fldCharType="end"/>
      </w:r>
      <w:r>
        <w:t xml:space="preserve">. In addition, macrophages have roles in development, homeostasis and tissue repair </w:t>
      </w:r>
      <w:r>
        <w:fldChar w:fldCharType="begin"/>
      </w:r>
      <w:r w:rsidR="000A209C">
        <w:instrText xml:space="preserve"> ADDIN ZOTERO_ITEM CSL_CITATION {"citationID":"fUO56QHJ","properties":{"formattedCitation":"(15)","plainCitation":"(15)","noteIndex":0},"citationItems":[{"id":1385,"uris":["http://zotero.org/users/952979/items/67HQCN79"],"uri":["http://zotero.org/users/952979/items/67HQCN79"],"itemData":{"id":1385,"type":"article-journal","title":"Macrophage biology in development, homeostasis and disease","container-title":"Nature","page":"445-455","volume":"496","issue":"7446","source":"PubMed","abstract":"Macrophages, the most plastic cells of the haematopoietic system, are found in all tissues and show great functional diversity. They have roles in development, homeostasis, tissue repair and immunity. Although tissue macrophages are anatomically distinct from one another, and have different transcriptional profiles and functional capabilities, they are all required for the maintenance of homeostasis. However, these reparative and homeostatic functions can be subverted by chronic insults, resulting in a causal association of macrophages with disease states. In this Review, we discuss how macrophages regulate normal physiology and development, and provide several examples of their pathophysiological roles in disease. We define the 'hallmarks' of macrophages according to the states that they adopt during the performance of their various roles, taking into account new insights into the diversity of their lineages, identities and regulation. It is essential to understand this diversity because macrophages have emerged as important therapeutic targets in many human diseases.","DOI":"10.1038/nature12034","ISSN":"1476-4687","note":"PMID: 23619691\nPMCID: PMC3725458","journalAbbreviation":"Nature","language":"eng","author":[{"family":"Wynn","given":"Thomas A."},{"family":"Chawla","given":"Ajay"},{"family":"Pollard","given":"Jeffrey W."}],"issued":{"date-parts":[["2013",4,25]]}}}],"schema":"https://github.com/citation-style-language/schema/raw/master/csl-citation.json"} </w:instrText>
      </w:r>
      <w:r>
        <w:fldChar w:fldCharType="separate"/>
      </w:r>
      <w:r w:rsidR="00A53A6B" w:rsidRPr="00A53A6B">
        <w:rPr>
          <w:rFonts w:ascii="Calibri" w:hAnsi="Calibri"/>
        </w:rPr>
        <w:t>(15)</w:t>
      </w:r>
      <w:r>
        <w:fldChar w:fldCharType="end"/>
      </w:r>
      <w:r>
        <w:t xml:space="preserve">. Macrophages are resident in all tissues throughout the body as specialised tissue-resident populations, for example as microglia in the brain, Kuppfer cells in the liver, Langerhans cells in the skin or alveolar macrophages in the lung </w:t>
      </w:r>
      <w:r>
        <w:fldChar w:fldCharType="begin"/>
      </w:r>
      <w:r w:rsidR="000A209C">
        <w:instrText xml:space="preserve"> ADDIN ZOTERO_ITEM CSL_CITATION {"citationID":"CruWrCVq","properties":{"formattedCitation":"(16)","plainCitation":"(16)","noteIndex":0},"citationItems":[{"id":1853,"uris":["http://zotero.org/users/952979/items/KPHGPIN6"],"uri":["http://zotero.org/users/952979/items/KPHGPIN6"],"itemData":{"id":1853,"type":"article-journal","title":"M1 and M2 Macrophages: Oracles of Health and Disease","container-title":"Critical Reviews in Immunology","page":"463-488","volume":"32","issue":"6","source":"PubMed","abstract":"The purpose of immunology is simple. Cure or prevent disease. M1/M2 is useful because it is simple. M1/M2 describes the two major and opposing activities of macrophages. M1 activity inhibits cell proliferation and causes tissue damage while M2 activity promotes cell proliferation and tissue repair. Remarkably, the molecules primarily responsible for these \"Fight\" (NO) or \"Fix\" (Ornithine) activities both arise from arginine, and via enzymatic pathways (iNOS and arginase) that down regulate each other. The names M1 and M2 were chosen because M1 and M2 macrophages promote Th1 and Th2 responses, respectively. Products of Th1 and Th2 responses (e.g., IFN-γ, IL-4) also down regulate M2 and M1activity, respectively. Thus, M1/M2 demonstrated the importance of Innate Immunity and how it is linked to Adaptive Immunity in a beautifully counterbalanced system. \"Civilization\" and increased longevity present new disease challenges such as cancer and atherosclerosis that do not display classical \"foreign\" antigens. And, these diseases are often associated with (or caused by) M1- or M2- type responses that were formerly useful for fighting infections, but now are inappropriate in our increasingly \"germ-free\" societies. In turn, there is considerable potential for modulating M1 or M2 Innate responses in modern diseases to achieve better health. Finally, since M1 and Th1 (or M2 and Th2) often work in concert to produce characteristic immune responses and disease pathologies, it is recommended that Immune Type 1 or 2 (IT1, IT2) would be a simpler and unifying terminology going forward.","ISSN":"1040-8401","note":"PMID: 23428224","shortTitle":"M1 and M2 Macrophages","journalAbbreviation":"Crit. Rev. Immunol.","language":"eng","author":[{"family":"Mills","given":"Charles D."}],"issued":{"date-parts":[["2012"]]}}}],"schema":"https://github.com/citation-style-language/schema/raw/master/csl-citation.json"} </w:instrText>
      </w:r>
      <w:r>
        <w:fldChar w:fldCharType="separate"/>
      </w:r>
      <w:r w:rsidR="00A53A6B" w:rsidRPr="00A53A6B">
        <w:rPr>
          <w:rFonts w:ascii="Calibri" w:hAnsi="Calibri"/>
        </w:rPr>
        <w:t>(16)</w:t>
      </w:r>
      <w:r>
        <w:fldChar w:fldCharType="end"/>
      </w:r>
      <w:r>
        <w:t xml:space="preserve">. </w:t>
      </w:r>
      <w:bookmarkStart w:id="31" w:name="_Hlk4581492"/>
      <w:r w:rsidR="00B001A4">
        <w:t xml:space="preserve">For the purposes of this thesis, the term subpopulation will be defined as a group of cells that display a similar phenotype or genetic profile which differs from other cells within the wider population of the same cell type, e.g. tissue resident macrophages in the skin would be a distinct subpopulation when compared to tissue resident macrophages from the lungs. The term polarisation will refer to an activation state, defined by phenotype behaviours or genetic profile </w:t>
      </w:r>
      <w:r w:rsidR="009D2C39">
        <w:t xml:space="preserve">which could be reversible, for example M1 and M2 macrophages. </w:t>
      </w:r>
    </w:p>
    <w:bookmarkEnd w:id="31"/>
    <w:p w14:paraId="7623DB98" w14:textId="77777777" w:rsidR="001D1AB8" w:rsidRPr="006130EF" w:rsidRDefault="001D1AB8" w:rsidP="001D1AB8">
      <w:pPr>
        <w:pStyle w:val="Thesisnormal"/>
      </w:pPr>
    </w:p>
    <w:p w14:paraId="58AC3DC5" w14:textId="77777777" w:rsidR="001D1AB8" w:rsidRDefault="001D1AB8" w:rsidP="001D1AB8">
      <w:pPr>
        <w:pStyle w:val="Heading2"/>
      </w:pPr>
      <w:bookmarkStart w:id="32" w:name="_Toc502936279"/>
      <w:bookmarkStart w:id="33" w:name="_Toc4589258"/>
      <w:r>
        <w:t>1.2 M</w:t>
      </w:r>
      <w:r w:rsidRPr="0019491D">
        <w:t>acrophage subtype</w:t>
      </w:r>
      <w:r>
        <w:t>s</w:t>
      </w:r>
      <w:bookmarkEnd w:id="32"/>
      <w:bookmarkEnd w:id="33"/>
      <w:r w:rsidRPr="0019491D">
        <w:t xml:space="preserve"> </w:t>
      </w:r>
    </w:p>
    <w:p w14:paraId="62CA899A" w14:textId="77777777" w:rsidR="001D1AB8" w:rsidRDefault="001D1AB8" w:rsidP="001D1AB8">
      <w:pPr>
        <w:pStyle w:val="Thesisnormal"/>
      </w:pPr>
    </w:p>
    <w:p w14:paraId="3E1FCCB0" w14:textId="3E6BE098" w:rsidR="00E7482C" w:rsidRPr="00E7482C" w:rsidRDefault="001D1AB8" w:rsidP="00E7482C">
      <w:pPr>
        <w:pStyle w:val="Thesisnormal"/>
      </w:pPr>
      <w:r>
        <w:t xml:space="preserve">Initial research into macrophage behaviour revealed macrophages to have contrasting abilities to both promote proliferation, during tissue remodelling and wound healing, and to inhibit proliferation, during removal of pathogens or tumour cells </w:t>
      </w:r>
      <w:r>
        <w:fldChar w:fldCharType="begin"/>
      </w:r>
      <w:r w:rsidR="000A209C">
        <w:instrText xml:space="preserve"> ADDIN ZOTERO_ITEM CSL_CITATION {"citationID":"boZU4twJ","properties":{"formattedCitation":"(17)","plainCitation":"(17)","noteIndex":0},"citationItems":[{"id":1313,"uris":["http://zotero.org/users/952979/items/9ZXCKK4S"],"uri":["http://zotero.org/users/952979/items/9ZXCKK4S"],"itemData":{"id":1313,"type":"article-journal","title":"Anatomy of a Discovery: M1 and M2 Macrophages","container-title":"Frontiers in Immunology","volume":"6","source":"PubMed Central","abstract":"M1 and M2 macrophage-type responses kill or repair in vivo. The unique ability of macrophages to make these polar opposite type of responses provides primary host protection and maintains tissue homeostasis throughout the animal kingdom. In humans and other higher animals, M1 and M2-type macrophage responses also initiate and direct T cells/adaptive immunity to provide additional protection such as Th1 (cytotoxic) or Th2 (antibody-mediated) type responses. Hence, macrophages were renamed M1 and M2 to indicate the central role of macrophages/innate immunity in immune systems. These findings indicate that the long held notion that adaptive immunity controls innate immunity was backward: a sea change in understanding how immune responses occur. The clinical impact of M1/kill and M2/repair responses is immense playing pivotal roles in curing (or causing) many diseases including infections, cancer, autoimmunity, and atherosclerosis. How M1/M2 came to be is an interesting story that, like life, involved Direction, Determination, Discouragement, and Discovery.","URL":"http://www.ncbi.nlm.nih.gov/pmc/articles/PMC4419847/","DOI":"10.3389/fimmu.2015.00212","ISSN":"1664-3224","note":"PMID: 25999950\nPMCID: PMC4419847","shortTitle":"Anatomy of a Discovery","journalAbbreviation":"Front Immunol","author":[{"family":"Mills","given":"Charles Dudley"}],"issued":{"date-parts":[["2015",5,5]]},"accessed":{"date-parts":[["2015",11,2]]}}}],"schema":"https://github.com/citation-style-language/schema/raw/master/csl-citation.json"} </w:instrText>
      </w:r>
      <w:r>
        <w:fldChar w:fldCharType="separate"/>
      </w:r>
      <w:r w:rsidR="00A53A6B" w:rsidRPr="00A53A6B">
        <w:rPr>
          <w:rFonts w:ascii="Calibri" w:hAnsi="Calibri"/>
        </w:rPr>
        <w:t>(17)</w:t>
      </w:r>
      <w:r>
        <w:fldChar w:fldCharType="end"/>
      </w:r>
      <w:r>
        <w:t xml:space="preserve">. The link between opposing kill or repair functions of macrophages and arginine metabolism was first gained in the 1980’s </w:t>
      </w:r>
      <w:r>
        <w:fldChar w:fldCharType="begin"/>
      </w:r>
      <w:r w:rsidR="000A209C">
        <w:instrText xml:space="preserve"> ADDIN ZOTERO_ITEM CSL_CITATION {"citationID":"6Or8libH","properties":{"formattedCitation":"(18\\uc0\\u8211{}21)","plainCitation":"(18–21)","noteIndex":0},"citationItems":[{"id":1875,"uris":["http://zotero.org/users/952979/items/VTC5ZY3I"],"uri":["http://zotero.org/users/952979/items/VTC5ZY3I"],"itemData":{"id":1875,"type":"article-journal","title":"L-arginine is required for expression of the activated macrophage effector mechanism causing selective metabolic inhibition in target cells","container-title":"Journal of Immunology (Baltimore, Md.: 1950)","page":"550-565","volume":"138","issue":"2","source":"PubMed","abstract":"L-Arginine is required for expression of the activated macrophage cytotoxic effector mechanism that causes inhibition of mitochondrial respiration, aconitase activity, and DNA synthesis in tumor target cells. This effector mechanism is active in the presence of L-arginine even when the cocultivation medium lacks all other amino acids and serum. Cytotoxic activated macrophage-induced inhibition of mitochondrial respiration in target cells is proportional to the concentration of L-arginine in the medium. L-Arginine must be present during the cocultivation period. Pretreatment of cytotoxic activated macrophages with L-arginine or posttreatment of the target cells after cocultivation is not effective. D-Arginine does not substitute for L-arginine and at high concentrations is a competitive inhibitor of the L-arginine-dependent effector mechanism. Other analogues that could not replace L-arginine include agmatine, argininic acid, arginine hydroxamate, and tosyl-L-arginine methyl ester. L-homoarginine, however, can effectively substitute for L-arginine. NG-monomethyl-L-arginine is a potent competitive inhibitor of this effector mechanism. High concentrations of lipopolysaccharide do not reverse inhibition of the L-arginine-dependent effector mechanism by NG-monomethyl-L-arginine. However, inhibition of the effector mechanism by NG-monomethyl-L-arginine can be overridden by increasing the concentration of L-arginine in the culture medium. We compared NGNG-dimethyl-L-arginine and NGN1G-dimethyl-L-arginine with NG-monomethyl-L-arginine as inhibitors of the L-arginine-dependent effector mechanism. The results show that the inhibitory effect of these guanidino methylated derivatives of L-arginine is highly determined by structure. Guanidine is a weak competitive inhibitor of the L-arginine-dependent effector mechanism. The requirement for L-arginine does not appear to be for protein synthesis, creatine biosynthesis, polyamine biosynthesis, or ADP ribosylation reactions. Bacterial lipopolysaccharide is effective as a second signal only when the cocultivation medium contains L-arginine, and this strict L-arginine dependency is not overridden by increasing the concentration of lipopolysaccharide. Bovine liver arginase, by competing for L-arginine in the cocultivation medium, inhibits the L-arginine-dependent activated macrophage cytotoxic effector mechanism.","ISSN":"0022-1767","note":"PMID: 2432129","journalAbbreviation":"J. Immunol.","language":"eng","author":[{"family":"Hibbs","given":"J. B."},{"family":"Vavrin","given":"Z."},{"family":"Taintor","given":"R. R."}],"issued":{"date-parts":[["1987",1,15]]}}},{"id":1874,"uris":["http://zotero.org/users/952979/items/VICN4J5K"],"uri":["http://zotero.org/users/952979/items/VICN4J5K"],"itemData":{"id":1874,"type":"article-journal","title":"Microenvironmental arginine depletion by macrophages in vivo","container-title":"British Journal of Cancer","page":"613-620","volume":"39","issue":"6","source":"PubMed","abstract":"Since the tumour-selective cytotoxic activity of activated macrophages in vitro can be attributed to depletion of the culture medium of L-arginine by macrophage arginase, a series of experiments was designed to determine whether such a mechanism could operate in vivo. Extracellular fluid obtained from Gullino chambers within established tumours contained high levels of arginase, no detectable arginine and high levels of ornithine. When tumours were disaggregated into single-cell suspensions, arginase was readily detected within tumour macrophages but not within malignant cells. Inflammatory ascites induced in mice by Corynebacterium parvum was rich in arginase, depleted of L-arginine and cytotoxic in vitro to L5178Y and V79 cells. High levels of arginase in the ascites fluid were associated with resistance to challenge with syngeneic L5178Y cells. Lymph collected from the cisterna chyli in rats bearing a macrophage-rich sarcoma on the small bowel contained elevated levels of arginase, was depleted of arginine and contained increased concentrations of ornithine. We conclude that in sites of macrophage infiltration there is microenvironmental arginine depletion due to the action of arginase, and that arginase release could represent an important macrophage effector mechanism against a variety of targets, including malignant cells, virus-infected cells, fungi and parasites.","ISSN":"0007-0920","note":"PMID: 444403\nPMCID: PMC2009995","journalAbbreviation":"Br. J. Cancer","language":"eng","author":[{"family":"Currie","given":"G. A."},{"family":"Gyure","given":"L."},{"family":"Cifuentes","given":"L."}],"issued":{"date-parts":[["1979",6]]}}},{"id":1581,"uris":["http://zotero.org/users/952979/items/4EKM3DDA"],"uri":["http://zotero.org/users/952979/items/4EKM3DDA"],"itemData":{"id":1581,"type":"article-journal","title":"Temporal expression of different pathways of 1-arginine metabolism in healing wounds","container-title":"Journal of Immunology (Baltimore, Md.: 1950)","page":"3877-3880","volume":"144","issue":"10","source":"PubMed","abstract":"Arginine can be metabolized by inflammatory cells through at least two pathways. One is an oxidative l-arginine deiminase (OAD) that results in the formation of citrulline and reactive nitrogen intermediates. The other is arginase, which determines the production of ornithine and urea. The temporal expression of these pathways in an experimental wound model (s.c. implanted polyvinyl alcohol sponges in the rat) was investigated by examining the concentrations of amino acids and of nitrite in fluids obtained from the sponges 6 h to 15 day after implantation. These analyses revealed two distinct periods during which the arginine concentration in the fluids was markedly below plasma levels. During the early period (less than 3 days after sponge implantation) wound fluid contained more citrulline and nitrite than at any other time, suggesting OAD activity. In contrast, ornithine accumulated in the fluids during the late decrease in arginine concentration that extended beyond day 3, during which time the wound fluid also contained a high arginase activity. This time-dependent expression of different pathways of arginine metabolism in wounds was confirmed in sponge cultures containing [guanido-14C]-l-arginine. Cells contained in sponges harvested less than 48 h after implantation metabolized labeled arginine mainly to labeled citrulline, whereas labeled urea was produced during culture of sponges harvested after this time. The low arginine content of wound fluid did not appear to be rate limiting for the expression of OAD in late sponges because no OAD activity was evidenced when 4 mM arginine was added to the cultures. These results indicate that the OAD pathway is expressed in this model predominantly during the early, polymorphonuclear leukocyte-predominant, phase of repair. At this time, the reactive nitrogen intermediates resulting from the metabolism of arginine may mediate some of the events characteristic of early inflammation, including microbiostasis, vasodilation, and inhibition/reversal of platelet aggregation. In turn, the late suppression of this pathway and the catabolism of arginine through arginase may promote macrophage function within wounds.","ISSN":"0022-1767","note":"PMID: 2332635","journalAbbreviation":"J. Immunol.","language":"eng","author":[{"family":"Albina","given":"J. E."},{"family":"Mills","given":"C. D."},{"family":"Henry","given":"W. L."},{"family":"Caldwell","given":"M. D."}],"issued":{"date-parts":[["1990",5,15]]}}},{"id":1873,"uris":["http://zotero.org/users/952979/items/GA5C67K3"],"uri":["http://zotero.org/users/952979/items/GA5C67K3"],"itemData":{"id":1873,"type":"article-journal","title":"Regulation of macrophage functions by L-arginine","container-title":"The Journal of Experimental Medicine","page":"1021-1029","volume":"169","issue":"3","source":"PubMed Central","abstract":"Sites of inflammation with prominent macrophage infiltration, such as wounds and certain tumors, are uniquely deficient in free arginine. The effects of arginine availability on macrophage physiology were investigated. When cultured in media containing less than 0.1 mM L- arginine, rat resident peritoneal macrophages exhibited enhanced spreading, tumor cytotoxicity, superoxide production, phagocytosis, and protein synthesis. Thus, arginine concentrations similar to those found in sites of inflammation can augment macrophage functions, while those found in plasma (approximately 0.1 mM) and in commonly used culture media (0.4 to 1.2 mM) are inhibitory. Culture in homoarginine, but not D-arginine, ornithine, citrulline, urea, histidine, or lysine also inhibited macrophage tumor cytotoxicity, indicating the specificity of the effect. In contrast to resident macrophages, the tumor cytotoxicity of peritoneal macrophages obtained after C. parvum injection was suppressed by culture in arginine-deficient media. However, L-arginine- deficient media enhanced all other activation-associated functions in C. parvum-elicited macrophages as in resident cells. Arginine-free wound fluid promoted resident macrophage tumoricidal activity when compared with rat serum, and again, the addition of L-arginine was inhibitory. The marked effects of L-arginine availability on macrophage functions, together with the knowledge that these cells modify the extracellular arginine concentration in sites of inflammation through arginase, provide evidence for an autoregulatory mechanism of macrophage activation.","ISSN":"0022-1007","note":"PMID: 2538541\nPMCID: PMC2189280","journalAbbreviation":"J Exp Med","author":[{"family":"Albina","given":"Jorge"},{"family":"Caldwell","given":"Michael"},{"family":"Henry","given":"William"},{"family":"Mills","given":"Charles"}],"issued":{"date-parts":[["1989",3,1]]}}}],"schema":"https://github.com/citation-style-language/schema/raw/master/csl-citation.json"} </w:instrText>
      </w:r>
      <w:r>
        <w:fldChar w:fldCharType="separate"/>
      </w:r>
      <w:r w:rsidR="00A53A6B" w:rsidRPr="00A53A6B">
        <w:rPr>
          <w:rFonts w:ascii="Calibri" w:hAnsi="Calibri" w:cs="Times New Roman"/>
        </w:rPr>
        <w:t>(18–21)</w:t>
      </w:r>
      <w:r>
        <w:fldChar w:fldCharType="end"/>
      </w:r>
      <w:r>
        <w:t xml:space="preserve">. This paradox of kill-repair eventually led to the discovery that macrophages could be polarised to perform such functions, with pro-inflammatory macrophages being termed M1 and anti-inflammatory, pro-resolving macrophage being termed M2 </w:t>
      </w:r>
      <w:r w:rsidRPr="00CE341A">
        <w:fldChar w:fldCharType="begin"/>
      </w:r>
      <w:r w:rsidR="000A209C">
        <w:instrText xml:space="preserve"> ADDIN ZOTERO_ITEM CSL_CITATION {"citationID":"DJL15CnS","properties":{"formattedCitation":"(17,22)","plainCitation":"(17,22)","noteIndex":0},"citationItems":[{"id":1313,"uris":["http://zotero.org/users/952979/items/9ZXCKK4S"],"uri":["http://zotero.org/users/952979/items/9ZXCKK4S"],"itemData":{"id":1313,"type":"article-journal","title":"Anatomy of a Discovery: M1 and M2 Macrophages","container-title":"Frontiers in Immunology","volume":"6","source":"PubMed Central","abstract":"M1 and M2 macrophage-type responses kill or repair in vivo. The unique ability of macrophages to make these polar opposite type of responses provides primary host protection and maintains tissue homeostasis throughout the animal kingdom. In humans and other higher animals, M1 and M2-type macrophage responses also initiate and direct T cells/adaptive immunity to provide additional protection such as Th1 (cytotoxic) or Th2 (antibody-mediated) type responses. Hence, macrophages were renamed M1 and M2 to indicate the central role of macrophages/innate immunity in immune systems. These findings indicate that the long held notion that adaptive immunity controls innate immunity was backward: a sea change in understanding how immune responses occur. The clinical impact of M1/kill and M2/repair responses is immense playing pivotal roles in curing (or causing) many diseases including infections, cancer, autoimmunity, and atherosclerosis. How M1/M2 came to be is an interesting story that, like life, involved Direction, Determination, Discouragement, and Discovery.","URL":"http://www.ncbi.nlm.nih.gov/pmc/articles/PMC4419847/","DOI":"10.3389/fimmu.2015.00212","ISSN":"1664-3224","note":"PMID: 25999950\nPMCID: PMC4419847","shortTitle":"Anatomy of a Discovery","journalAbbreviation":"Front Immunol","author":[{"family":"Mills","given":"Charles Dudley"}],"issued":{"date-parts":[["2015",5,5]]},"accessed":{"date-parts":[["2015",11,2]]}}},{"id":1312,"uris":["http://zotero.org/users/952979/items/2DRD5T5T"],"uri":["http://zotero.org/users/952979/items/2DRD5T5T"],"itemData":{"id":1312,"type":"article-journal","title":"M-1/M-2 macrophages and the Th1/Th2 paradigm","container-title":"Journal of Immunology (Baltimore, Md.: 1950)","page":"6166-6173","volume":"164","issue":"12","source":"PubMed","abstract":"Evidence is provided that macrophages can make M-1 or M-2 responses. The concept of M-1/M-2 fomented from observations that macrophages from prototypical Th1 strains (C57BL/6, B10D2) are more easily activated to produce NO with either IFN-gamma or LPS than macrophages from Th2 strains (BALB/c, DBA/2). In marked contrast, LPS stimulates Th2, but not Th1, macrophages to increase arginine metabolism to ornithine. Thus, M-1/M-2 does not simply describe activated or unactivated macrophages, but cells expressing distinct metabolic programs. Because NO inhibits cell division, while ornithine can stimulate cell division (via polyamines), these results also indicate that M-1 and M-2 responses can influence inflammatory reactions in opposite ways. Macrophage TGF-beta1, which inhibits inducible NO synthase and stimulates arginase, appears to play an important role in regulating the balance between M-1 and M-2. M-1/M-2 phenotypes are independent of T or B lymphocytes because C57BL/6 and BALB/c NUDE or SCID macrophages also exhibit M-1/M-2. Indeed, M-1/M-2 proclivities are magnified in NUDE and SCID mice. Finally, C57BL/6 SCID macrophages cause CB6F1 lymphocytes to increase IFN-gamma production, while BALB/c SCID macrophages increase TGF-beta production. Together, the results indicate that M-1- or M-2-dominant macrophage responses can influence whether Th1/Th2 or other types of inflammatory responses occur.","ISSN":"0022-1767","note":"PMID: 10843666","journalAbbreviation":"J. Immunol.","language":"eng","author":[{"family":"Mills","given":"C. D."},{"family":"Kincaid","given":"K."},{"family":"Alt","given":"J. M."},{"family":"Heilman","given":"M. J."},{"family":"Hill","given":"A. M."}],"issued":{"date-parts":[["2000",6,15]]}}}],"schema":"https://github.com/citation-style-language/schema/raw/master/csl-citation.json"} </w:instrText>
      </w:r>
      <w:r w:rsidRPr="00CE341A">
        <w:fldChar w:fldCharType="separate"/>
      </w:r>
      <w:r w:rsidR="00A53A6B" w:rsidRPr="00A53A6B">
        <w:rPr>
          <w:rFonts w:ascii="Calibri" w:hAnsi="Calibri"/>
        </w:rPr>
        <w:t>(17,22)</w:t>
      </w:r>
      <w:r w:rsidRPr="00CE341A">
        <w:fldChar w:fldCharType="end"/>
      </w:r>
      <w:r w:rsidRPr="003E08C6">
        <w:t>.</w:t>
      </w:r>
      <w:r>
        <w:t xml:space="preserve"> </w:t>
      </w:r>
      <w:r w:rsidR="00E7482C" w:rsidRPr="00E7482C">
        <w:t xml:space="preserve">This terminology was derived from helper T cell (Th) nomenclature where Th1 cells produce IFN-γ, leading to macrophage activation and where Th2 responses produce IL-4 and are associated with decreased macrophage activation and increased antibody production </w:t>
      </w:r>
      <w:r w:rsidR="00E7482C" w:rsidRPr="00E7482C">
        <w:fldChar w:fldCharType="begin"/>
      </w:r>
      <w:r w:rsidR="000A209C">
        <w:instrText xml:space="preserve"> ADDIN ZOTERO_ITEM CSL_CITATION {"citationID":"vAOKAZAm","properties":{"formattedCitation":"(17)","plainCitation":"(17)","noteIndex":0},"citationItems":[{"id":1313,"uris":["http://zotero.org/users/952979/items/9ZXCKK4S"],"uri":["http://zotero.org/users/952979/items/9ZXCKK4S"],"itemData":{"id":1313,"type":"article-journal","title":"Anatomy of a Discovery: M1 and M2 Macrophages","container-title":"Frontiers in Immunology","volume":"6","source":"PubMed Central","abstract":"M1 and M2 macrophage-type responses kill or repair in vivo. The unique ability of macrophages to make these polar opposite type of responses provides primary host protection and maintains tissue homeostasis throughout the animal kingdom. In humans and other higher animals, M1 and M2-type macrophage responses also initiate and direct T cells/adaptive immunity to provide additional protection such as Th1 (cytotoxic) or Th2 (antibody-mediated) type responses. Hence, macrophages were renamed M1 and M2 to indicate the central role of macrophages/innate immunity in immune systems. These findings indicate that the long held notion that adaptive immunity controls innate immunity was backward: a sea change in understanding how immune responses occur. The clinical impact of M1/kill and M2/repair responses is immense playing pivotal roles in curing (or causing) many diseases including infections, cancer, autoimmunity, and atherosclerosis. How M1/M2 came to be is an interesting story that, like life, involved Direction, Determination, Discouragement, and Discovery.","URL":"http://www.ncbi.nlm.nih.gov/pmc/articles/PMC4419847/","DOI":"10.3389/fimmu.2015.00212","ISSN":"1664-3224","note":"PMID: 25999950\nPMCID: PMC4419847","shortTitle":"Anatomy of a Discovery","journalAbbreviation":"Front Immunol","author":[{"family":"Mills","given":"Charles Dudley"}],"issued":{"date-parts":[["2015",5,5]]},"accessed":{"date-parts":[["2015",11,2]]}}}],"schema":"https://github.com/citation-style-language/schema/raw/master/csl-citation.json"} </w:instrText>
      </w:r>
      <w:r w:rsidR="00E7482C" w:rsidRPr="00E7482C">
        <w:fldChar w:fldCharType="separate"/>
      </w:r>
      <w:r w:rsidR="00A53A6B" w:rsidRPr="00A53A6B">
        <w:rPr>
          <w:rFonts w:ascii="Calibri" w:hAnsi="Calibri"/>
        </w:rPr>
        <w:t>(17)</w:t>
      </w:r>
      <w:r w:rsidR="00E7482C" w:rsidRPr="00E7482C">
        <w:fldChar w:fldCharType="end"/>
      </w:r>
      <w:r w:rsidR="00E7482C" w:rsidRPr="00E7482C">
        <w:t xml:space="preserve">.  </w:t>
      </w:r>
    </w:p>
    <w:p w14:paraId="1F8D0CC8" w14:textId="77777777" w:rsidR="001D1AB8" w:rsidRDefault="001D1AB8" w:rsidP="001D1AB8">
      <w:pPr>
        <w:pStyle w:val="Thesisnormal"/>
      </w:pPr>
    </w:p>
    <w:p w14:paraId="013028E1" w14:textId="77777777" w:rsidR="001D1AB8" w:rsidRDefault="001D1AB8" w:rsidP="001D1AB8">
      <w:pPr>
        <w:pStyle w:val="Heading3"/>
        <w:ind w:firstLine="720"/>
      </w:pPr>
      <w:bookmarkStart w:id="34" w:name="_Toc502936280"/>
      <w:bookmarkStart w:id="35" w:name="_Toc4589259"/>
      <w:r>
        <w:t>1.2.1 M1 macrophages</w:t>
      </w:r>
      <w:bookmarkEnd w:id="34"/>
      <w:bookmarkEnd w:id="35"/>
    </w:p>
    <w:p w14:paraId="2F9CF982" w14:textId="77777777" w:rsidR="001D1AB8" w:rsidRDefault="001D1AB8" w:rsidP="001D1AB8">
      <w:pPr>
        <w:pStyle w:val="Thesisnormal"/>
      </w:pPr>
    </w:p>
    <w:p w14:paraId="341CCBCB" w14:textId="163F9BD8" w:rsidR="001D1AB8" w:rsidRPr="003E08C6" w:rsidRDefault="001D1AB8" w:rsidP="006A45E9">
      <w:pPr>
        <w:pStyle w:val="Thesisnormal"/>
      </w:pPr>
      <w:r>
        <w:lastRenderedPageBreak/>
        <w:t>M</w:t>
      </w:r>
      <w:r w:rsidRPr="003E08C6">
        <w:t>1 macrophages are activated in response to bacterial infection through the recognition of pathogen</w:t>
      </w:r>
      <w:r>
        <w:t>-</w:t>
      </w:r>
      <w:r w:rsidRPr="003E08C6">
        <w:t>associated molecular patterns (PAMPs) and molecules such as interferon gamma (IFN-</w:t>
      </w:r>
      <w:r>
        <w:t>γ</w:t>
      </w:r>
      <w:r w:rsidRPr="003E08C6">
        <w:t xml:space="preserve">) and Lipopolysaccharide (LPS) </w:t>
      </w:r>
      <w:r w:rsidRPr="003E08C6">
        <w:fldChar w:fldCharType="begin"/>
      </w:r>
      <w:r w:rsidR="000A209C">
        <w:instrText xml:space="preserve"> ADDIN ZOTERO_ITEM CSL_CITATION {"citationID":"fbdtimj6l","properties":{"formattedCitation":"(23)","plainCitation":"(23)","noteIndex":0},"citationItems":[{"id":1311,"uris":["http://zotero.org/users/952979/items/4339WKVR"],"uri":["http://zotero.org/users/952979/items/4339WKVR"],"itemData":{"id":1311,"type":"article-journal","title":"Much More than M1 and M2 Macrophages, There are also CD169+ and TCR+ Macrophages","container-title":"Frontiers in Immunology","volume":"6","source":"PubMed Central","abstract":"Monocytes are considered to be precursor cells of the mononuclear phagocytic system, and macrophages are one of the leading members of this cellular system. Macrophages play highly diverse roles in maintaining an organism’s integrity by either directly participating in pathogen elimination or repairing tissue under sterile inflammatory conditions. There are different subpopulations of macrophages and each one has its own characteristics and functions. In this review, we summarize present knowledge on the polarization of macrophages that allows the generation of subpopulations called classically activated macrophages or M1 and alternative activated macrophages or M2. Furthermore, there are macrophages that their origin and characterization still remain unclear but have been involved as main players in some human pathologies. Thus, we also review three other categories of macrophages: tumor-associated macrophages, CD169+ macrophages, and the recently named TCR+ macrophages. Based on the literature, we provide information on the molecular characterization of these macrophage subpopulations and their specific involvement in several human pathologies such as cancer, infectious diseases, obesity, and asthma. The refined characterization of the macrophage subpopulations can be useful in designing new strategies, supplementing those already established for the treatment of diseases using macrophages as a therapeutic target.","URL":"http://www.ncbi.nlm.nih.gov/pmc/articles/PMC4443739/","DOI":"10.3389/fimmu.2015.00263","ISSN":"1664-3224","note":"PMID: 26074923\nPMCID: PMC4443739","journalAbbreviation":"Front Immunol","author":[{"family":"Chávez-Galán","given":"Leslie"},{"family":"Olleros","given":"Maria L."},{"family":"Vesin","given":"Dominique"},{"family":"Garcia","given":"Irene"}],"issued":{"date-parts":[["2015",5,26]]},"accessed":{"date-parts":[["2015",11,2]]}}}],"schema":"https://github.com/citation-style-language/schema/raw/master/csl-citation.json"} </w:instrText>
      </w:r>
      <w:r w:rsidRPr="003E08C6">
        <w:fldChar w:fldCharType="separate"/>
      </w:r>
      <w:r w:rsidR="00A53A6B" w:rsidRPr="00A53A6B">
        <w:rPr>
          <w:rFonts w:ascii="Calibri" w:hAnsi="Calibri"/>
        </w:rPr>
        <w:t>(23)</w:t>
      </w:r>
      <w:r w:rsidRPr="003E08C6">
        <w:fldChar w:fldCharType="end"/>
      </w:r>
      <w:r w:rsidRPr="003E08C6">
        <w:t xml:space="preserve">. Characterised by pro-inflammatory and microbicidal functions, M1 macrophages are essential for the clearance of bacterial infections </w:t>
      </w:r>
      <w:r>
        <w:fldChar w:fldCharType="begin"/>
      </w:r>
      <w:r w:rsidR="000A209C">
        <w:instrText xml:space="preserve"> ADDIN ZOTERO_ITEM CSL_CITATION {"citationID":"1puanposhd","properties":{"formattedCitation":"(24)","plainCitation":"(24)","noteIndex":0},"citationItems":[{"id":1440,"uris":["http://zotero.org/users/952979/items/4XN79BS2"],"uri":["http://zotero.org/users/952979/items/4XN79BS2"],"itemData":{"id":1440,"type":"article-journal","title":"Trophic macrophages in development and disease","container-title":"Nature Reviews Immunology","page":"259-270","volume":"9","issue":"4","source":"www.nature.com","abstract":"Specialized phagocytes are found in the most primitive multicellular organisms. Their roles in homeostasis and in distinguishing self from non-self have evolved with the complexity of organisms and their immune systems. Equally important, but often overlooked, are the roles of macrophages in tissue development. As discussed in this Review, these include functions in branching morphogenesis, neuronal patterning, angiogenesis, bone morphogenesis and the generation of adipose tissue. In each case, macrophage depletion impairs the formation of the tissue and compromises its function. I argue that in several diseases, the unrestrained acquisition of these developmental macrophage functions exacerbates pathology. For example, macrophages enhance tumour progression and metastasis by affecting tumour-cell migration and invasion, as well as angiogenesis.","DOI":"10.1038/nri2528","ISSN":"1474-1733","journalAbbreviation":"Nat Rev Immunol","language":"en","author":[{"family":"Pollard","given":"Jeffrey W."}],"issued":{"date-parts":[["2009",4]]}}}],"schema":"https://github.com/citation-style-language/schema/raw/master/csl-citation.json"} </w:instrText>
      </w:r>
      <w:r>
        <w:fldChar w:fldCharType="separate"/>
      </w:r>
      <w:r w:rsidR="00A53A6B" w:rsidRPr="00A53A6B">
        <w:rPr>
          <w:rFonts w:ascii="Calibri" w:hAnsi="Calibri"/>
        </w:rPr>
        <w:t>(24)</w:t>
      </w:r>
      <w:r>
        <w:fldChar w:fldCharType="end"/>
      </w:r>
      <w:r w:rsidRPr="003E08C6">
        <w:t>.</w:t>
      </w:r>
      <w:r w:rsidR="0032604C">
        <w:t xml:space="preserve"> During the initial phases of wound responses, M1 macrophages differentiate from recruited monocytes </w:t>
      </w:r>
      <w:r w:rsidR="004A1963">
        <w:fldChar w:fldCharType="begin"/>
      </w:r>
      <w:r w:rsidR="000A209C">
        <w:instrText xml:space="preserve"> ADDIN ZOTERO_ITEM CSL_CITATION {"citationID":"cXf7lXwo","properties":{"formattedCitation":"(25)","plainCitation":"(25)","noteIndex":0},"citationItems":[{"id":1652,"uris":["http://zotero.org/users/952979/items/62IVUAZ4"],"uri":["http://zotero.org/users/952979/items/62IVUAZ4"],"itemData":{"id":1652,"type":"article-journal","title":"The Role of Macrophages in Acute and Chronic Wound Healing and Interventions to Promote Pro-wound Healing Phenotypes","container-title":"Frontiers in Physiology","volume":"9","source":"PubMed Central","abstract":"Macrophages play key roles in all phases of adult wound healing, which are inflammation, proliferation, and remodeling. As wounds heal, the local macrophage population transitions from predominantly pro-inflammatory (M1-like phenotypes) to anti-inflammatory (M2-like phenotypes). Non-healing chronic wounds, such as pressure, arterial, venous, and diabetic ulcers indefinitely remain in inflammation—the first stage of wound healing. Thus, local macrophages retain pro-inflammatory characteristics. This review discusses the physiology of monocytes and macrophages in acute wound healing and the different phenotypes described in the literature for both in vitro and in vivo models. We also discuss aberrations that occur in macrophage populations in chronic wounds, and attempts to restore macrophage function by therapeutic approaches. These include endogenous M1 attenuation, exogenous M2 supplementation and endogenous macrophage modulation/M2 promotion via mesenchymal stem cells, growth factors, biomaterials, heme oxygenase-1 (HO-1) expression, and oxygen therapy. We recognize the challenges and controversies that exist in this field, such as standardization of macrophage phenotype nomenclature, definition of their distinct roles and understanding which phenotype is optimal in order to promote healing in chronic wounds.","URL":"https://www.ncbi.nlm.nih.gov/pmc/articles/PMC5938667/","DOI":"10.3389/fphys.2018.00419","ISSN":"1664-042X","note":"PMID: 29765329\nPMCID: PMC5938667","journalAbbreviation":"Front Physiol","author":[{"family":"Krzyszczyk","given":"Paulina"},{"family":"Schloss","given":"Rene"},{"family":"Palmer","given":"Andre"},{"family":"Berthiaume","given":"François"}],"issued":{"date-parts":[["2018",5,1]]}}}],"schema":"https://github.com/citation-style-language/schema/raw/master/csl-citation.json"} </w:instrText>
      </w:r>
      <w:r w:rsidR="004A1963">
        <w:fldChar w:fldCharType="separate"/>
      </w:r>
      <w:r w:rsidR="004A1963" w:rsidRPr="004A1963">
        <w:rPr>
          <w:rFonts w:ascii="Calibri" w:hAnsi="Calibri"/>
        </w:rPr>
        <w:t>(25)</w:t>
      </w:r>
      <w:r w:rsidR="004A1963">
        <w:fldChar w:fldCharType="end"/>
      </w:r>
      <w:r w:rsidR="004A1963">
        <w:t xml:space="preserve">. </w:t>
      </w:r>
      <w:r w:rsidRPr="003E08C6">
        <w:t>Upon recognition of an appropriate stimulus, M1 macrophages up</w:t>
      </w:r>
      <w:r>
        <w:t>-</w:t>
      </w:r>
      <w:r w:rsidRPr="003E08C6">
        <w:t>regulate a number of pro-inflammatory molecules including</w:t>
      </w:r>
      <w:r>
        <w:t xml:space="preserve"> inducible Nitric Oxide Synthase</w:t>
      </w:r>
      <w:r w:rsidRPr="003E08C6">
        <w:t xml:space="preserve"> </w:t>
      </w:r>
      <w:r>
        <w:t>(</w:t>
      </w:r>
      <w:r w:rsidRPr="003E08C6">
        <w:t>iNOS</w:t>
      </w:r>
      <w:r>
        <w:t>)</w:t>
      </w:r>
      <w:r w:rsidRPr="003E08C6">
        <w:t>,</w:t>
      </w:r>
      <w:r>
        <w:t xml:space="preserve"> interleukin-1 (IL-1) and IL-6 </w:t>
      </w:r>
      <w:r>
        <w:fldChar w:fldCharType="begin"/>
      </w:r>
      <w:r w:rsidR="000A209C">
        <w:instrText xml:space="preserve"> ADDIN ZOTERO_ITEM CSL_CITATION {"citationID":"1n1s1r1euq","properties":{"formattedCitation":"(26)","plainCitation":"(26)","noteIndex":0},"citationItems":[{"id":1369,"uris":["http://zotero.org/users/952979/items/MIAUSN3M"],"uri":["http://zotero.org/users/952979/items/MIAUSN3M"],"itemData":{"id":1369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fldChar w:fldCharType="separate"/>
      </w:r>
      <w:r w:rsidR="004A1963" w:rsidRPr="004A1963">
        <w:rPr>
          <w:rFonts w:ascii="Calibri" w:hAnsi="Calibri"/>
        </w:rPr>
        <w:t>(26)</w:t>
      </w:r>
      <w:r>
        <w:fldChar w:fldCharType="end"/>
      </w:r>
      <w:r w:rsidRPr="003E08C6">
        <w:t xml:space="preserve">. </w:t>
      </w:r>
    </w:p>
    <w:p w14:paraId="4FC2E860" w14:textId="77777777" w:rsidR="001D1AB8" w:rsidRDefault="001D1AB8" w:rsidP="006A45E9">
      <w:pPr>
        <w:pStyle w:val="Thesisnormal"/>
      </w:pPr>
    </w:p>
    <w:p w14:paraId="035980DC" w14:textId="2C0B8A51" w:rsidR="001D1AB8" w:rsidRDefault="001D1AB8" w:rsidP="001D1AB8">
      <w:pPr>
        <w:pStyle w:val="Thesisnormal"/>
      </w:pPr>
      <w:r>
        <w:t xml:space="preserve">Polarisation towards an M1 phenotype requires alterations in cellular metabolism and hypoxia responses </w:t>
      </w:r>
      <w:r>
        <w:fldChar w:fldCharType="begin"/>
      </w:r>
      <w:r w:rsidR="000A209C">
        <w:instrText xml:space="preserve"> ADDIN ZOTERO_ITEM CSL_CITATION {"citationID":"RYAHE7gL","properties":{"formattedCitation":"(27)","plainCitation":"(27)","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J."}],"issued":{"date-parts":[["2017"]]}}}],"schema":"https://github.com/citation-style-language/schema/raw/master/csl-citation.json"} </w:instrText>
      </w:r>
      <w:r>
        <w:fldChar w:fldCharType="separate"/>
      </w:r>
      <w:r w:rsidR="004A1963" w:rsidRPr="004A1963">
        <w:rPr>
          <w:rFonts w:ascii="Calibri" w:hAnsi="Calibri"/>
        </w:rPr>
        <w:t>(27)</w:t>
      </w:r>
      <w:r>
        <w:fldChar w:fldCharType="end"/>
      </w:r>
      <w:r>
        <w:t xml:space="preserve">. Classical M1-polarising agents such as IFN-γ and LPS have been shown to alter metabolism and hypoxia responses to promote pro-inflammatory phenotypes </w:t>
      </w:r>
      <w:r>
        <w:fldChar w:fldCharType="begin"/>
      </w:r>
      <w:r w:rsidR="000A209C">
        <w:instrText xml:space="preserve"> ADDIN ZOTERO_ITEM CSL_CITATION {"citationID":"Pqi13zcI","properties":{"formattedCitation":"(28,29)","plainCitation":"(28,29)","noteIndex":0},"citationItems":[{"id":1608,"uris":["http://zotero.org/users/952979/items/SRYYH7U4"],"uri":["http://zotero.org/users/952979/items/SRYYH7U4"],"itemData":{"id":1608,"type":"article-journal","title":"Pyruvate kinase M2 regulates Hif-1α activity and IL-1β induction and is a critical determinant of the warburg effect in LPS-activated macrophages","container-title":"Cell Metabolism","page":"65-80","volume":"21","issue":"1","source":"PubMed","abstract":"Macrophages activated by the TLR4 agonist LPS undergo dramatic changes in their metabolic activity. We here show that LPS induces expression of the key metabolic regulator Pyruvate Kinase M2 (PKM2). Activation of PKM2 using two well-characterized small molecules, DASA-58 and TEPP-46, inhibited LPS-induced Hif-1α and IL-1β, as well as the expression of a range of other Hif-1α-dependent genes. Activation of PKM2 attenuated an LPS-induced proinflammatory M1 macrophage phenotype while promoting traits typical of an M2 macrophage. We show that LPS-induced PKM2 enters into a complex with Hif-1α, which can directly bind to the IL-1β promoter, an event that is inhibited by activation of PKM2. Both compounds inhibited LPS-induced glycolytic reprogramming and succinate production. Finally, activation of PKM2 by TEPP-46 in vivo inhibited LPS and Salmonella typhimurium-induced IL-1β production, while boosting production of IL-10. PKM2 is therefore a critical determinant of macrophage activation by LPS, promoting the inflammatory response.","DOI":"10.1016/j.cmet.2014.12.005","ISSN":"1932-7420","note":"PMID: 25565206\nPMCID: PMC5198835","journalAbbreviation":"Cell Metab.","language":"eng","author":[{"family":"Palsson-McDermott","given":"Eva M."},{"family":"Curtis","given":"Anne M."},{"family":"Goel","given":"Gautam"},{"family":"Lauterbach","given":"Mario A. R."},{"family":"Sheedy","given":"Frederick J."},{"family":"Gleeson","given":"Laura E."},{"family":"Bosch","given":"Mirjam W. M.","non-dropping-particle":"van den"},{"family":"Quinn","given":"Susan R."},{"family":"Domingo-Fernandez","given":"Raquel"},{"family":"Johnston","given":"Daniel G. W."},{"family":"Jiang","given":"Jian-Kang"},{"family":"Jiang","given":"Jain-Kang"},{"family":"Israelsen","given":"William J."},{"family":"Keane","given":"Joseph"},{"family":"Thomas","given":"Craig"},{"family":"Clish","given":"Clary"},{"family":"Vander Heiden","given":"Matthew"},{"family":"Vanden Heiden","given":"Matthew"},{"family":"Xavier","given":"Ramnik J."},{"family":"O'Neill","given":"Luke A. J."}],"issued":{"date-parts":[["2015",1,6]]}}},{"id":66,"uris":["http://zotero.org/users/952979/items/RIRLTLNX"],"uri":["http://zotero.org/users/952979/items/RIRLTLNX"],"itemData":{"id":66,"type":"article-journal","title":"Identification of interferon-gamma as the lymphokine that activates human macrophage oxidative metabolism and antimicrobial activity","container-title":"The Journal of Experimental Medicine","page":"670-689","volume":"158","issue":"3","source":"PubMed","abstract":"Human blood mononuclear leukocytes stimulated with toxoplasma antigen, concanavalin A, mezerein plus lentil lectin, or staphylococcal enterotoxin A secreted a factor (macrophage-activating factor, or MAF) that enhanced the capacity of human macrophages to release H2O2 and to kill toxoplasmas. The same lymphoid supernatants contained IFN gamma but not IFN alpha or IFN beta. The MAF activity of six of seven unfractionated supernatants was completely eliminated by a monoclonal antibody that neutralizes IFN gamma, and MAF in the remaining supernatant was almost completely neutralized. Native IFN gamma partially purified by two independent protocols to specific activities of 1 X 10(6) and 10(7) U/mg protein was enriched in MAF activity at least as much as in antiviral activity. The capacity of macrophages to secrete H2O2 after incubation in partially purified native IFN gamma (mean peak stimulation, 8.8-fold) was greater than with unpurified lymphokines (3.8-fold) and sometimes equaled or exceeded the capacity of freshly harvested monocytes. The MAF activity of the partially purified native IFN gamma preparations was abolished by monoclonal anti-IFN gamma. Finally, IFN gamma of greater than 99% estimated purity was isolated (at Genentech, Inc.) from bacteria transformed with the cloned human gene for this lymphokine. Recombinant IFN gamma had potent MAF activity, stimulating the peroxide-releasing capacity of macrophages an average of 19.8-fold at peak response and enhancing their ability to kill toxoplasmas from 2.6 +/- 1.3% for untreated cells to 54 +/- 0.4% for treated cells. Attainment of 50% of the maximal elevation in peroxide-releasing capacity required a geometric mean concentration of 0.1 antiviral U/ml of recombinant IFN gamma, which is estimated to be approximately 6 picomolar for this preparation. Peroxide secretory capacity and toxoplasmacidal activity of macrophages peaked 2-4 d after exposure to IFN gamma. Peroxide-secretory capacity remained elevated during at least 6 d of continuous exposure, but the effect of IFN gamma was reversed within about 3 d of its removal. Activation was usually but not invariably accompanied by characteristic changes in cell morphology. Thus, IFN gamma activates human macrophage oxidative metabolism and antimicrobial activity, and appeared to be the only factor consistently capable of doing so in the diverse LK preparations tested.","ISSN":"0022-1007","note":"PMID: 6411853\nPMCID: PMC2187114","journalAbbreviation":"J. Exp. Med.","language":"eng","author":[{"family":"Nathan","given":"C. F."},{"family":"Murray","given":"H. W."},{"family":"Wiebe","given":"M. E."},{"family":"Rubin","given":"B. Y."}],"issued":{"date-parts":[["1983",9,1]]}}}],"schema":"https://github.com/citation-style-language/schema/raw/master/csl-citation.json"} </w:instrText>
      </w:r>
      <w:r>
        <w:fldChar w:fldCharType="separate"/>
      </w:r>
      <w:r w:rsidR="004A1963" w:rsidRPr="004A1963">
        <w:rPr>
          <w:rFonts w:ascii="Calibri" w:hAnsi="Calibri"/>
        </w:rPr>
        <w:t>(28,29)</w:t>
      </w:r>
      <w:r>
        <w:fldChar w:fldCharType="end"/>
      </w:r>
      <w:r>
        <w:t xml:space="preserve">. M1 macrophages respire glycolytically and have specific breakpoints in the </w:t>
      </w:r>
      <w:r w:rsidRPr="004C232E">
        <w:t xml:space="preserve">Tricarboxylic </w:t>
      </w:r>
      <w:r>
        <w:t xml:space="preserve">acid cycle (TCA), which result in an accumulation of citrate and succinate </w:t>
      </w:r>
      <w:r>
        <w:fldChar w:fldCharType="begin"/>
      </w:r>
      <w:r w:rsidR="000A209C">
        <w:instrText xml:space="preserve"> ADDIN ZOTERO_ITEM CSL_CITATION {"citationID":"d52ZhwoW","properties":{"formattedCitation":"(30,31)","plainCitation":"(30,31)","noteIndex":0},"citationItems":[{"id":1545,"uris":["http://zotero.org/users/952979/items/J5NPS3BJ"],"uri":["http://zotero.org/users/952979/items/J5NPS3BJ"],"itemData":{"id":1545,"type":"article-journal","title":"A guide to immunometabolism for immunologists","container-title":"Nature Reviews. Immunology","page":"553-565","volume":"16","issue":"9","source":"PubMed","abstract":"In recent years a substantial number of findings have been made in the area of immunometabolism, by which we mean the changes in intracellular metabolic pathways in immune cells that alter their function. Here, we provide a brief refresher course on six of the major metabolic pathways involved (specifically, glycolysis, the tricarboxylic acid (TCA) cycle, the pentose phosphate pathway, fatty acid oxidation, fatty acid synthesis and amino acid metabolism), giving specific examples of how precise changes in the metabolites of these pathways shape the immune cell response. What is emerging is a complex interplay between metabolic reprogramming and immunity, which is providing an extra dimension to our understanding of the immune system in health and disease.","DOI":"10.1038/nri.2016.70","ISSN":"1474-1741","note":"PMID: 27396447\nPMCID: PMC5001910","journalAbbreviation":"Nat. Rev. Immunol.","language":"eng","author":[{"family":"O'Neill","given":"Luke A. J."},{"family":"Kishton","given":"Rigel J."},{"family":"Rathmell","given":"Jeff"}],"issued":{"date-parts":[["2016"]]}}},{"id":1549,"uris":["http://zotero.org/users/952979/items/RIKJ5WC7"],"uri":["http://zotero.org/users/952979/items/RIKJ5WC7"],"itemData":{"id":1549,"type":"article-journal","title":"Metabolic reprogramming in macrophages and dendritic cells in innate immunity","container-title":"Cell Research","page":"771-784","volume":"25","issue":"7","source":"PubMed","abstract":"Activation of macrophages and dendritic cells (DCs) by pro-inflammatory stimuli causes them to undergo a metabolic switch towards glycolysis and away from oxidative phosphorylation (OXPHOS), similar to the Warburg effect in tumors. However, it is only recently that the mechanisms responsible for this metabolic reprogramming have been elucidated in more detail. The transcription factor hypoxia-inducible factor-1α (HIF-1α) plays an important role under conditions of both hypoxia and normoxia. The withdrawal of citrate from the tricarboxylic acid (TCA) cycle has been shown to be critical for lipid biosynthesis in both macrophages and DCs. Interference with this process actually abolishes the ability of DCs to activate T cells. Another TCA cycle intermediate, succinate, activates HIF-1α and promotes inflammatory gene expression. These new insights are providing us with a deeper understanding of the role of metabolic reprogramming in innate immunity.","DOI":"10.1038/cr.2015.68","ISSN":"1748-7838","note":"PMID: 26045163\nPMCID: PMC4493277","journalAbbreviation":"Cell Res.","language":"eng","author":[{"family":"Kelly","given":"Beth"},{"family":"O'Neill","given":"Luke A. J."}],"issued":{"date-parts":[["2015",7]]}}}],"schema":"https://github.com/citation-style-language/schema/raw/master/csl-citation.json"} </w:instrText>
      </w:r>
      <w:r>
        <w:fldChar w:fldCharType="separate"/>
      </w:r>
      <w:r w:rsidR="004A1963" w:rsidRPr="004A1963">
        <w:rPr>
          <w:rFonts w:ascii="Calibri" w:hAnsi="Calibri"/>
        </w:rPr>
        <w:t>(30,31)</w:t>
      </w:r>
      <w:r>
        <w:fldChar w:fldCharType="end"/>
      </w:r>
      <w:r>
        <w:t xml:space="preserve">. Accumulation of citrate increases Nitric Oxide (NO) production in addition to itaconate, an antimicrobial metabolite </w:t>
      </w:r>
      <w:r>
        <w:fldChar w:fldCharType="begin"/>
      </w:r>
      <w:r w:rsidR="000A209C">
        <w:instrText xml:space="preserve"> ADDIN ZOTERO_ITEM CSL_CITATION {"citationID":"sVYhwgpD","properties":{"formattedCitation":"(32,33)","plainCitation":"(32,33)","noteIndex":0},"citationItems":[{"id":1548,"uris":["http://zotero.org/users/952979/items/BIQ3JS46"],"uri":["http://zotero.org/users/952979/items/BIQ3JS46"],"itemData":{"id":1548,"type":"article-journal","title":"Network Integration of Parallel Metabolic and Transcriptional Data Reveals Metabolic Modules that Regulate Macrophage Polarization","container-title":"Immunity","page":"419-430","volume":"42","issue":"3","source":"www.cell.com","DOI":"10.1016/j.immuni.2015.02.005","ISSN":"1074-7613","note":"PMID: 25786174","journalAbbreviation":"Immunity","language":"English","author":[{"family":"Jha","given":"Abhishek K."},{"family":"Huang","given":"Stanley Ching-Cheng"},{"family":"Sergushichev","given":"Alexey"},{"family":"Lampropoulou","given":"Vicky"},{"family":"Ivanova","given":"Yulia"},{"family":"Loginicheva","given":"Ekaterina"},{"family":"Chmielewski","given":"Karina"},{"family":"Stewart","given":"Kelly M."},{"family":"Ashall","given":"Juliet"},{"family":"Everts","given":"Bart"},{"family":"Pearce","given":"Edward J."},{"family":"Driggers","given":"Edward M."},{"family":"Artyomov","given":"Maxim N."}],"issued":{"date-parts":[["2015",3,17]]}}},{"id":1547,"uris":["http://zotero.org/users/952979/items/JJB2QZZK"],"uri":["http://zotero.org/users/952979/items/JJB2QZZK"],"itemData":{"id":1547,"type":"article-journal","title":"Mitochondria are the powerhouses of immunity","container-title":"Nature Immunology","page":"488-498","volume":"18","issue":"5","source":"www.nature.com","abstract":"Recent evidence indicates that mitochondria lie at the heart of immunity. Mitochondrial DNA acts as a danger-associated molecular pattern (DAMP), and the mitochondrial outer membrane is a platform for signaling molecules such as MAVS in RIG-I signaling, and for the NLRP3 inflammasome. Mitochondrial biogenesis, fusion and fission have roles in aspects of immune-cell activation. Most important, Krebs cycle intermediates such as succinate, fumarate and citrate engage in processes related to immunity and inflammation, in both innate and adaptive immune cells. These discoveries are revealing mitochondrial targets that could potentially be exploited for therapeutic gain in inflammation and cancer.\nView full text","DOI":"10.1038/ni.3704","ISSN":"1529-2908","journalAbbreviation":"Nat Immunol","language":"en","author":[{"family":"Mills","given":"Evanna L."},{"family":"Kelly","given":"Beth"},{"family":"O'Neill","given":"Luke A. J."}],"issued":{"date-parts":[["2017",5]]}}}],"schema":"https://github.com/citation-style-language/schema/raw/master/csl-citation.json"} </w:instrText>
      </w:r>
      <w:r>
        <w:fldChar w:fldCharType="separate"/>
      </w:r>
      <w:r w:rsidR="004A1963" w:rsidRPr="004A1963">
        <w:rPr>
          <w:rFonts w:ascii="Calibri" w:hAnsi="Calibri"/>
        </w:rPr>
        <w:t>(32,33)</w:t>
      </w:r>
      <w:r>
        <w:fldChar w:fldCharType="end"/>
      </w:r>
      <w:r>
        <w:t>.</w:t>
      </w:r>
      <w:r w:rsidRPr="00A00FC2">
        <w:t xml:space="preserve"> </w:t>
      </w:r>
      <w:r>
        <w:t xml:space="preserve">Accumulation of succinate can induce IL-1β and lead to an accumulation of HIF-1α </w:t>
      </w:r>
      <w:r>
        <w:fldChar w:fldCharType="begin"/>
      </w:r>
      <w:r w:rsidR="000A209C">
        <w:instrText xml:space="preserve"> ADDIN ZOTERO_ITEM CSL_CITATION {"citationID":"WbfBR2Ff","properties":{"formattedCitation":"(34,35)","plainCitation":"(34,35)","noteIndex":0},"citationItems":[{"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A."}],"issued":{"date-parts":[["2016",10,6]]}}},{"id":1648,"uris":["http://zotero.org/users/952979/items/4CQXZFAC"],"uri":["http://zotero.org/users/952979/items/4CQXZFAC"],"itemData":{"id":1648,"type":"article-journal","title":"Succinate is an inflammatory signal that induces IL-1β through HIF-1α","container-title":"Nature","page":"238-242","volume":"496","issue":"7444","source":"PubMed","abstract":"Macrophages activated by the Gram-negative bacterial product lipopolysaccharide switch their core metabolism from oxidative phosphorylation to glycolysis. Here we show that inhibition of glycolysis with 2-deoxyglucose suppresses lipopolysaccharide-induced interleukin-1β but not tumour-necrosis factor-α in mouse macrophages. A comprehensive metabolic map of lipopolysaccharide-activated macrophages shows upregulation of glycolytic and downregulation of mitochondrial genes, which correlates directly with the expression profiles of altered metabolites. Lipopolysaccharide strongly increases the levels of the tricarboxylic-acid cycle intermediate succinate. Glutamine-dependent anerplerosis is the principal source of succinate, although the 'GABA (γ-aminobutyric acid) shunt' pathway also has a role. Lipopolysaccharide-induced succinate stabilizes hypoxia-inducible factor-1α, an effect that is inhibited by 2-deoxyglucose, with interleukin-1β as an important target. Lipopolysaccharide also increases succinylation of several proteins. We therefore identify succinate as a metabolite in innate immune signalling, which enhances interleukin-1β production during inflammation.","DOI":"10.1038/nature11986","ISSN":"1476-4687","note":"PMID: 23535595\nPMCID: PMC4031686","journalAbbreviation":"Nature","language":"eng","author":[{"family":"Tannahill","given":"G. M."},{"family":"Curtis","given":"A. M."},{"family":"Adamik","given":"J."},{"family":"Palsson-McDermott","given":"E. M."},{"family":"McGettrick","given":"A. F."},{"family":"Goel","given":"G."},{"family":"Frezza","given":"C."},{"family":"Bernard","given":"N. J."},{"family":"Kelly","given":"B."},{"family":"Foley","given":"N. H."},{"family":"Zheng","given":"L."},{"family":"Gardet","given":"A."},{"family":"Tong","given":"Z."},{"family":"Jany","given":"S. S."},{"family":"Corr","given":"S. C."},{"family":"Haneklaus","given":"M."},{"family":"Caffrey","given":"B. E."},{"family":"Pierce","given":"K."},{"family":"Walmsley","given":"S."},{"family":"Beasley","given":"F. C."},{"family":"Cummins","given":"E."},{"family":"Nizet","given":"V."},{"family":"Whyte","given":"M."},{"family":"Taylor","given":"C. T."},{"family":"Lin","given":"H."},{"family":"Masters","given":"S. L."},{"family":"Gottlieb","given":"E."},{"family":"Kelly","given":"V. P."},{"family":"Clish","given":"C."},{"family":"Auron","given":"P. E."},{"family":"Xavier","given":"R. J."},{"family":"O'Neill","given":"L. a. J."}],"issued":{"date-parts":[["2013",4,11]]}}}],"schema":"https://github.com/citation-style-language/schema/raw/master/csl-citation.json"} </w:instrText>
      </w:r>
      <w:r>
        <w:fldChar w:fldCharType="separate"/>
      </w:r>
      <w:r w:rsidR="004A1963" w:rsidRPr="004A1963">
        <w:rPr>
          <w:rFonts w:ascii="Calibri" w:hAnsi="Calibri"/>
        </w:rPr>
        <w:t>(34,35)</w:t>
      </w:r>
      <w:r>
        <w:fldChar w:fldCharType="end"/>
      </w:r>
      <w:r>
        <w:t xml:space="preserve">. Within macrophages, there is a strong link between metabolism and hypoxia, with HIF1-α (hypoxia inducible factor-1) overexpression having been shown to induce glycolysis </w:t>
      </w:r>
      <w:r>
        <w:fldChar w:fldCharType="begin"/>
      </w:r>
      <w:r w:rsidR="000A209C">
        <w:instrText xml:space="preserve"> ADDIN ZOTERO_ITEM CSL_CITATION {"citationID":"yTiIhWl5","properties":{"formattedCitation":"(36)","plainCitation":"(36)","noteIndex":0},"citationItems":[{"id":94,"uris":["http://zotero.org/users/952979/items/K9TC54UX"],"uri":["http://zotero.org/users/952979/items/K9TC54UX"],"itemData":{"id":94,"type":"article-journal","title":"HIF1α-Induced Glycolysis Metabolism Is Essential to the Activation of Inflammatory Macrophages","container-title":"Mediators of Inflammation","volume":"2017","source":"PubMed Central","abstract":"Hypoxia-inducible factor (HIF) 1α is a metabolic regulator that plays an important role in immunologic responses. Previous studies have demonstrated that HIF1α participates in the M1 polarization of macrophages. To clarify the mechanism of HIF1α-induced polarization of M1 macrophage, myeloid-specific HIF1α overexpression (Lysm HIF1α lsl) mice were employed and the bone marrow-derived and peritoneal macrophages were isolated. RT-PCR results revealed that HIF1α overexpression macrophage had a hyperinflammatory state characterized by the upregulation of M1 markers. Cellular bioenergetics analysis showed lower cellular oxygen consumption rates in the Lysm HIF1α lsl mice. Metabolomics studies showed that HIF1α overexpression led to increased glycolysis and pentose phosphate pathway intermediates. Further results revealed that macrophage M1 polarization, induced by HIF1α overexpression, was via upregulating the mRNA expression of the genes related to the glycolysis metabolism. Our results indicate that HIF1α promoted macrophage glycolysis metabolism, which induced M1 polarization in mice.","URL":"https://www.ncbi.nlm.nih.gov/pmc/articles/PMC5745720/","DOI":"10.1155/2017/9029327","ISSN":"0962-9351","note":"PMID: 29386753\nPMCID: PMC5745720","journalAbbreviation":"Mediators Inflamm","author":[{"family":"Wang","given":"Ting"},{"family":"Liu","given":"Huiying"},{"family":"Lian","given":"Guan"},{"family":"Zhang","given":"Song-Yang"},{"family":"Wang","given":"Xian"},{"family":"Jiang","given":"Changtao"}],"issued":{"date-parts":[["2017"]]},"accessed":{"date-parts":[["2018",12,9]]}}}],"schema":"https://github.com/citation-style-language/schema/raw/master/csl-citation.json"} </w:instrText>
      </w:r>
      <w:r>
        <w:fldChar w:fldCharType="separate"/>
      </w:r>
      <w:r w:rsidR="004A1963" w:rsidRPr="004A1963">
        <w:rPr>
          <w:rFonts w:ascii="Calibri" w:hAnsi="Calibri"/>
        </w:rPr>
        <w:t>(36)</w:t>
      </w:r>
      <w:r>
        <w:fldChar w:fldCharType="end"/>
      </w:r>
      <w:r>
        <w:t xml:space="preserve">. The link between hypoxia and glycolysis in M1 polarisation has been shown in multiple species, illustrating the conserved nature of this pathway </w:t>
      </w:r>
      <w:r>
        <w:fldChar w:fldCharType="begin"/>
      </w:r>
      <w:r w:rsidR="000A209C">
        <w:instrText xml:space="preserve"> ADDIN ZOTERO_ITEM CSL_CITATION {"citationID":"GObmVDky","properties":{"formattedCitation":"(37)","plainCitation":"(37)","noteIndex":0},"citationItems":[{"id":1871,"uris":["http://zotero.org/users/952979/items/4TAZLJS7"],"uri":["http://zotero.org/users/952979/items/4TAZLJS7"],"itemData":{"id":1871,"type":"article-journal","title":"Increased Metabolite Levels of Glycolysis and Pentose Phosphate Pathway in Rabbit Atherosclerotic Arteries and Hypoxic Macrophage","container-title":"PLOS ONE","page":"e86426","volume":"9","issue":"1","source":"PLoS Journals","abstract":"Aims Inflammation and possibly hypoxia largely affect glucose utilization in atherosclerotic arteries, which could alter many metabolic systems. However, metabolic changes in atherosclerotic plaques remain unknown. The present study aims to identify changes in metabolic systems relative to glucose uptake and hypoxia in rabbit atherosclerotic arteries and cultured macrophages. Methods Macrophage-rich or smooth muscle cell (SMC)-rich neointima was created by balloon injury in the iliac-femoral arteries of rabbits fed with a 0.5% cholesterol diet or a conventional diet. THP-1 macrophages stimulated with lipopolysaccharides (LPS) and interferon-γ (INFγ) were cultured under normoxic and hypoxic conditions. We evaluated comprehensive arterial and macrophage metabolism by performing metabolomic analyses using capillary electrophoresis-time of flight mass spectrometry. We evaluated glucose uptake and its relationship to vascular hypoxia using 18F-fluorodeoxyglucose (18F-FDG) and pimonidazole, a marker of hypoxia. Results The levels of many metabolites increased in the iliac-femoral arteries with macrophage-rich neointima, compared with those that were not injured and those with SMC-rich neointima (glycolysis, 4 of 9; pentose phosphate pathway, 4 of 6; tricarboxylic acid cycle, 4 of 6; nucleotides, 10 of 20). The uptake of 18F-FDG in arterial walls measured by autoradiography positively correlated with macrophage- and pimonidazole-immunopositive areas (r = 0.76, and r = 0.59 respectively; n = 69 for both; p&lt;0.0001). Pimonidazole immunoreactivity was closely localized with the nuclear translocation of hypoxia inducible factor-1α and hexokinase II expression in macrophage-rich neointima. The levels of glycolytic (8 of 8) and pentose phosphate pathway (4 of 6) metabolites increased in LPS and INFγ stimulated macrophages under hypoxic but not normoxic condition. Plasminogen activator inhibitor-1 protein levels in the supernatant were closely associated with metabolic pathways in the macrophages. Conclusion Infiltrative macrophages in atherosclerotic arteries might affect metabolic systems, and hypoxia but not classical activation might augment glycolytic and pentose phosphate pathways in macrophages.","DOI":"10.1371/journal.pone.0086426","ISSN":"1932-6203","journalAbbreviation":"PLOS ONE","language":"en","author":[{"family":"Yamashita","given":"Atsushi"},{"family":"Zhao","given":"Yan"},{"family":"Matsuura","given":"Yunosuke"},{"family":"Yamasaki","given":"Kazuaki"},{"family":"Moriguchi-Goto","given":"Sayaka"},{"family":"Sugita","given":"Chihiro"},{"family":"Iwakiri","given":"Takashi"},{"family":"Okuyama","given":"Nozomi"},{"family":"Koshimoto","given":"Chihiro"},{"family":"Kawai","given":"Keiichi"},{"family":"Tamaki","given":"Nagara"},{"family":"Zhao","given":"Songji"},{"family":"Kuge","given":"Yuji"},{"family":"Asada","given":"Yujiro"}],"issued":{"date-parts":[["2014",1,23]]}}}],"schema":"https://github.com/citation-style-language/schema/raw/master/csl-citation.json"} </w:instrText>
      </w:r>
      <w:r>
        <w:fldChar w:fldCharType="separate"/>
      </w:r>
      <w:r w:rsidR="004A1963" w:rsidRPr="004A1963">
        <w:rPr>
          <w:rFonts w:ascii="Calibri" w:hAnsi="Calibri"/>
        </w:rPr>
        <w:t>(37)</w:t>
      </w:r>
      <w:r>
        <w:fldChar w:fldCharType="end"/>
      </w:r>
      <w:r>
        <w:t xml:space="preserve">. Additionally, M1 macrophages induce the pentose phosphate pathway shunt which utilises intermediates from glycolysis to synthesise nucleotides and amino acids involved in cellular proliferation, further promoting an inflammatory response </w:t>
      </w:r>
      <w:r>
        <w:fldChar w:fldCharType="begin"/>
      </w:r>
      <w:r w:rsidR="000A209C">
        <w:instrText xml:space="preserve"> ADDIN ZOTERO_ITEM CSL_CITATION {"citationID":"E8cMNmL9","properties":{"formattedCitation":"(38)","plainCitation":"(38)","noteIndex":0},"citationItems":[{"id":1673,"uris":["http://zotero.org/users/952979/items/2VQ8EBUE"],"uri":["http://zotero.org/users/952979/items/2VQ8EBUE"],"itemData":{"id":1673,"type":"article-journal","title":"The Sedoheptulose Kinase CARKL Directs Macrophage Polarization through Control of Glucose Metabolism","container-title":"Cell Metabolism","page":"813-826","volume":"15","issue":"6","source":"PubMed Central","abstract":"Immune cells are somewhat unique in that activation responses can alter quantitative phenotypes upwards of 100,000-fold. To date little is known about the metabolic adaptations necessary to mount such dramatic phenotypic shifts. Screening for novel regulators of macrophage activation, we found nonprotein kinases of glucose metabolism among the most enriched classes of candidate immune modulators. We find that one of these, the carbohydrate kinase-like protein CARKL, is rapidly downregulated in vitro and in vivo upon LPS stimulation in both mice and humans. Interestingly, CARKL catalyzes an orphan reaction in the pentose phosphate pathway, refocusing cellular metabolism to a high-redox state upon physiological or artificial downregulation. We find that CARKL-dependent metabolic reprogramming is required for proper M1- and M2-like macrophage polarization and uncover a rate-limiting requirement for appropriate glucose flux in macrophage polarization.","DOI":"10.1016/j.cmet.2012.04.023","ISSN":"1550-4131","note":"PMID: 22682222\nPMCID: PMC3370649","journalAbbreviation":"Cell Metab","author":[{"family":"Haschemi","given":"Arvand"},{"family":"Kosma","given":"Paul"},{"family":"Gille","given":"Lars"},{"family":"Evans","given":"Charles R."},{"family":"Burant","given":"Charles F."},{"family":"Starkl","given":"Philipp"},{"family":"Knapp","given":"Bernhard"},{"family":"Haas","given":"Robert"},{"family":"Schmid","given":"Johannes A."},{"family":"Jandl","given":"Christoph"},{"family":"Amir","given":"Shahzada"},{"family":"Lubec","given":"Gert"},{"family":"Park","given":"Jaehong"},{"family":"Esterbauer","given":"Harald"},{"family":"Bilban","given":"Martin"},{"family":"Brizuela","given":"Leonardo"},{"family":"Pospisilik","given":"J. Andrew"},{"family":"Otterbein","given":"Leo E."},{"family":"Wagner","given":"Oswald"}],"issued":{"date-parts":[["2012",6,6]]}}}],"schema":"https://github.com/citation-style-language/schema/raw/master/csl-citation.json"} </w:instrText>
      </w:r>
      <w:r>
        <w:fldChar w:fldCharType="separate"/>
      </w:r>
      <w:r w:rsidR="004A1963" w:rsidRPr="004A1963">
        <w:rPr>
          <w:rFonts w:ascii="Calibri" w:hAnsi="Calibri"/>
        </w:rPr>
        <w:t>(38)</w:t>
      </w:r>
      <w:r>
        <w:fldChar w:fldCharType="end"/>
      </w:r>
      <w:r>
        <w:t>.</w:t>
      </w:r>
    </w:p>
    <w:p w14:paraId="1BB128C7" w14:textId="77777777" w:rsidR="001D1AB8" w:rsidRDefault="001D1AB8" w:rsidP="001D1AB8">
      <w:pPr>
        <w:pStyle w:val="Thesisnormal"/>
      </w:pPr>
    </w:p>
    <w:p w14:paraId="76761E40" w14:textId="407D2253" w:rsidR="001D1AB8" w:rsidRDefault="001D1AB8" w:rsidP="001D1AB8">
      <w:pPr>
        <w:pStyle w:val="Thesisnormal"/>
      </w:pPr>
      <w:r>
        <w:t xml:space="preserve">M1 macrophages contribute to the pathogenesis of numerous chronic diseases </w:t>
      </w:r>
      <w:r>
        <w:fldChar w:fldCharType="begin"/>
      </w:r>
      <w:r w:rsidR="000A209C">
        <w:instrText xml:space="preserve"> ADDIN ZOTERO_ITEM CSL_CITATION {"citationID":"gUa1ABRb","properties":{"formattedCitation":"(16,39,40)","plainCitation":"(16,39,40)","noteIndex":0},"citationItems":[{"id":1853,"uris":["http://zotero.org/users/952979/items/KPHGPIN6"],"uri":["http://zotero.org/users/952979/items/KPHGPIN6"],"itemData":{"id":1853,"type":"article-journal","title":"M1 and M2 Macrophages: Oracles of Health and Disease","container-title":"Critical Reviews in Immunology","page":"463-488","volume":"32","issue":"6","source":"PubMed","abstract":"The purpose of immunology is simple. Cure or prevent disease. M1/M2 is useful because it is simple. M1/M2 describes the two major and opposing activities of macrophages. M1 activity inhibits cell proliferation and causes tissue damage while M2 activity promotes cell proliferation and tissue repair. Remarkably, the molecules primarily responsible for these \"Fight\" (NO) or \"Fix\" (Ornithine) activities both arise from arginine, and via enzymatic pathways (iNOS and arginase) that down regulate each other. The names M1 and M2 were chosen because M1 and M2 macrophages promote Th1 and Th2 responses, respectively. Products of Th1 and Th2 responses (e.g., IFN-γ, IL-4) also down regulate M2 and M1activity, respectively. Thus, M1/M2 demonstrated the importance of Innate Immunity and how it is linked to Adaptive Immunity in a beautifully counterbalanced system. \"Civilization\" and increased longevity present new disease challenges such as cancer and atherosclerosis that do not display classical \"foreign\" antigens. And, these diseases are often associated with (or caused by) M1- or M2- type responses that were formerly useful for fighting infections, but now are inappropriate in our increasingly \"germ-free\" societies. In turn, there is considerable potential for modulating M1 or M2 Innate responses in modern diseases to achieve better health. Finally, since M1 and Th1 (or M2 and Th2) often work in concert to produce characteristic immune responses and disease pathologies, it is recommended that Immune Type 1 or 2 (IT1, IT2) would be a simpler and unifying terminology going forward.","ISSN":"1040-8401","note":"PMID: 23428224","shortTitle":"M1 and M2 Macrophages","journalAbbreviation":"Crit. Rev. Immunol.","language":"eng","author":[{"family":"Mills","given":"Charles D."}],"issued":{"date-parts":[["2012"]]}}},{"id":1360,"uris":["http://zotero.org/users/952979/items/DJQTVKIA"],"uri":["http://zotero.org/users/952979/items/DJQTVKIA"],"itemData":{"id":1360,"type":"article-journal","title":"Protective and pathogenic functions of macrophage subsets","container-title":"Nature Reviews Immunology","page":"723-737","volume":"11","issue":"11","source":"www.nature.com","abstract":"Macrophages are strategically located throughout the body tissues, where they ingest and process foreign materials, dead cells and debris and recruit additional macrophages in response to inflammatory signals. They are highly heterogeneous cells that can rapidly change their function in response to local microenvironmental signals. In this Review, we discuss the four stages of orderly inflammation mediated by macrophages: recruitment to tissues; differentiation and activation in situ; conversion to suppressive cells; and restoration of tissue homeostasis. We also discuss the protective and pathogenic functions of the various macrophage subsets in antimicrobial defence, antitumour immune responses, metabolism and obesity, allergy and asthma, tumorigenesis, autoimmunity, atherosclerosis, fibrosis and wound healing. Finally, we briefly discuss the characterization of macrophage heterogeneity in humans.","DOI":"10.1038/nri3073","ISSN":"1474-1733","journalAbbreviation":"Nat Rev Immunol","language":"en","author":[{"family":"Murray","given":"Peter J."},{"family":"Wynn","given":"Thomas A."}],"issued":{"date-parts":[["2011",11]]}}},{"id":1152,"uris":["http://zotero.org/users/952979/items/EPN9QCAT"],"uri":["http://zotero.org/users/952979/items/EPN9QCAT"],"itemData":{"id":1152,"type":"article-journal","title":"Macrophages: Master Regulators of Inflammation and Fibrosis","container-title":"Seminars in liver disease","page":"245-257","volume":"30","issue":"3","source":"PubMed Central","abstract":"Macrophages are found in close proximity with collagen-producing myofibroblasts and indisputably play a key role in fibrosis. They produce profibrotic mediators that directly activate fibroblasts, including transforming growth factor-β1 and platelet-derived growth factor, and control extracellular matrix turnover by regulating the balance of various matrix metalloproteinases and tissue inhibitors of matrix metalloproteinases. Macrophages also regulate fibrogenesis by secreting chemokines that recruit fibroblasts and other inflammatory cells. With their potential to act in both a pro- and antifibrotic capacity, as well as their ability to regulate the activation of resident and recruited myofibroblasts, macrophages and the factors they express are integrated into all stages of the fibrotic process. These various, and sometimes opposing, functions may be performed by distinct macrophage subpopulations, the identification of which is a growing focus of fibrosis research. Although collagen-secreting myofibroblasts once were thought of as the master “producers” of fibrosis, this review will illustrate how macrophages function as the master “regulators” of fibrosis.","DOI":"10.1055/s-0030-1255354","ISSN":"0272-8087","note":"PMID: 20665377\nPMCID: PMC2924662","shortTitle":"Macrophages","journalAbbreviation":"Semin Liver Dis","author":[{"family":"Wynn","given":"Thomas A."},{"family":"Barron","given":"Luke"}],"issued":{"date-parts":[["2010",8]]}}}],"schema":"https://github.com/citation-style-language/schema/raw/master/csl-citation.json"} </w:instrText>
      </w:r>
      <w:r>
        <w:fldChar w:fldCharType="separate"/>
      </w:r>
      <w:r w:rsidR="004A1963" w:rsidRPr="004A1963">
        <w:rPr>
          <w:rFonts w:ascii="Calibri" w:hAnsi="Calibri"/>
        </w:rPr>
        <w:t>(16,39,40)</w:t>
      </w:r>
      <w:r>
        <w:fldChar w:fldCharType="end"/>
      </w:r>
      <w:r>
        <w:t xml:space="preserve">. For example, in diabetes M1 macrophages promote inflammation and insulin resistance though the secretion of IL-1β </w:t>
      </w:r>
      <w:r>
        <w:fldChar w:fldCharType="begin"/>
      </w:r>
      <w:r w:rsidR="000A209C">
        <w:instrText xml:space="preserve"> ADDIN ZOTERO_ITEM CSL_CITATION {"citationID":"R1VssYrb","properties":{"formattedCitation":"(41,42)","plainCitation":"(41,42)","noteIndex":0},"citationItems":[{"id":1852,"uris":["http://zotero.org/users/952979/items/2XHKQ8P4"],"uri":["http://zotero.org/users/952979/items/2XHKQ8P4"],"itemData":{"id":1852,"type":"article-journal","title":"Accumulation of M1-like macrophages in type 2 diabetic islets is followed by a systemic shift in macrophage polarization","container-title":"Journal of Leukocyte Biology","page":"149-160","volume":"95","issue":"1","source":"Wiley Online Library","abstract":"Two distinct subsets of pro-inflammatory M1-like macrophages invade type 2 diabetic islets at a time-point when β-cells undergo apoptosis, and blood glucose control is lost.","DOI":"10.1189/jlb.0213075","ISSN":"1938-3673","language":"en","author":[{"family":"Cucak","given":"Helena"},{"family":"Grunnet","given":"Lars Groth"},{"family":"Rosendahl","given":"Alexander"}],"issued":{"date-parts":[["2014"]]}}},{"id":1851,"uris":["http://zotero.org/users/952979/items/45BZMWUC"],"uri":["http://zotero.org/users/952979/items/45BZMWUC"],"itemData":{"id":1851,"type":"article-journal","title":"Saturated Fatty Acid and TLR Signaling Link β Cell Dysfunction and Islet Inflammation","container-title":"Cell Metabolism","page":"518-533","volume":"15","issue":"4","source":"ScienceDirect","abstract":"Summary\nConsumption of foods high in saturated fatty acids (FAs) as well as elevated levels of circulating free FAs are known to be associated with T2D. Though previous studies showed inflammation is crucially involved in the development of insulin resistance, how inflammation contributes to β cell dysfunction has remained unclear. We report here the saturated FA palmitate induces β cell dysfunction in vivo by activating inflammatory processes within islets. Through a combination of in vivo and in vitro studies, we show β cells respond to palmitate via the TLR4/MyD88 pathway and produce chemokines that recruit CD11b+Ly-6C+ M1-type proinflammatory monocytes/macrophages to the islets. Depletion of M1-type cells protected mice from palmitate-induced β cell dysfunction. Islet inflammation also plays an essential role in β cell dysfunction in T2D mouse models. Collectively, these results demonstrate a clear mechanistic link between β cell dysfunction and inflammation mediated at least in part via the FFA-TLR4/MyD88 pathway.","DOI":"10.1016/j.cmet.2012.01.023","ISSN":"1550-4131","journalAbbreviation":"Cell Metabolism","author":[{"family":"Eguchi","given":"Kosei"},{"family":"Manabe","given":"Ichiro"},{"family":"Oishi-Tanaka","given":"Yumiko"},{"family":"Ohsugi","given":"Mitsuru"},{"family":"Kono","given":"Nozomu"},{"family":"Ogata","given":"Fusa"},{"family":"Yagi","given":"Nobuhiro"},{"family":"Ohto","given":"Umeharu"},{"family":"Kimoto","given":"Masao"},{"family":"Miyake","given":"Kensuke"},{"family":"Tobe","given":"Kazuyuki"},{"family":"Arai","given":"Hiroyuki"},{"family":"Kadowaki","given":"Takashi"},{"family":"Nagai","given":"Ryozo"}],"issued":{"date-parts":[["2012",4,4]]}}}],"schema":"https://github.com/citation-style-language/schema/raw/master/csl-citation.json"} </w:instrText>
      </w:r>
      <w:r>
        <w:fldChar w:fldCharType="separate"/>
      </w:r>
      <w:r w:rsidR="004A1963" w:rsidRPr="004A1963">
        <w:rPr>
          <w:rFonts w:ascii="Calibri" w:hAnsi="Calibri"/>
        </w:rPr>
        <w:t>(41,42)</w:t>
      </w:r>
      <w:r>
        <w:fldChar w:fldCharType="end"/>
      </w:r>
      <w:r>
        <w:t xml:space="preserve">. In atherosclerosis, M1 macrophages promote disease progression through inflammatory mediators such as reactive oxygen species (ROS) </w:t>
      </w:r>
      <w:r>
        <w:fldChar w:fldCharType="begin"/>
      </w:r>
      <w:r w:rsidR="000A209C">
        <w:instrText xml:space="preserve"> ADDIN ZOTERO_ITEM CSL_CITATION {"citationID":"QS9tKwx0","properties":{"formattedCitation":"(43)","plainCitation":"(43)","noteIndex":0},"citationItems":[{"id":1846,"uris":["http://zotero.org/users/952979/items/DU6XH8C8"],"uri":["http://zotero.org/users/952979/items/DU6XH8C8"],"itemData":{"id":1846,"type":"article-journal","title":"Macrophages Generate Reactive Oxygen Species in Response to Minimally Oxidized Low-Density Lipoprotein","container-title":"Circulation Research","page":"210-218","volume":"104","issue":"2","source":"www-ahajournals-org.sheffield.idm.oclc.org (Atypon)","abstract":"Oxidative modification of low-density lipoprotein (LDL) plays a causative role in the development of atherosclerosis. In this study, we demonstrate that minimally oxidized LDL (mmLDL) stimulates intracellular reactive oxygen species (ROS) generation in macrophages through NADPH oxidase 2 (gp91phox/Nox2), which, in turn, induces production of RANTES and migration of smooth muscle cells. Peritoneal macrophages from gp91phox/Nox2−/− mice or J774 macrophages in which Nox2 was knocked down by small interfering RNA failed to generate ROS in response to mmLDL. Because mmLDL-induced cytoskeletal changes were dependent on Toll-like receptor (TLR)4, we analyzed ROS generation in peritoneal macrophages from wild-type, TLR4−/−, or MyD88−/− mice and found that mmLDL-mediated ROS was generated in a TLR4-dependent, but MyD88-independent, manner. Furthermore, we found that ROS generation required the recruitment and activation of spleen tyrosine kinase (Syk) and that mmLDL also induced phospholipase PLCγ1 phosphorylation and protein kinase C membrane translocation. Importantly, the phospholipase Cγ1 phosphorylation was reduced in J774 cells expressing Syk-specific short hairpin RNA. Nox2 modulated mmLDL activation of macrophages by regulating the expression of proinflammatory cytokines interleukin-1β, interleukin-6, and RANTES. We showed that purified RANTES was able to stimulate migration of mouse aortic smooth muscle cells and addition of neutralizing antibody against RANTES abolished the migration of mouse aortic smooth muscle cells stimulated by mmLDL-stimulated macrophages. These results suggest that mmLDL induces generation of ROS through sequential activation of TLR4, Syk, phospholipase Cγ1, protein kinase C, and gp91phox/Nox2 and thereby stimulates expression of proinflammatory cytokines. These data help explain mechanisms by which endogenous ligands, such as mmLDL, can induce TLR4-dependent, proatherogenic activation of macrophages.","DOI":"10.1161/CIRCRESAHA.108.181040","journalAbbreviation":"Circulation Research","author":[{"literal":"Bae Yun Soo"},{"literal":"Lee Jee Hyun"},{"literal":"Choi Soo Ho"},{"literal":"Kim Sunah"},{"literal":"Almazan Felicidad"},{"literal":"Witztum Joseph L."},{"literal":"Miller Yury I."}],"issued":{"date-parts":[["2009",1,30]]}}}],"schema":"https://github.com/citation-style-language/schema/raw/master/csl-citation.json"} </w:instrText>
      </w:r>
      <w:r>
        <w:fldChar w:fldCharType="separate"/>
      </w:r>
      <w:r w:rsidR="004A1963" w:rsidRPr="004A1963">
        <w:rPr>
          <w:rFonts w:ascii="Calibri" w:hAnsi="Calibri"/>
        </w:rPr>
        <w:t>(43)</w:t>
      </w:r>
      <w:r>
        <w:fldChar w:fldCharType="end"/>
      </w:r>
      <w:r>
        <w:t xml:space="preserve">. Cholesterol can drive the NLRP3 inflammasome activation and therefore IL-1 secretion in macrophages, promoting an M1 phenotype within the monocytes in blood vessels </w:t>
      </w:r>
      <w:r>
        <w:fldChar w:fldCharType="begin"/>
      </w:r>
      <w:r w:rsidR="000A209C">
        <w:instrText xml:space="preserve"> ADDIN ZOTERO_ITEM CSL_CITATION {"citationID":"xP9rcrPu","properties":{"formattedCitation":"(44)","plainCitation":"(44)","noteIndex":0},"citationItems":[{"id":1845,"uris":["http://zotero.org/users/952979/items/GE5AFT9H"],"uri":["http://zotero.org/users/952979/items/GE5AFT9H"],"itemData":{"id":1845,"type":"article-journal","title":"NLRP3 inflammasomes are required for atherogenesis and activated by cholesterol crystals","container-title":"Nature","page":"1357-1361","volume":"464","issue":"7293","source":"www-nature-com.sheffield.idm.oclc.org","abstract":"The inflammatory nature of atherosclerosis is well established but the agent(s) that incite inflammation in the artery wall remain largely unknown. Germ-free animals are susceptible to atherosclerosis, suggesting that endogenous substances initiate the inflammation1. Mature atherosclerotic lesions contain macroscopic deposits of cholesterol crystals in the necrotic core, but their appearance late in atherogenesis had been thought to disqualify them as primary inflammatory stimuli. However, using a new microscopic technique, we revealed that minute cholesterol crystals are present in early diet-induced atherosclerotic lesions and that their appearance in mice coincides with the first appearance of inflammatory cells. Other crystalline substances can induce inflammation by stimulating the caspase-1-activating NLRP3 (NALP3 or cryopyrin) inflammasome2,3, which results in cleavage and secretion of interleukin (IL)-1 family cytokines. Here we show that cholesterol crystals activate the NLRP3 inflammasome in phagocytes in vitro in a process that involves phagolysosomal damage. Similarly, when injected intraperitoneally, cholesterol crystals induce acute inflammation, which is impaired in mice deficient in components of the NLRP3 inflammasome, cathepsin B, cathepsin L or IL-1 molecules. Moreover, when mice deficient in low-density lipoprotein receptor (LDLR) were bone-marrow transplanted with NLRP3-deficient, ASC (also known as PYCARD)-deficient or IL-1α/β-deficient bone marrow and fed on a high-cholesterol diet, they had markedly decreased early atherosclerosis and inflammasome-dependent IL-18 levels. Minimally modified LDL can lead to cholesterol crystallization concomitant with NLRP3 inflammasome priming and activation in macrophages. Although there is the possibility that oxidized LDL activates the NLRP3 inflammasome in vivo, our results demonstrate that crystalline cholesterol acts as an endogenous danger signal and its deposition in arteries or elsewhere is an early cause rather than a late consequence of inflammation. These findings provide new insights into the pathogenesis of atherosclerosis and indicate new potential molecular targets for the therapy of this disease.","DOI":"10.1038/nature08938","ISSN":"1476-4687","language":"en","author":[{"family":"Duewell","given":"Peter"},{"family":"Kono","given":"Hajime"},{"family":"Rayner","given":"Katey J."},{"family":"Sirois","given":"Cherilyn M."},{"family":"Vladimer","given":"Gregory"},{"family":"Bauernfeind","given":"Franz G."},{"family":"Abela","given":"George S."},{"family":"Franchi","given":"Luigi"},{"family":"Nuñez","given":"Gabriel"},{"family":"Schnurr","given":"Max"},{"family":"Espevik","given":"Terje"},{"family":"Lien","given":"Egil"},{"family":"Fitzgerald","given":"Katherine A."},{"family":"Rock","given":"Kenneth L."},{"family":"Moore","given":"Kathryn J."},{"family":"Wright","given":"Samuel D."},{"family":"Hornung","given":"Veit"},{"family":"Latz","given":"Eicke"}],"issued":{"date-parts":[["2010",7]]}}}],"schema":"https://github.com/citation-style-language/schema/raw/master/csl-citation.json"} </w:instrText>
      </w:r>
      <w:r>
        <w:fldChar w:fldCharType="separate"/>
      </w:r>
      <w:r w:rsidR="004A1963" w:rsidRPr="004A1963">
        <w:rPr>
          <w:rFonts w:ascii="Calibri" w:hAnsi="Calibri"/>
        </w:rPr>
        <w:t>(44)</w:t>
      </w:r>
      <w:r>
        <w:fldChar w:fldCharType="end"/>
      </w:r>
      <w:r>
        <w:t xml:space="preserve">. Reinforcing the importance of M1 macrophages in atherosclerosis progression, M1 macrophages were found to be abundant in symptomatic plaques </w:t>
      </w:r>
      <w:r>
        <w:fldChar w:fldCharType="begin"/>
      </w:r>
      <w:r w:rsidR="000A209C">
        <w:instrText xml:space="preserve"> ADDIN ZOTERO_ITEM CSL_CITATION {"citationID":"vnHUYTRq","properties":{"formattedCitation":"(45)","plainCitation":"(45)","noteIndex":0},"citationItems":[{"id":1844,"uris":["http://zotero.org/users/952979/items/V7B6PEDC"],"uri":["http://zotero.org/users/952979/items/V7B6PEDC"],"itemData":{"id":1844,"type":"article-journal","title":"M1- and M2-Type Macrophage Responses Are Predictive of Adverse Outcomes in Human Atherosclerosis","container-title":"Frontiers in Immunology","volume":"7","source":"Frontiers","abstract":"Atherosclerosis is an inflammatory disease caused by endothelial injury, lipid deposition and oxidative stress. This progressive disease can be converted into an acute clinical event by plaque rupture and thrombosis. In the context of atherosclerosis, the underlying cause of myocardial infarction and stroke, macrophages uniquely possess a dual functionality, regulating lipid accumulation and metabolism and sustaining the chronic inflammatory response, two of the most well documented pathways associated with the pathogenesis of the disease. Macrophages are heterogeneous cell populations and it is hypothesized that, during the pathogenesis of atherosclerosis, macrophages in the developing plaque can switch from a pro-inflammatory (MΦ1) to an anti-inflammatory (MΦ2) phenotype and vice versa, depending on the microenvironment. The aim of this study was to identify changes in macrophage subpopulations in the progression of human atherosclerotic disease. Established atherosclerotic plaques from symptomatic and asymptomatic patients with existing coronary artery disease undergoing carotid endarterectomy were recruited to the study. Comprehensive histological and immunohistochemical analyses were performed to quantify the cellular content and macrophage subsets of atherosclerotic lesion. In parallel, expression of MΦ1 and MΦ2 macrophage markers were analysed by real time-PCR and Western blot analysis. Gross analysis and histological staining demonstrated that symptomatic plaques presented greater haemorrhagic activity and the internal carotid was the most diseased segment, based on the predominant prevalence of fibrotic and necrotic tissue, calcifications and haemorrhagic events. Immunohistochemical analysis showed that both MΦ1 and MΦ2 macrophages are present in human plaques. However, MΦ2 macrophages are localised to more stable locations within the lesion. Importantly, gene and protein expression analysis of MΦ1/ MΦ2 markers evidenced that MΦ1 markers and Th1 associated cytokines are highly expressed in symptomatic plaques, whereas, expression of the MΦ2 markers, MR and CD163 and Th2 cytokines are inversely related with disease progression. This data increases the understanding of atherosclerosis development, identifying the cellular content of lesions during disease progression and characterising macrophage subpopulation within human atherosclerotic plaques.","URL":"http://www.frontiersin.org/articles/10.3389/fimmu.2016.00275/full","DOI":"10.3389/fimmu.2016.00275","ISSN":"1664-3224","journalAbbreviation":"Front. Immunol.","language":"English","author":[{"family":"Gaetano","given":"Monica","non-dropping-particle":"de"},{"family":"Crean","given":"Daniel"},{"family":"Barry","given":"Mary"},{"family":"Belton","given":"Orina"}],"issued":{"date-parts":[["2016"]]},"accessed":{"date-parts":[["2019",1,16]]}}}],"schema":"https://github.com/citation-style-language/schema/raw/master/csl-citation.json"} </w:instrText>
      </w:r>
      <w:r>
        <w:fldChar w:fldCharType="separate"/>
      </w:r>
      <w:r w:rsidR="004A1963" w:rsidRPr="004A1963">
        <w:rPr>
          <w:rFonts w:ascii="Calibri" w:hAnsi="Calibri"/>
        </w:rPr>
        <w:t>(45)</w:t>
      </w:r>
      <w:r>
        <w:fldChar w:fldCharType="end"/>
      </w:r>
      <w:r>
        <w:t xml:space="preserve">. The importance of the </w:t>
      </w:r>
      <w:r>
        <w:lastRenderedPageBreak/>
        <w:t xml:space="preserve">anti-bacterial M1 macrophage response is highlighted by microbes that evade the immune system. These microbes often re-polarise macrophages towards the anti-inflammatory M2 phenotype. For example, Mycobacterium tuberculosis (TB) repolarises M1 macrophages to survive within granulomas </w:t>
      </w:r>
      <w:r>
        <w:fldChar w:fldCharType="begin"/>
      </w:r>
      <w:r w:rsidR="000A209C">
        <w:instrText xml:space="preserve"> ADDIN ZOTERO_ITEM CSL_CITATION {"citationID":"w76omR4s","properties":{"formattedCitation":"(46,47)","plainCitation":"(46,47)","noteIndex":0},"citationItems":[{"id":1849,"uris":["http://zotero.org/users/952979/items/XW4US6V3"],"uri":["http://zotero.org/users/952979/items/XW4US6V3"],"itemData":{"id":1849,"type":"article-journal","title":"Mycobacterium tuberculosis-Induced Polarization of Human Macrophage Orchestrates the Formation and Development of Tuberculous Granulomas In Vitro","container-title":"PloS One","page":"e0129744","volume":"10","issue":"6","source":"PubMed","abstract":"The tuberculous granuloma is an elaborately organized structure and one of the main histological hallmarks of tuberculosis. Macrophages, which are important immunologic effector and antigen-presenting cells, are the main cell type found in the tuberculous granuloma and have high plasticity. Macrophage polarization during bacterial infection has been elucidated in numerous recent studies; however, macrophage polarization during tuberculous granuloma formation and development has rarely been reported. It remains to be clarified whether differences in the activation status of macrophages affect granuloma formation. In this study, the variation in macrophage polarization during the formation and development of tuberculous granulomas was investigated in both sections of lung tissues from tuberculosis patients and an in vitro tuberculous granuloma model. The roles of macrophage polarization in this process were also investigated. Mycobacterium tuberculosis (M. tuberculosis) infection was found to induce monocyte-derived macrophage polarization. In the in vitro tuberculous granuloma model, macrophage transformation from M1 to M2 was observed over time following M. tuberculosis infection. M2 macrophages were found to predominate in both necrotic and non-necrotic granulomas from tuberculosis patients, while both M1 and M2 polarized macrophages were found in the non-granulomatous lung tissues. Furthermore, it was found that M1 macrophages promote granuloma formation and macrophage bactericidal activity in vitro, while M2 macrophages inhibit these effects. The findings of this study provide insights into the mechanism by which M. tuberculosis circumvents the host immune system as well as a theoretical foundation for the development of novel tuberculosis therapies based on reprogramming macrophage polarization.","DOI":"10.1371/journal.pone.0129744","ISSN":"1932-6203","note":"PMID: 26091535\nPMCID: PMC4474964","journalAbbreviation":"PLoS ONE","language":"eng","author":[{"family":"Huang","given":"Zikun"},{"family":"Luo","given":"Qing"},{"family":"Guo","given":"Yang"},{"family":"Chen","given":"Jie"},{"family":"Xiong","given":"Guoliang"},{"family":"Peng","given":"Yiping"},{"family":"Ye","given":"Jianqing"},{"family":"Li","given":"Junming"}],"issued":{"date-parts":[["2015"]]}}},{"id":1848,"uris":["http://zotero.org/users/952979/items/6665M6M9"],"uri":["http://zotero.org/users/952979/items/6665M6M9"],"itemData":{"id":1848,"type":"article-journal","title":"Macrophage polarization drives granuloma outcome during Mycobacterium tuberculosis infection","container-title":"Infection and Immunity","page":"324-338","volume":"83","issue":"1","source":"PubMed","abstract":"Mycobacterium tuberculosis, the causative agent of tuberculosis (TB), induces formation of granulomas, structures in which immune cells and bacteria colocalize. Macrophages are among the most abundant cell types in granulomas and have been shown to serve as both critical bactericidal cells and targets for M. tuberculosis infection and proliferation throughout the course of infection. Very little is known about how these processes are regulated, what controls macrophage microenvironment-specific polarization and plasticity, or why some granulomas control bacteria and others permit bacterial dissemination. We take a computational-biology approach to investigate mechanisms that drive macrophage polarization, function, and bacterial control in granulomas. We define a \"macrophage polarization ratio\" as a metric to understand how cytokine signaling translates into polarization of single macrophages in a granuloma, which in turn modulates cellular functions, including antimicrobial activity and cytokine production. Ultimately, we extend this macrophage ratio to the tissue scale and define a \"granuloma polarization ratio\" describing mean polarization measures for entire granulomas. Here we coupled experimental data from nonhuman primate TB granulomas to our computational model, and we predict two novel and testable hypotheses regarding macrophage profiles in TB outcomes. First, the temporal dynamics of granuloma polarization ratios are predictive of granuloma outcome. Second, stable necrotic granulomas with low CFU counts and limited inflammation are characterized by short NF-κB signal activation intervals. These results suggest that the dynamics of NF-κB signaling is a viable therapeutic target to promote M1 polarization early during infection and to improve outcome.","DOI":"10.1128/IAI.02494-14","ISSN":"1098-5522","note":"PMID: 25368116\nPMCID: PMC4288886","journalAbbreviation":"Infect. Immun.","language":"eng","author":[{"family":"Marino","given":"Simeone"},{"family":"Cilfone","given":"Nicholas A."},{"family":"Mattila","given":"Joshua T."},{"family":"Linderman","given":"Jennifer J."},{"family":"Flynn","given":"JoAnne L."},{"family":"Kirschner","given":"Denise E."}],"issued":{"date-parts":[["2015",1]]}}}],"schema":"https://github.com/citation-style-language/schema/raw/master/csl-citation.json"} </w:instrText>
      </w:r>
      <w:r>
        <w:fldChar w:fldCharType="separate"/>
      </w:r>
      <w:r w:rsidR="004A1963" w:rsidRPr="004A1963">
        <w:rPr>
          <w:rFonts w:ascii="Calibri" w:hAnsi="Calibri"/>
        </w:rPr>
        <w:t>(46,47)</w:t>
      </w:r>
      <w:r>
        <w:fldChar w:fldCharType="end"/>
      </w:r>
      <w:r>
        <w:t xml:space="preserve">. Viral infections are also capable of macrophage evasion. For example, in HIV there is a defect in the migration of circulating monocytes and alveolar macrophages display reduced phagocytic activity </w:t>
      </w:r>
      <w:r>
        <w:fldChar w:fldCharType="begin"/>
      </w:r>
      <w:r w:rsidR="000A209C">
        <w:instrText xml:space="preserve"> ADDIN ZOTERO_ITEM CSL_CITATION {"citationID":"aNUKXu2T","properties":{"formattedCitation":"(48)","plainCitation":"(48)","noteIndex":0},"citationItems":[{"id":1847,"uris":["http://zotero.org/users/952979/items/WWLTP83C"],"uri":["http://zotero.org/users/952979/items/WWLTP83C"],"itemData":{"id":1847,"type":"article-journal","title":"Macrophage Polarization in AIDS: Dynamic Interface between Anti-Viral and Anti-Inflammatory Macrophages during Acute and Chronic Infection","container-title":"Journal of Clinical &amp; Cellular Immunology","volume":"6","issue":"3","source":"PubMed","abstract":"Monocyte and macrophage inflammation in parenchymal tissues during acute and chronic HIV and SIV infection plays a role in early anti-viral immune responses and later in restorative responses. Macrophage polarization is observed in such responses in the central nervous system (CNS) and the heart and cardiac vessels that suggest early responses are M1 type antiviral responses, and later responses favor M2 restorative responses. Macrophage polarization is unique to different tissues and is likely dictated as much by the local microenvironment as well as other inflammatory cells involved in the viral responses. Such polarization is found in HIV infected humans, and the SIV infected animal model of AIDS, and occurs even with effective anti-retroviral therapy. Therapies that directly target macrophage polarization in HIV infection have recently been implemented, as have therapies to directly block traffic and accumulation of macrophages in tissues.","ISSN":"2155-9899","note":"PMID: 26500805\nPMCID: PMC4612489","shortTitle":"Macrophage Polarization in AIDS","journalAbbreviation":"J Clin Cell Immunol","language":"eng","author":[{"family":"Burdo","given":"Tricia H."},{"family":"Walker","given":"Joshua"},{"family":"Williams","given":"Kenneth C."}],"issued":{"date-parts":[["2015",6]]}}}],"schema":"https://github.com/citation-style-language/schema/raw/master/csl-citation.json"} </w:instrText>
      </w:r>
      <w:r>
        <w:fldChar w:fldCharType="separate"/>
      </w:r>
      <w:r w:rsidR="004A1963" w:rsidRPr="004A1963">
        <w:rPr>
          <w:rFonts w:ascii="Calibri" w:hAnsi="Calibri"/>
        </w:rPr>
        <w:t>(48)</w:t>
      </w:r>
      <w:r>
        <w:fldChar w:fldCharType="end"/>
      </w:r>
      <w:r>
        <w:t xml:space="preserve">. </w:t>
      </w:r>
    </w:p>
    <w:p w14:paraId="2C7373CA" w14:textId="77777777" w:rsidR="001D1AB8" w:rsidRDefault="001D1AB8" w:rsidP="001D1AB8">
      <w:pPr>
        <w:pStyle w:val="Thesisnormal"/>
      </w:pPr>
    </w:p>
    <w:p w14:paraId="642DCDA5" w14:textId="77777777" w:rsidR="001D1AB8" w:rsidRDefault="001D1AB8" w:rsidP="001D1AB8">
      <w:pPr>
        <w:pStyle w:val="Heading3"/>
      </w:pPr>
      <w:r>
        <w:tab/>
      </w:r>
      <w:bookmarkStart w:id="36" w:name="_Toc502936281"/>
      <w:bookmarkStart w:id="37" w:name="_Toc4589260"/>
      <w:r>
        <w:t>1.2.2 M2 macrophages</w:t>
      </w:r>
      <w:bookmarkEnd w:id="36"/>
      <w:bookmarkEnd w:id="37"/>
    </w:p>
    <w:p w14:paraId="7825B87D" w14:textId="77777777" w:rsidR="001D1AB8" w:rsidRDefault="001D1AB8" w:rsidP="001D1AB8"/>
    <w:p w14:paraId="5A238034" w14:textId="2AE561A0" w:rsidR="001D1AB8" w:rsidRDefault="001D1AB8" w:rsidP="001D1AB8">
      <w:pPr>
        <w:pStyle w:val="Thesisnormal"/>
      </w:pPr>
      <w:r w:rsidRPr="003E08C6">
        <w:t xml:space="preserve">M2 </w:t>
      </w:r>
      <w:r>
        <w:t xml:space="preserve">activation is considered </w:t>
      </w:r>
      <w:r w:rsidRPr="003E08C6">
        <w:t xml:space="preserve"> to be the default state for tissue resident macrophages </w:t>
      </w:r>
      <w:r w:rsidRPr="003E08C6">
        <w:fldChar w:fldCharType="begin"/>
      </w:r>
      <w:r w:rsidR="000A209C">
        <w:instrText xml:space="preserve"> ADDIN ZOTERO_ITEM CSL_CITATION {"citationID":"gfRhpiKk","properties":{"formattedCitation":"(39,49)","plainCitation":"(39,49)","noteIndex":0},"citationItems":[{"id":1360,"uris":["http://zotero.org/users/952979/items/DJQTVKIA"],"uri":["http://zotero.org/users/952979/items/DJQTVKIA"],"itemData":{"id":1360,"type":"article-journal","title":"Protective and pathogenic functions of macrophage subsets","container-title":"Nature Reviews Immunology","page":"723-737","volume":"11","issue":"11","source":"www.nature.com","abstract":"Macrophages are strategically located throughout the body tissues, where they ingest and process foreign materials, dead cells and debris and recruit additional macrophages in response to inflammatory signals. They are highly heterogeneous cells that can rapidly change their function in response to local microenvironmental signals. In this Review, we discuss the four stages of orderly inflammation mediated by macrophages: recruitment to tissues; differentiation and activation in situ; conversion to suppressive cells; and restoration of tissue homeostasis. We also discuss the protective and pathogenic functions of the various macrophage subsets in antimicrobial defence, antitumour immune responses, metabolism and obesity, allergy and asthma, tumorigenesis, autoimmunity, atherosclerosis, fibrosis and wound healing. Finally, we briefly discuss the characterization of macrophage heterogeneity in humans.","DOI":"10.1038/nri3073","ISSN":"1474-1733","journalAbbreviation":"Nat Rev Immunol","language":"en","author":[{"family":"Murray","given":"Peter J."},{"family":"Wynn","given":"Thomas A."}],"issued":{"date-parts":[["2011",11]]}}},{"id":1273,"uris":["http://zotero.org/users/952979/items/8W9NN5MZ"],"uri":["http://zotero.org/users/952979/items/8W9NN5MZ"],"itemData":{"id":1273,"type":"article-journal","title":"Tissue biology perspective on macrophages","container-title":"Nature Immunology","page":"9-17","volume":"17","issue":"1","source":"www.nature.com","abstract":"Macrophages are essential components of mammalian tissues. Although historically known mainly for their function in host defense and the clearance of apoptotic cells, macrophages are now increasingly recognized as serving many roles in tissue development, homeostasis and repair. In addition, tissue-resident macrophages have many tissue-specific functional characteristics, which are a reflection of distinct gene-expression programs. Here we discuss the emerging views of macrophage biology from evolutionary, developmental and homeostatic perspectives.\nView full text","DOI":"10.1038/ni.3320","ISSN":"1529-2908","journalAbbreviation":"Nat Immunol","language":"en","author":[{"family":"Okabe","given":"Yasutaka"},{"family":"Medzhitov","given":"Ruslan"}],"issued":{"date-parts":[["2016",1]]}}}],"schema":"https://github.com/citation-style-language/schema/raw/master/csl-citation.json"} </w:instrText>
      </w:r>
      <w:r w:rsidRPr="003E08C6">
        <w:fldChar w:fldCharType="separate"/>
      </w:r>
      <w:r w:rsidR="004A1963" w:rsidRPr="004A1963">
        <w:rPr>
          <w:rFonts w:ascii="Calibri" w:hAnsi="Calibri"/>
        </w:rPr>
        <w:t>(39,49)</w:t>
      </w:r>
      <w:r w:rsidRPr="003E08C6">
        <w:fldChar w:fldCharType="end"/>
      </w:r>
      <w:r w:rsidRPr="003E08C6">
        <w:t>. M</w:t>
      </w:r>
      <w:r>
        <w:t>2</w:t>
      </w:r>
      <w:r w:rsidRPr="003E08C6">
        <w:t xml:space="preserve"> macrophages have essential roles during development and </w:t>
      </w:r>
      <w:r>
        <w:t xml:space="preserve">tissue repair </w:t>
      </w:r>
      <w:r>
        <w:fldChar w:fldCharType="begin"/>
      </w:r>
      <w:r w:rsidR="000A209C">
        <w:instrText xml:space="preserve"> ADDIN ZOTERO_ITEM CSL_CITATION {"citationID":"HA7Y9m37","properties":{"formattedCitation":"(15,50\\uc0\\u8211{}52)","plainCitation":"(15,50–52)","noteIndex":0},"citationItems":[{"id":1388,"uris":["http://zotero.org/users/952979/items/AE3V8Z8T"],"uri":["http://zotero.org/users/952979/items/AE3V8Z8T"],"itemData":{"id":1388,"type":"article-journal","title":"Macrophage plasticity and polarization: in vivo veritas","container-title":"The Journal of Clinical Investigation","page":"787-795","volume":"122","issue":"3","source":"PubMed","abstract":"Diversity and plasticity are hallmarks of cells of the monocyte-macrophage lineage. In response to IFNs, Toll-like receptor engagement, or IL-4/IL-13 signaling, macrophages undergo M1 (classical) or M2 (alternative) activation, which represent extremes of a continuum in a universe of activation states. Progress has now been made in defining the signaling pathways, transcriptional networks, and epigenetic mechanisms underlying M1-M2 or M2-like polarized activation. Functional skewing of mononuclear phagocytes occurs in vivo under physiological conditions (e.g., ontogenesis and pregnancy) and in pathology (allergic and chronic inflammation, tissue repair, infection, and cancer). However, in selected preclinical and clinical conditions, coexistence of cells in different activation states and unique or mixed phenotypes have been observed, a reflection of dynamic changes and complex tissue-derived signals. The identification of mechanisms and molecules associated with macrophage plasticity and polarized activation provides a basis for macrophage-centered diagnostic and therapeutic strategies.","DOI":"10.1172/JCI59643","ISSN":"1558-8238","note":"PMID: 22378047\nPMCID: PMC3287223","shortTitle":"Macrophage plasticity and polarization","journalAbbreviation":"J. Clin. Invest.","language":"eng","author":[{"family":"Sica","given":"Antonio"},{"family":"Mantovani","given":"Alberto"}],"issued":{"date-parts":[["2012",3]]}}},{"id":1393,"uris":["http://zotero.org/users/952979/items/VAEW5MDV"],"uri":["http://zotero.org/users/952979/items/VAEW5MDV"],"itemData":{"id":1393,"type":"article-journal","title":"Macrophage plasticity and polarization in tissue repair and remodelling","container-title":"The Journal of Pathology","page":"176-185","volume":"229","issue":"2","source":"PubMed","abstract":"Mononuclear phagocyte plasticity includes the expression of functions related to the resolution of inflammation, tissue repair and remodelling, particularly when these cells are set in an M2 or an M2-like activation mode. Macrophages are credited with an essential role in remodelling during ontogenesis. In extraembryonic life, under homeostatic conditions, the macrophage trophic and remodelling functions are recapitulated in tissues such as bone, mammary gland, decidua and placenta. In pathology, macrophages are key components of tissue repair and remodelling that occur during wound healing, allergy, parasite infection and cancer. Interaction with cells bearing stem or progenitor cell properties is likely an important component of the role of macrophages in repair and remodelling. These properties of cells of the monocyte-macrophage lineage may represent a tool and a target for therapeutic exploitation.","DOI":"10.1002/path.4133","ISSN":"1096-9896","note":"PMID: 23096265","journalAbbreviation":"J. Pathol.","language":"eng","author":[{"family":"Mantovani","given":"Alberto"},{"family":"Biswas","given":"Subhra K."},{"family":"Galdiero","given":"Maria Rosaria"},{"family":"Sica","given":"Antonio"},{"family":"Locati","given":"Massimo"}],"issued":{"date-parts":[["2013",1]]}}},{"id":1385,"uris":["http://zotero.org/users/952979/items/67HQCN79"],"uri":["http://zotero.org/users/952979/items/67HQCN79"],"itemData":{"id":1385,"type":"article-journal","title":"Macrophage biology in development, homeostasis and disease","container-title":"Nature","page":"445-455","volume":"496","issue":"7446","source":"PubMed","abstract":"Macrophages, the most plastic cells of the haematopoietic system, are found in all tissues and show great functional diversity. They have roles in development, homeostasis, tissue repair and immunity. Although tissue macrophages are anatomically distinct from one another, and have different transcriptional profiles and functional capabilities, they are all required for the maintenance of homeostasis. However, these reparative and homeostatic functions can be subverted by chronic insults, resulting in a causal association of macrophages with disease states. In this Review, we discuss how macrophages regulate normal physiology and development, and provide several examples of their pathophysiological roles in disease. We define the 'hallmarks' of macrophages according to the states that they adopt during the performance of their various roles, taking into account new insights into the diversity of their lineages, identities and regulation. It is essential to understand this diversity because macrophages have emerged as important therapeutic targets in many human diseases.","DOI":"10.1038/nature12034","ISSN":"1476-4687","note":"PMID: 23619691\nPMCID: PMC3725458","journalAbbreviation":"Nature","language":"eng","author":[{"family":"Wynn","given":"Thomas A."},{"family":"Chawla","given":"Ajay"},{"family":"Pollard","given":"Jeffrey W."}],"issued":{"date-parts":[["2013",4,25]]}}},{"id":1274,"uris":["http://zotero.org/users/952979/items/3FIAMCKK"],"uri":["http://zotero.org/users/952979/items/3FIAMCKK"],"itemData":{"id":1274,"type":"article-journal","title":"Tissue-resident macrophages","container-title":"Nature Immunology","page":"986-995","volume":"14","issue":"10","source":"PubMed","abstract":"Tissue-resident macrophages are a heterogeneous population of immune cells that fulfill tissue-specific and niche-specific functions. These range from dedicated homeostatic functions, such as clearance of cellular debris and iron processing, to central roles in tissue immune surveillance, response to infection and the resolution of inflammation. Recent studies highlight marked heterogeneity in the origins of tissue macrophages that arise from hematopoietic versus self-renewing embryo-derived populations. We discuss the tissue niche-specific factors that dictate cell phenotype, the definition of which will allow new strategies to promote the restoration of tissue homeostasis. Understanding the mechanisms that dictate tissue macrophage heterogeneity should explain why simplified models of macrophage activation do not explain the extent of heterogeneity seen in vivo.","DOI":"10.1038/ni.2705","ISSN":"1529-2916","note":"PMID: 24048120\nPMCID: PMC4045180","journalAbbreviation":"Nat. Immunol.","language":"eng","author":[{"family":"Davies","given":"Luke C."},{"family":"Jenkins","given":"Stephen J."},{"family":"Allen","given":"Judith E."},{"family":"Taylor","given":"Philip R."}],"issued":{"date-parts":[["2013",10]]}}}],"schema":"https://github.com/citation-style-language/schema/raw/master/csl-citation.json"} </w:instrText>
      </w:r>
      <w:r>
        <w:fldChar w:fldCharType="separate"/>
      </w:r>
      <w:r w:rsidR="004A1963" w:rsidRPr="004A1963">
        <w:rPr>
          <w:rFonts w:ascii="Calibri" w:hAnsi="Calibri" w:cs="Times New Roman"/>
        </w:rPr>
        <w:t>(15,50–52)</w:t>
      </w:r>
      <w:r>
        <w:fldChar w:fldCharType="end"/>
      </w:r>
      <w:r w:rsidRPr="003E08C6">
        <w:t>.</w:t>
      </w:r>
      <w:r>
        <w:t xml:space="preserve"> </w:t>
      </w:r>
      <w:r w:rsidRPr="003E08C6">
        <w:t xml:space="preserve">Indeed, it has been shown that following ingestion of apoptotic bodies, macrophages inhibit pro-inflammatory cytokine production </w:t>
      </w:r>
      <w:r w:rsidRPr="003E08C6">
        <w:fldChar w:fldCharType="begin"/>
      </w:r>
      <w:r w:rsidR="000A209C">
        <w:instrText xml:space="preserve"> ADDIN ZOTERO_ITEM CSL_CITATION {"citationID":"2a031r3c2","properties":{"formattedCitation":"(53)","plainCitation":"(53)","noteIndex":0},"citationItems":[{"id":1340,"uris":["http://zotero.org/users/952979/items/MX9VHWHD"],"uri":["http://zotero.org/users/952979/items/MX9VHWHD"],"itemData":{"id":1340,"type":"article-journal","title":"Macrophages that have ingested apoptotic cells in vitro inhibit proinflammatory cytokine production through autocrine/paracrine mechanisms involving TGF-beta, PGE2, and PAF.","container-title":"Journal of Clinical Investigation","page":"890-898","volume":"101","issue":"4","source":"PubMed Central","abstract":"Apoptosis in vivo is followed almost inevitably by rapid uptake into adjacent phagocytic cells, a critical process in tissue remodeling, regulation of the immune response, or resolution of inflammation. Phagocytosis of apoptotic cells by macrophages has been suggested to be a quiet process that does not lead to production of inflammatory mediators. Here we show that phagocytosis of apoptotic neutrophils (in contrast to immunoglobulin G-opsonized apoptotic cells) actively inhibited the production of interleukin (IL)-1beta, IL-8, IL-10, granulocyte macrophage colony-stimulating factor, and tumor necrosis factor-alpha, as well as leukotriene C4 and thromboxane B2, by human monocyte-derived macrophages. In contrast, production of transforming growth factor (TGF)-beta1, prostaglandin E2, and platelet-activating factor (PAF) was increased. The latter appeared to be involved in the inhibition of proinflammatory cytokine production because addition of exogenous TGF-beta1, prostaglandin E2, or PAF resulted in inhibition of lipopolysaccharide-stimulated cytokine production. Furthermore, anti-TGF-beta antibody, indomethacin, or PAF receptor antagonists restored cytokine production in lipopolysaccharide-stimulated macrophages that had phagocytosed apoptotic cells. These results suggest that binding and/or phagocytosis of apoptotic cells induces active antiinflammatory or suppressive properties in human macrophages. Therefore, it is likely that resolution of inflammation depends not only on the removal of apoptotic cells but on active suppression of inflammatory mediator production. Disorders in either could result in chronic inflammatory diseases.","ISSN":"0021-9738","note":"PMID: 9466984\nPMCID: PMC508637","journalAbbreviation":"J Clin Invest","author":[{"family":"Fadok","given":"V A"},{"family":"Bratton","given":"D L"},{"family":"Konowal","given":"A"},{"family":"Freed","given":"P W"},{"family":"Westcott","given":"J Y"},{"family":"Henson","given":"P M"}],"issued":{"date-parts":[["1998",2,15]]}}}],"schema":"https://github.com/citation-style-language/schema/raw/master/csl-citation.json"} </w:instrText>
      </w:r>
      <w:r w:rsidRPr="003E08C6">
        <w:fldChar w:fldCharType="separate"/>
      </w:r>
      <w:r w:rsidR="004A1963" w:rsidRPr="004A1963">
        <w:rPr>
          <w:rFonts w:ascii="Calibri" w:hAnsi="Calibri"/>
        </w:rPr>
        <w:t>(53)</w:t>
      </w:r>
      <w:r w:rsidRPr="003E08C6">
        <w:fldChar w:fldCharType="end"/>
      </w:r>
      <w:r>
        <w:t xml:space="preserve">. It was recently demonstrated that efferocytosis (phagocytosis of apoptotic cells) increases fatty acid oxidation and induces a shift towards anti-inflammatory effector functions </w:t>
      </w:r>
      <w:r>
        <w:fldChar w:fldCharType="begin"/>
      </w:r>
      <w:r w:rsidR="000A209C">
        <w:instrText xml:space="preserve"> ADDIN ZOTERO_ITEM CSL_CITATION {"citationID":"Dw276W7k","properties":{"formattedCitation":"(54)","plainCitation":"(54)","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B."}],"issued":{"date-parts":[["2018",12,27]]},"accessed":{"date-parts":[["2019",1,8]]}}}],"schema":"https://github.com/citation-style-language/schema/raw/master/csl-citation.json"} </w:instrText>
      </w:r>
      <w:r>
        <w:fldChar w:fldCharType="separate"/>
      </w:r>
      <w:r w:rsidR="004A1963" w:rsidRPr="004A1963">
        <w:rPr>
          <w:rFonts w:ascii="Calibri" w:hAnsi="Calibri"/>
        </w:rPr>
        <w:t>(54)</w:t>
      </w:r>
      <w:r>
        <w:fldChar w:fldCharType="end"/>
      </w:r>
      <w:r w:rsidRPr="003E08C6">
        <w:t xml:space="preserve">. </w:t>
      </w:r>
      <w:r>
        <w:t>A</w:t>
      </w:r>
      <w:r w:rsidRPr="003E08C6">
        <w:t xml:space="preserve"> variety of signals such as interleukin-4 (IL-4), IL-13 and TGF-</w:t>
      </w:r>
      <w:r w:rsidRPr="003E08C6">
        <w:rPr>
          <w:rFonts w:ascii="Calibri" w:hAnsi="Calibri"/>
        </w:rPr>
        <w:sym w:font="Symbol" w:char="F062"/>
      </w:r>
      <w:r>
        <w:rPr>
          <w:rFonts w:ascii="Calibri" w:hAnsi="Calibri"/>
        </w:rPr>
        <w:t xml:space="preserve"> are also known to promote activation to an M2 state</w:t>
      </w:r>
      <w:r w:rsidRPr="003E08C6">
        <w:rPr>
          <w:rFonts w:ascii="Calibri" w:hAnsi="Calibri"/>
        </w:rPr>
        <w:t xml:space="preserve"> </w:t>
      </w:r>
      <w:r>
        <w:rPr>
          <w:rFonts w:ascii="Calibri" w:hAnsi="Calibri"/>
        </w:rPr>
        <w:fldChar w:fldCharType="begin"/>
      </w:r>
      <w:r w:rsidR="000A209C">
        <w:rPr>
          <w:rFonts w:ascii="Calibri" w:hAnsi="Calibri"/>
        </w:rPr>
        <w:instrText xml:space="preserve"> ADDIN ZOTERO_ITEM CSL_CITATION {"citationID":"1m23bv7u3i","properties":{"formattedCitation":"(55)","plainCitation":"(55)","noteIndex":0},"citationItems":[{"id":1420,"uris":["http://zotero.org/users/952979/items/MV7DZM33"],"uri":["http://zotero.org/users/952979/items/MV7DZM33"],"itemData":{"id":1420,"type":"article-journal","title":"The chemokine system in diverse forms of macrophage activation and polarization","container-title":"Trends in Immunology","page":"677-686","volume":"25","issue":"12","source":"PubMed","abstract":"Plasticity and functional polarization are hallmarks of the mononuclear phagocyte system. Here we review emerging key properties of different forms of macrophage activation and polarization (M1, M2a, M2b, M2c), which represent extremes of a continuum. In particular, recent evidence suggests that differential modulation of the chemokine system integrates polarized macrophages in pathways of resistance to, or promotion of, microbial pathogens and tumors, or immunoregulation, tissue repair and remodeling.","DOI":"10.1016/j.it.2004.09.015","ISSN":"1471-4906","note":"PMID: 15530839","journalAbbreviation":"Trends Immunol.","language":"eng","author":[{"family":"Mantovani","given":"Alberto"},{"family":"Sica","given":"Antonio"},{"family":"Sozzani","given":"Silvano"},{"family":"Allavena","given":"Paola"},{"family":"Vecchi","given":"Annunciata"},{"family":"Locati","given":"Massimo"}],"issued":{"date-parts":[["2004",12]]}}}],"schema":"https://github.com/citation-style-language/schema/raw/master/csl-citation.json"} </w:instrText>
      </w:r>
      <w:r>
        <w:rPr>
          <w:rFonts w:ascii="Calibri" w:hAnsi="Calibri"/>
        </w:rPr>
        <w:fldChar w:fldCharType="separate"/>
      </w:r>
      <w:r w:rsidR="004A1963" w:rsidRPr="004A1963">
        <w:rPr>
          <w:rFonts w:ascii="Calibri" w:hAnsi="Calibri"/>
        </w:rPr>
        <w:t>(55)</w:t>
      </w:r>
      <w:r>
        <w:rPr>
          <w:rFonts w:ascii="Calibri" w:hAnsi="Calibri"/>
        </w:rPr>
        <w:fldChar w:fldCharType="end"/>
      </w:r>
      <w:r w:rsidRPr="003E08C6">
        <w:t>. Th</w:t>
      </w:r>
      <w:r>
        <w:t>e</w:t>
      </w:r>
      <w:r w:rsidRPr="003E08C6">
        <w:t xml:space="preserve"> </w:t>
      </w:r>
      <w:r>
        <w:t>M2 subtype is characterised by p</w:t>
      </w:r>
      <w:r w:rsidRPr="003E08C6">
        <w:t>ro-healing</w:t>
      </w:r>
      <w:r>
        <w:t>,</w:t>
      </w:r>
      <w:r w:rsidRPr="003E08C6">
        <w:t xml:space="preserve"> </w:t>
      </w:r>
      <w:r>
        <w:t xml:space="preserve">anti-inflammatory functions </w:t>
      </w:r>
      <w:r>
        <w:fldChar w:fldCharType="begin"/>
      </w:r>
      <w:r w:rsidR="000A209C">
        <w:instrText xml:space="preserve"> ADDIN ZOTERO_ITEM CSL_CITATION {"citationID":"kaNZ9HmE","properties":{"formattedCitation":"(39)","plainCitation":"(39)","noteIndex":0},"citationItems":[{"id":1360,"uris":["http://zotero.org/users/952979/items/DJQTVKIA"],"uri":["http://zotero.org/users/952979/items/DJQTVKIA"],"itemData":{"id":1360,"type":"article-journal","title":"Protective and pathogenic functions of macrophage subsets","container-title":"Nature Reviews Immunology","page":"723-737","volume":"11","issue":"11","source":"www.nature.com","abstract":"Macrophages are strategically located throughout the body tissues, where they ingest and process foreign materials, dead cells and debris and recruit additional macrophages in response to inflammatory signals. They are highly heterogeneous cells that can rapidly change their function in response to local microenvironmental signals. In this Review, we discuss the four stages of orderly inflammation mediated by macrophages: recruitment to tissues; differentiation and activation in situ; conversion to suppressive cells; and restoration of tissue homeostasis. We also discuss the protective and pathogenic functions of the various macrophage subsets in antimicrobial defence, antitumour immune responses, metabolism and obesity, allergy and asthma, tumorigenesis, autoimmunity, atherosclerosis, fibrosis and wound healing. Finally, we briefly discuss the characterization of macrophage heterogeneity in humans.","DOI":"10.1038/nri3073","ISSN":"1474-1733","journalAbbreviation":"Nat Rev Immunol","language":"en","author":[{"family":"Murray","given":"Peter J."},{"family":"Wynn","given":"Thomas A."}],"issued":{"date-parts":[["2011",11]]}}}],"schema":"https://github.com/citation-style-language/schema/raw/master/csl-citation.json"} </w:instrText>
      </w:r>
      <w:r>
        <w:fldChar w:fldCharType="separate"/>
      </w:r>
      <w:r w:rsidR="004A1963" w:rsidRPr="004A1963">
        <w:rPr>
          <w:rFonts w:ascii="Calibri" w:hAnsi="Calibri"/>
        </w:rPr>
        <w:t>(39)</w:t>
      </w:r>
      <w:r>
        <w:fldChar w:fldCharType="end"/>
      </w:r>
      <w:r w:rsidRPr="003E08C6">
        <w:t xml:space="preserve">. In response to </w:t>
      </w:r>
      <w:r>
        <w:t>the</w:t>
      </w:r>
      <w:r w:rsidRPr="003E08C6">
        <w:t xml:space="preserve"> stimuli</w:t>
      </w:r>
      <w:r>
        <w:t xml:space="preserve"> described</w:t>
      </w:r>
      <w:r w:rsidRPr="003E08C6">
        <w:t>, M2 macrophages up</w:t>
      </w:r>
      <w:r>
        <w:t>-</w:t>
      </w:r>
      <w:r w:rsidRPr="003E08C6">
        <w:t xml:space="preserve">regulate arginase and secrete factors such as IL-10 and </w:t>
      </w:r>
      <w:r>
        <w:t xml:space="preserve">tissue growth factor </w:t>
      </w:r>
      <w:r w:rsidRPr="003E08C6">
        <w:t>β</w:t>
      </w:r>
      <w:r>
        <w:t xml:space="preserve"> (</w:t>
      </w:r>
      <w:r w:rsidRPr="003E08C6">
        <w:t>TGF-β</w:t>
      </w:r>
      <w:r>
        <w:t xml:space="preserve">) </w:t>
      </w:r>
      <w:r>
        <w:fldChar w:fldCharType="begin"/>
      </w:r>
      <w:r w:rsidR="000A209C">
        <w:instrText xml:space="preserve"> ADDIN ZOTERO_ITEM CSL_CITATION {"citationID":"267oger8eh","properties":{"formattedCitation":"(56)","plainCitation":"(56)","noteIndex":0},"citationItems":[{"id":1371,"uris":["http://zotero.org/users/952979/items/XKME3W3I"],"uri":["http://zotero.org/users/952979/items/XKME3W3I"],"itemData":{"id":1371,"type":"article-journal","title":"Alternative activation of macrophages: mechanism and functions","container-title":"Immunity","page":"593-604","volume":"32","issue":"5","source":"PubMed","abstract":"The concept of an alternative pathway of macrophage activation has stimulated interest in its definition, mechanism, and functional significance in homeostasis and disease. We assess recent research in this field, argue for a restricted definition, and explore pathways by which the T helper 2 (Th2) cell cytokines interleukin-4 (IL-4) and IL-13 mediate their effects on macrophage cell biology, their biosynthesis, and responses to a normal and pathological microenvironment. The stage is now set to gain deeper insights into the role of alternatively activated macrophages in immunobiology.","DOI":"10.1016/j.immuni.2010.05.007","ISSN":"1097-4180","note":"PMID: 20510870","shortTitle":"Alternative activation of macrophages","journalAbbreviation":"Immunity","language":"eng","author":[{"family":"Gordon","given":"Siamon"},{"family":"Martinez","given":"Fernando O."}],"issued":{"date-parts":[["2010",5,28]]}}}],"schema":"https://github.com/citation-style-language/schema/raw/master/csl-citation.json"} </w:instrText>
      </w:r>
      <w:r>
        <w:fldChar w:fldCharType="separate"/>
      </w:r>
      <w:r w:rsidR="004A1963" w:rsidRPr="004A1963">
        <w:rPr>
          <w:rFonts w:ascii="Calibri" w:hAnsi="Calibri"/>
        </w:rPr>
        <w:t>(56)</w:t>
      </w:r>
      <w:r>
        <w:fldChar w:fldCharType="end"/>
      </w:r>
      <w:r w:rsidRPr="003E08C6">
        <w:t xml:space="preserve">. </w:t>
      </w:r>
    </w:p>
    <w:p w14:paraId="1EFA4134" w14:textId="77777777" w:rsidR="001D1AB8" w:rsidRDefault="001D1AB8" w:rsidP="001D1AB8"/>
    <w:p w14:paraId="01A43A77" w14:textId="7C8D124F" w:rsidR="001D1AB8" w:rsidRDefault="001D1AB8" w:rsidP="001D1AB8">
      <w:pPr>
        <w:pStyle w:val="Thesisnormal"/>
      </w:pPr>
      <w:r>
        <w:t xml:space="preserve">Just as with M1 macrophages, M2 macrophages also display alterations in cellular metabolism </w:t>
      </w:r>
      <w:r>
        <w:fldChar w:fldCharType="begin"/>
      </w:r>
      <w:r w:rsidR="000A209C">
        <w:instrText xml:space="preserve"> ADDIN ZOTERO_ITEM CSL_CITATION {"citationID":"MJ0Z0F36","properties":{"formattedCitation":"(30,31)","plainCitation":"(30,31)","noteIndex":0},"citationItems":[{"id":1545,"uris":["http://zotero.org/users/952979/items/J5NPS3BJ"],"uri":["http://zotero.org/users/952979/items/J5NPS3BJ"],"itemData":{"id":1545,"type":"article-journal","title":"A guide to immunometabolism for immunologists","container-title":"Nature Reviews. Immunology","page":"553-565","volume":"16","issue":"9","source":"PubMed","abstract":"In recent years a substantial number of findings have been made in the area of immunometabolism, by which we mean the changes in intracellular metabolic pathways in immune cells that alter their function. Here, we provide a brief refresher course on six of the major metabolic pathways involved (specifically, glycolysis, the tricarboxylic acid (TCA) cycle, the pentose phosphate pathway, fatty acid oxidation, fatty acid synthesis and amino acid metabolism), giving specific examples of how precise changes in the metabolites of these pathways shape the immune cell response. What is emerging is a complex interplay between metabolic reprogramming and immunity, which is providing an extra dimension to our understanding of the immune system in health and disease.","DOI":"10.1038/nri.2016.70","ISSN":"1474-1741","note":"PMID: 27396447\nPMCID: PMC5001910","journalAbbreviation":"Nat. Rev. Immunol.","language":"eng","author":[{"family":"O'Neill","given":"Luke A. J."},{"family":"Kishton","given":"Rigel J."},{"family":"Rathmell","given":"Jeff"}],"issued":{"date-parts":[["2016"]]}}},{"id":1549,"uris":["http://zotero.org/users/952979/items/RIKJ5WC7"],"uri":["http://zotero.org/users/952979/items/RIKJ5WC7"],"itemData":{"id":1549,"type":"article-journal","title":"Metabolic reprogramming in macrophages and dendritic cells in innate immunity","container-title":"Cell Research","page":"771-784","volume":"25","issue":"7","source":"PubMed","abstract":"Activation of macrophages and dendritic cells (DCs) by pro-inflammatory stimuli causes them to undergo a metabolic switch towards glycolysis and away from oxidative phosphorylation (OXPHOS), similar to the Warburg effect in tumors. However, it is only recently that the mechanisms responsible for this metabolic reprogramming have been elucidated in more detail. The transcription factor hypoxia-inducible factor-1α (HIF-1α) plays an important role under conditions of both hypoxia and normoxia. The withdrawal of citrate from the tricarboxylic acid (TCA) cycle has been shown to be critical for lipid biosynthesis in both macrophages and DCs. Interference with this process actually abolishes the ability of DCs to activate T cells. Another TCA cycle intermediate, succinate, activates HIF-1α and promotes inflammatory gene expression. These new insights are providing us with a deeper understanding of the role of metabolic reprogramming in innate immunity.","DOI":"10.1038/cr.2015.68","ISSN":"1748-7838","note":"PMID: 26045163\nPMCID: PMC4493277","journalAbbreviation":"Cell Res.","language":"eng","author":[{"family":"Kelly","given":"Beth"},{"family":"O'Neill","given":"Luke A. J."}],"issued":{"date-parts":[["2015",7]]}}}],"schema":"https://github.com/citation-style-language/schema/raw/master/csl-citation.json"} </w:instrText>
      </w:r>
      <w:r>
        <w:fldChar w:fldCharType="separate"/>
      </w:r>
      <w:r w:rsidR="004A1963" w:rsidRPr="004A1963">
        <w:rPr>
          <w:rFonts w:ascii="Calibri" w:hAnsi="Calibri"/>
        </w:rPr>
        <w:t>(30,31)</w:t>
      </w:r>
      <w:r>
        <w:fldChar w:fldCharType="end"/>
      </w:r>
      <w:r>
        <w:t xml:space="preserve">. During homeostasis, M2 macrophages perform oxidative phosphorylation which can be altered during activation </w:t>
      </w:r>
      <w:r>
        <w:fldChar w:fldCharType="begin"/>
      </w:r>
      <w:r w:rsidR="000A209C">
        <w:instrText xml:space="preserve"> ADDIN ZOTERO_ITEM CSL_CITATION {"citationID":"BwbCUrRZ","properties":{"formattedCitation":"(57,58)","plainCitation":"(57,58)","noteIndex":0},"citationItems":[{"id":1643,"uris":["http://zotero.org/users/952979/items/IREFDDFE"],"uri":["http://zotero.org/users/952979/items/IREFDDFE"],"itemData":{"id":1643,"type":"article-journal","title":"Metabolic Pathways In Immune Cell Activation And Quiescence","container-title":"Immunity","page":"633-643","volume":"38","issue":"4","source":"PubMed Central","abstract":"Studies of immune system metabolism (“immunometabolism”) segregate along two paths. The first investigates the effects of immune cells on organs that regulate whole body metabolism, such as adipose tissue and liver. The second explores the role of metabolic pathways within immune cells and how this regulates immune response outcome. Distinct metabolic pathways diverge and converge at many levels and cells therefore face choices in how to achieve their metabolic goals. There is interest in fully understanding how and why immune cells commit to particular metabolic fates, and in elucidating the immunologic consequences of reaching a metabolic endpoint by one pathway versus another. This is particularly intriguing since metabolic commitment is influenced not only by substrate availability, but also by signaling pathways elicited by metabolites. Thus metabolic choices in cells enforce fate and function and this area will be the subject of this review.","DOI":"10.1016/j.immuni.2013.04.005","ISSN":"1074-7613","note":"PMID: 23601682\nPMCID: PMC3654249","journalAbbreviation":"Immunity","author":[{"family":"Pearce","given":"Erika L."},{"family":"Pearce","given":"Edward J."}],"issued":{"date-parts":[["2013",4,18]]}}},{"id":1522,"uris":["http://zotero.org/users/952979/items/GZRXNXN9"],"uri":["http://zotero.org/users/952979/items/GZRXNXN9"],"itemData":{"id":1522,"type":"article-journal","title":"Reprogramming mitochondrial metabolism in macrophages as an anti-inflammatory signal","container-title":"European Journal of Immunology","page":"13-21","volume":"46","issue":"1","source":"PubMed","abstract":"Mitochondria are master regulators of metabolism. Mitochondria generate ATP by oxidative phosphorylation using pyruvate (derived from glucose and glycolysis) and fatty acids (FAs), both of which are oxidized in the Krebs cycle, as fuel sources. Mitochondria are also an important source of reactive oxygen species (ROS), creating oxidative stress in various contexts, including in the response to bacterial infection. Recently, complex changes in mitochondrial metabolism have been characterized in mouse macrophages in response to varying stimuli in vitro. In LPS and IFN-γ-activated macrophages (M1 macrophages), there is decreased respiration and a broken Krebs cycle, leading to accumulation of succinate and citrate, which act as signals to alter immune function. In IL-4-activated macrophages (M2 macrophages), the Krebs cycle and oxidative phosphorylation are intact and fatty acid oxidation (FAO) is also utilized. These metabolic alterations in response to the nature of the stimulus are proving to be determinants of the effector functions of M1 and M2 macrophages. Furthermore, reprogramming of macrophages from M1 to M2 can be achieved by targeting metabolic events. Here, we describe the role that metabolism plays in macrophage function in infection and immunity, and propose that reprogramming with metabolic inhibitors might be a novel therapeutic approach for the treatment of inflammatory diseases.","DOI":"10.1002/eji.201445427","ISSN":"1521-4141","note":"PMID: 26643360","journalAbbreviation":"Eur. J. Immunol.","language":"eng","author":[{"family":"Mills","given":"Evanna L."},{"family":"O'Neill","given":"Luke A."}],"issued":{"date-parts":[["2016",1]]}}}],"schema":"https://github.com/citation-style-language/schema/raw/master/csl-citation.json"} </w:instrText>
      </w:r>
      <w:r>
        <w:fldChar w:fldCharType="separate"/>
      </w:r>
      <w:r w:rsidR="004A1963" w:rsidRPr="004A1963">
        <w:rPr>
          <w:rFonts w:ascii="Calibri" w:hAnsi="Calibri"/>
        </w:rPr>
        <w:t>(57,58)</w:t>
      </w:r>
      <w:r>
        <w:fldChar w:fldCharType="end"/>
      </w:r>
      <w:r>
        <w:t xml:space="preserve">. Upon exposure to an M2-stimuli, such as apoptotic cells, macrophages increase the rate of fatty acid oxidation, thereby increasing the rate of oxidative phosphorylation </w:t>
      </w:r>
      <w:r>
        <w:fldChar w:fldCharType="begin"/>
      </w:r>
      <w:r w:rsidR="000A209C">
        <w:instrText xml:space="preserve"> ADDIN ZOTERO_ITEM CSL_CITATION {"citationID":"K6VtmY6g","properties":{"formattedCitation":"(54)","plainCitation":"(54)","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B."}],"issued":{"date-parts":[["2018",12,27]]},"accessed":{"date-parts":[["2019",1,8]]}}}],"schema":"https://github.com/citation-style-language/schema/raw/master/csl-citation.json"} </w:instrText>
      </w:r>
      <w:r>
        <w:fldChar w:fldCharType="separate"/>
      </w:r>
      <w:r w:rsidR="004A1963" w:rsidRPr="004A1963">
        <w:rPr>
          <w:rFonts w:ascii="Calibri" w:hAnsi="Calibri"/>
        </w:rPr>
        <w:t>(54)</w:t>
      </w:r>
      <w:r>
        <w:fldChar w:fldCharType="end"/>
      </w:r>
      <w:r>
        <w:t xml:space="preserve">. Fatty acid oxidation has been associated with increased levels of the AMP-activated protein kinase (AMPK), with AMPK acting to sense metabolic changes within the cell </w:t>
      </w:r>
      <w:r>
        <w:fldChar w:fldCharType="begin"/>
      </w:r>
      <w:r w:rsidR="000A209C">
        <w:instrText xml:space="preserve"> ADDIN ZOTERO_ITEM CSL_CITATION {"citationID":"2eUJA7Cz","properties":{"formattedCitation":"(59\\uc0\\u8211{}62)","plainCitation":"(59–62)","noteIndex":0},"citationItems":[{"id":1611,"uris":["http://zotero.org/users/952979/items/UYK936T3"],"uri":["http://zotero.org/users/952979/items/UYK936T3"],"itemData":{"id":1611,"type":"article-journal","title":"AMPK promotes macrophage fatty acid oxidative metabolism to mitigate inflammation: implications for diabetes and cardiovascular disease","container-title":"Immunology and Cell Biology","page":"340-345","volume":"92","issue":"4","source":"PubMed","abstract":"Metabolic inflammation, a low-grade chronic pro-inflammatory environment in metabolic or vascular tissues during nutrient excess, has emerged as an important factor underpinning the development of type 2 diabetes (T2D) and cardiovascular disease (CVD). Macrophages are a primary source of inflammatory effectors that contribute to insulin resistance and atherosclerosis, the precursors of T2D and CVD, respectively. Oxidative metabolism dictates the inflammatory status of macrophages, effects that may be upstream of endoplasmic reticulum (ER) stress and the NLRP3 inflammasome. The AMP-activated protein kinase (AMPK) lies at the crossroads of metabolically driven macrophage inflammation and exerts control over mitochondrial metabolism, and therefore is vital for dictating the inflammatory status of macrophages. Understanding how AMPK regulates oxidative metabolism and substrate selection to control both ER stress and NLRP3 inflammasome-mediated inflammation holds promise for identifying new therapies and the tailoring of current therapies for the treatment of T2D and CVD.","DOI":"10.1038/icb.2014.11","ISSN":"1440-1711","note":"PMID: 24638063","shortTitle":"AMPK promotes macrophage fatty acid oxidative metabolism to mitigate inflammation","journalAbbreviation":"Immunol. Cell Biol.","language":"eng","author":[{"family":"Steinberg","given":"Gregory R."},{"family":"Schertzer","given":"Jonathan D."}],"issued":{"date-parts":[["2014",4]]}}},{"id":1658,"uris":["http://zotero.org/users/952979/items/KP6F6KVQ"],"uri":["http://zotero.org/users/952979/items/KP6F6KVQ"],"itemData":{"id":1658,"type":"article-journal","title":"AMP-activated protein kinase promotes macrophage polarization to an anti-inflammatory functional phenotype","container-title":"Journal of immunology (Baltimore, Md. : 1950)","page":"8633-8641","volume":"181","issue":"12","source":"PubMed Central","abstract":"Herein, we demonstrate a role of AMP-activated protein kinase (AMPK) as a potent counter-regulator of inflammatory signaling pathways in macrophages. Stimulation of macrophages with anti-inflammatory cytokines (i.e., IL-10 and TGFβ) resulted in the rapid Phosphorylation/activation of AMPK, whereas stimulation of macrophages with a proinflammatory stimulus (LPS) resulted in AMPK dephosphorylation/inactivation. Inhibition of AMPKα expression by RNA interference dramatically increased the mRNA levels of LPS-induced TNFα, IL-6 and cyclooxygenase- 2 (COX-2). Likewise, expression of a dominant negative AMPKα1 in macrophages enhanced TNFα and IL-6 protein synthesis in response to LPS stimulation, while diminishing the production of IL-10. In contrast, transfection of macrophages with a constitutively active form of AMPKα1 resulted in decreased LPS-induced TNFα and IL-6 production, and heightened production of IL-10. In addition, we found that AMPK negatively regulated LPS-induced IκB-α degradation and positively regulated Akt activation, accompanied by inhibition of GSK3-β and activation of CREB. Thus, AMPK directs signaling pathways in macrophages in a manner that suppresses proinflammatory responses and promotes macrophage polarization to an anti-inflammatory functional phenotype.","ISSN":"0022-1767","note":"PMID: 19050283\nPMCID: PMC2756051","journalAbbreviation":"J Immunol","author":[{"family":"Sag","given":"Duygu"},{"family":"Carling","given":"David"},{"family":"Stout","given":"Robert D."},{"family":"Suttles","given":"Jill"}],"issued":{"date-parts":[["2008",12,15]]}}},{"id":1612,"uris":["http://zotero.org/users/952979/items/LLJIJNDR"],"uri":["http://zotero.org/users/952979/items/LLJIJNDR"],"itemData":{"id":1612,"type":"article-journal","title":"AMPKα1 regulates macrophage skewing at the time of resolution of inflammation during skeletal muscle regeneration","container-title":"Cell Metabolism","page":"251-264","volume":"18","issue":"2","source":"PubMed","abstract":"Macrophages control the resolution of inflammation through the transition from a proinflammatory (M1) to an anti-inflammatory (M2) phenotype. Here, we present evidence for a role of AMPKα1, a master regulator of energy homeostasis, in macrophage skewing that occurs during skeletal muscle regeneration. Muscle regeneration was impaired in AMPKα1(-/-) mice. In vivo loss-of-function (LysM-Cre;AMPKα1(fl/fl) mouse) and rescue (bone marrow transplantation) experiments showed that macrophagic AMPKα1 was required for muscle regeneration. Cell-based experiments revealed that AMPKα1(-/-) macrophages did not fully acquire the phenotype or the functions of M2 cells. In vivo, AMPKα1(-/-) leukocytes did not acquire the expression of M2 markers during muscle regeneration. Skewing from M1 toward M2 phenotype upon phagocytosis of necrotic and apoptotic cells was impaired in AMPKα1(-/-) macrophages and when AMPK activation was prevented by the inhibition of its upstream activator, CaMKKβ. In conclusion, AMPKα1 is crucial for phagocytosis-induced macrophage skewing from a pro- to anti-inflammatory phenotype at the time of resolution of inflammation.","DOI":"10.1016/j.cmet.2013.06.017","ISSN":"1932-7420","note":"PMID: 23931756","journalAbbreviation":"Cell Metab.","language":"eng","author":[{"family":"Mounier","given":"Rémi"},{"family":"Théret","given":"Marine"},{"family":"Arnold","given":"Ludovic"},{"family":"Cuvellier","given":"Sylvain"},{"family":"Bultot","given":"Laurent"},{"family":"Göransson","given":"Olga"},{"family":"Sanz","given":"Nieves"},{"family":"Ferry","given":"Arnaud"},{"family":"Sakamoto","given":"Kei"},{"family":"Foretz","given":"Marc"},{"family":"Viollet","given":"Benoit"},{"family":"Chazaud","given":"Bénédicte"}],"issued":{"date-parts":[["2013",8,6]]}}},{"id":1619,"uris":["http://zotero.org/users/952979/items/D3L96L8E"],"uri":["http://zotero.org/users/952979/items/D3L96L8E"],"itemData":{"id":1619,"type":"article-journal","title":"Berberine suppresses proinflammatory responses through AMPK activation in macrophages","container-title":"American Journal of Physiology. Endocrinology and Metabolism","page":"E955-964","volume":"296","issue":"4","source":"PubMed","abstract":"Berberine (BBR) has been shown to improve several metabolic disorders, such as obesity, type 2 diabetes, and dyslipidemia, by stimulating AMP-activated protein kinase (AMPK). However, the effects of BBR on proinflammatory responses in macrophages are poorly understood. Here we show that BBR represses proinflammatory responses through AMPK activation in macrophages. In adipose tissue of obese db/db mice, BBR treatment significantly downregulated the expression of proinflammatory genes such as TNF-alpha, IL-1beta, IL-6, monocyte chemoattractant protein-1 (MCP-1), inducible nitric oxide synthase (iNOS), and cyclooxygenase-2 (COX-2). Consistently, BBR inhibited LPS-induced expression of proinflammatory genes including IL-1beta, IL-6, iNOS, MCP-1, COX-2, and matrix metalloprotease-9 in peritoneal macrophages and RAW 264.7 cells. Upon various proinflammatory signals including LPS, free fatty acids, and hydrogen peroxide, BBR suppressed the phosphorylation of MAPKs, such as p38, ERK, and JNK, and the level of reactive oxygen species in macrophages. Moreover, these inhibitory effects of BBR on proinflammatory responses were abolished by AMPK inhibition via either compound C, an AMPK inhibitor, or dominant-negative AMPK, implying that BBR would downregulate proinflammatory responses in macrophages via AMPK stimulation.","DOI":"10.1152/ajpendo.90599.2008","ISSN":"0193-1849","note":"PMID: 19208854","journalAbbreviation":"Am. J. Physiol. Endocrinol. Metab.","language":"eng","author":[{"family":"Jeong","given":"Hyun Woo"},{"family":"Hsu","given":"Kuan Chi"},{"family":"Lee","given":"Joo-Won"},{"family":"Ham","given":"Mira"},{"family":"Huh","given":"Jin Young"},{"family":"Shin","given":"Hyun Jung"},{"family":"Kim","given":"Woo Sik"},{"family":"Kim","given":"Jae Bum"}],"issued":{"date-parts":[["2009",4]]}}}],"schema":"https://github.com/citation-style-language/schema/raw/master/csl-citation.json"} </w:instrText>
      </w:r>
      <w:r>
        <w:fldChar w:fldCharType="separate"/>
      </w:r>
      <w:r w:rsidR="004A1963" w:rsidRPr="004A1963">
        <w:rPr>
          <w:rFonts w:ascii="Calibri" w:hAnsi="Calibri" w:cs="Times New Roman"/>
        </w:rPr>
        <w:t>(59–62)</w:t>
      </w:r>
      <w:r>
        <w:fldChar w:fldCharType="end"/>
      </w:r>
      <w:r>
        <w:t xml:space="preserve">. Knockout of AMPK prevents M2 macrophages from fully acquiring an anti-inflammatory phenotype (assessed by a panel of quantitative PCR (qPCR) genes such as </w:t>
      </w:r>
      <w:r>
        <w:rPr>
          <w:rStyle w:val="Emphasis"/>
        </w:rPr>
        <w:t>TGF-</w:t>
      </w:r>
      <w:r>
        <w:t xml:space="preserve"> </w:t>
      </w:r>
      <w:r w:rsidRPr="003E08C6">
        <w:t>β</w:t>
      </w:r>
      <w:r>
        <w:t xml:space="preserve">, </w:t>
      </w:r>
      <w:r>
        <w:rPr>
          <w:rStyle w:val="Emphasis"/>
        </w:rPr>
        <w:t>IL-10</w:t>
      </w:r>
      <w:r>
        <w:t>, IL-</w:t>
      </w:r>
      <w:r>
        <w:rPr>
          <w:rStyle w:val="Emphasis"/>
        </w:rPr>
        <w:t>4Rα</w:t>
      </w:r>
      <w:r>
        <w:t xml:space="preserve">), with these macrophages displaying reduced efferocytosis </w:t>
      </w:r>
      <w:r>
        <w:fldChar w:fldCharType="begin"/>
      </w:r>
      <w:r w:rsidR="000A209C">
        <w:instrText xml:space="preserve"> ADDIN ZOTERO_ITEM CSL_CITATION {"citationID":"V95IQN5k","properties":{"formattedCitation":"(61)","plainCitation":"(61)","noteIndex":0},"citationItems":[{"id":1612,"uris":["http://zotero.org/users/952979/items/LLJIJNDR"],"uri":["http://zotero.org/users/952979/items/LLJIJNDR"],"itemData":{"id":1612,"type":"article-journal","title":"AMPKα1 regulates macrophage skewing at the time of resolution of inflammation during skeletal muscle regeneration","container-title":"Cell Metabolism","page":"251-264","volume":"18","issue":"2","source":"PubMed","abstract":"Macrophages control the resolution of inflammation through the transition from a proinflammatory (M1) to an anti-inflammatory (M2) phenotype. Here, we present evidence for a role of AMPKα1, a master regulator of energy homeostasis, in macrophage skewing that occurs during skeletal muscle regeneration. Muscle regeneration was impaired in AMPKα1(-/-) mice. In vivo loss-of-function (LysM-Cre;AMPKα1(fl/fl) mouse) and rescue (bone marrow transplantation) experiments showed that macrophagic AMPKα1 was required for muscle regeneration. Cell-based experiments revealed that AMPKα1(-/-) macrophages did not fully acquire the phenotype or the functions of M2 cells. In vivo, AMPKα1(-/-) leukocytes did not acquire the expression of M2 markers during muscle regeneration. Skewing from M1 toward M2 phenotype upon phagocytosis of necrotic and apoptotic cells was impaired in AMPKα1(-/-) macrophages and when AMPK activation was prevented by the inhibition of its upstream activator, CaMKKβ. In conclusion, AMPKα1 is crucial for phagocytosis-induced macrophage skewing from a pro- to anti-inflammatory phenotype at the time of resolution of inflammation.","DOI":"10.1016/j.cmet.2013.06.017","ISSN":"1932-7420","note":"PMID: 23931756","journalAbbreviation":"Cell Metab.","language":"eng","author":[{"family":"Mounier","given":"Rémi"},{"family":"Théret","given":"Marine"},{"family":"Arnold","given":"Ludovic"},{"family":"Cuvellier","given":"Sylvain"},{"family":"Bultot","given":"Laurent"},{"family":"Göransson","given":"Olga"},{"family":"Sanz","given":"Nieves"},{"family":"Ferry","given":"Arnaud"},{"family":"Sakamoto","given":"Kei"},{"family":"Foretz","given":"Marc"},{"family":"Viollet","given":"Benoit"},{"family":"Chazaud","given":"Bénédicte"}],"issued":{"date-parts":[["2013",8,6]]}}}],"schema":"https://github.com/citation-style-language/schema/raw/master/csl-citation.json"} </w:instrText>
      </w:r>
      <w:r>
        <w:fldChar w:fldCharType="separate"/>
      </w:r>
      <w:r w:rsidR="004A1963" w:rsidRPr="004A1963">
        <w:rPr>
          <w:rFonts w:ascii="Calibri" w:hAnsi="Calibri"/>
        </w:rPr>
        <w:t>(61)</w:t>
      </w:r>
      <w:r>
        <w:fldChar w:fldCharType="end"/>
      </w:r>
      <w:r>
        <w:t xml:space="preserve">. </w:t>
      </w:r>
    </w:p>
    <w:p w14:paraId="1463A127" w14:textId="77777777" w:rsidR="001D1AB8" w:rsidRDefault="001D1AB8" w:rsidP="001D1AB8">
      <w:pPr>
        <w:pStyle w:val="Thesisnormal"/>
      </w:pPr>
    </w:p>
    <w:p w14:paraId="4D2A184E" w14:textId="7B513D71" w:rsidR="001D1AB8" w:rsidRPr="006E75B9" w:rsidRDefault="001D1AB8" w:rsidP="001D1AB8">
      <w:pPr>
        <w:pStyle w:val="Thesisnormal"/>
      </w:pPr>
      <w:r>
        <w:t xml:space="preserve">In the context of disease, M2 macrophages are essential for responses to helminth infection </w:t>
      </w:r>
      <w:r>
        <w:fldChar w:fldCharType="begin"/>
      </w:r>
      <w:r w:rsidR="000A209C">
        <w:instrText xml:space="preserve"> ADDIN ZOTERO_ITEM CSL_CITATION {"citationID":"DdwXfpH7","properties":{"formattedCitation":"(63)","plainCitation":"(63)","noteIndex":0},"citationItems":[{"id":1869,"uris":["http://zotero.org/users/952979/items/DH69K7BD"],"uri":["http://zotero.org/users/952979/items/DH69K7BD"],"itemData":{"id":1869,"type":"article-journal","title":"Memory TH2 cells induce alternatively activated macrophages to mediate protection against nematode parasites","container-title":"Nature medicine","page":"955-960","volume":"12","issue":"8","source":"PubMed Central","abstract":"Although primary and memory responses against bacteria and viruses have been studied extensively, T helper type 2 (TH2) effector mechanisms leading to host protection against helminthic parasites remain elusive. Examination of the intestinal epithelial submucosa of mice after primary and secondary infections by a natural gastrointestinal parasite revealed a distinct immune-cell infiltrate after challenge, featuring interleukin-4–expressing memory CD4+ T cells that induced IL-4 receptorhi (IL-4Rhi) CD206+ alternatively activated macrophages. In turn, these alternatively activated macrophages (AAMacs) functioned as important effector cells of the protective memory response contributing to parasite elimination, demonstrating a previously unknown mechanism for host protection against intestinal helminths.","DOI":"10.1038/nm1451","ISSN":"1078-8956","note":"PMID: 16892038\nPMCID: PMC1955764","journalAbbreviation":"Nat Med","author":[{"family":"Anthony","given":"Robert M"},{"family":"Urban","given":"Joseph F"},{"family":"Alem","given":"Farhang"},{"family":"Hamed","given":"Hossein A"},{"family":"Rozo","given":"Cristina T"},{"family":"Boucher","given":"Jean-Luc"},{"family":"Van Rooijen","given":"Nico"},{"family":"Gause","given":"William C"}],"issued":{"date-parts":[["2006",8]]}}}],"schema":"https://github.com/citation-style-language/schema/raw/master/csl-citation.json"} </w:instrText>
      </w:r>
      <w:r>
        <w:fldChar w:fldCharType="separate"/>
      </w:r>
      <w:r w:rsidR="004A1963" w:rsidRPr="004A1963">
        <w:rPr>
          <w:rFonts w:ascii="Calibri" w:hAnsi="Calibri"/>
        </w:rPr>
        <w:t>(63)</w:t>
      </w:r>
      <w:r>
        <w:fldChar w:fldCharType="end"/>
      </w:r>
      <w:r>
        <w:t xml:space="preserve">. Indeed, IL-4R deficient mice are susceptible to helminth infection, demonstrating the </w:t>
      </w:r>
      <w:r>
        <w:lastRenderedPageBreak/>
        <w:t>importance of T</w:t>
      </w:r>
      <w:r>
        <w:rPr>
          <w:vertAlign w:val="subscript"/>
        </w:rPr>
        <w:t>H</w:t>
      </w:r>
      <w:r>
        <w:t xml:space="preserve">2-type responses </w:t>
      </w:r>
      <w:r>
        <w:fldChar w:fldCharType="begin"/>
      </w:r>
      <w:r w:rsidR="000A209C">
        <w:instrText xml:space="preserve"> ADDIN ZOTERO_ITEM CSL_CITATION {"citationID":"ttez0PoB","properties":{"formattedCitation":"(64)","plainCitation":"(64)","noteIndex":0},"citationItems":[{"id":1868,"uris":["http://zotero.org/users/952979/items/C7E3NH83"],"uri":["http://zotero.org/users/952979/items/C7E3NH83"],"itemData":{"id":1868,"type":"article-journal","title":"Differences between IL-4R alpha-deficient and IL-4-deficient mice reveal a role for IL-13 in the regulation of Th2 responses","container-title":"Current biology: CB","page":"669-672","volume":"8","issue":"11","source":"PubMed","abstract":"Allergens and infections with parasitic helminths preferentially induced Th2 immune responses associated with elevated levels of serum immunoglobulin E (IgE) and expansion of eosinophils and mast cells. Interleukin-4 (IL-4) is a key cytokine in the differentiation of naive CD4+ T cells into Th2 cells, which produce a panel of cytokines including IL-4, IL-5, IL-6, IL-9, IL-10, and IL-13 [1] and have been shown to trigger recovery from gastrointestinal nematodes [2]. Nonetheless, mice deficient for IL-4 have been shown to develop residual Th2 responses [3-5] and can expel the nematode Nippostrongylus brasiliensis [6], suggesting that there is a functional equivalent of IL-4 in these processes. IL-13 is a cytokine that shares some, but not all, biological activities with IL-4 [7,8]. There is now compelling evidence that IL-4 and IL-13 share receptor components, including IL-4R alpha and IL-13R alpha 1 [9]. In order to dissect the roles of IL-4 and IL-13 in the regulation of Th2 cells and in the response to nematode infections, we looked for differences between mice deficient for either the IL-4 gene or the IL-4R alpha gene. Unlike IL-4, IL-4R alpha was required for control of N. brasiliensis, and Th2 development during infection--as characterized by cytokine production, GATA-3 and surface CD30 expression--was more severely affected in IL-4R alpha-/- mice than in IL-4-/- mice. Injection of recombinant IL-13 induced worm expulsion in otherwise incompetent RAG2-/- mice. Our results suggest that IL-13 regulates Th2 responses to nematode infection and requires IL-4R alpha.","ISSN":"0960-9822","note":"PMID: 9635196","journalAbbreviation":"Curr. Biol.","language":"eng","author":[{"family":"Barner","given":"M."},{"family":"Mohrs","given":"M."},{"family":"Brombacher","given":"F."},{"family":"Kopf","given":"M."}],"issued":{"date-parts":[["1998",5,21]]}}}],"schema":"https://github.com/citation-style-language/schema/raw/master/csl-citation.json"} </w:instrText>
      </w:r>
      <w:r>
        <w:fldChar w:fldCharType="separate"/>
      </w:r>
      <w:r w:rsidR="004A1963" w:rsidRPr="004A1963">
        <w:rPr>
          <w:rFonts w:ascii="Calibri" w:hAnsi="Calibri"/>
        </w:rPr>
        <w:t>(64)</w:t>
      </w:r>
      <w:r>
        <w:fldChar w:fldCharType="end"/>
      </w:r>
      <w:r>
        <w:t xml:space="preserve">. Not only are M2-type macrophage responses required for the control of helminth infection, but also in limiting the tissue damage during such infections, highlighting the important repair functions of M2 macrophages </w:t>
      </w:r>
      <w:r>
        <w:fldChar w:fldCharType="begin"/>
      </w:r>
      <w:r w:rsidR="000A209C">
        <w:instrText xml:space="preserve"> ADDIN ZOTERO_ITEM CSL_CITATION {"citationID":"iRD5ZwOY","properties":{"formattedCitation":"(65)","plainCitation":"(65)","noteIndex":0},"citationItems":[{"id":1867,"uris":["http://zotero.org/users/952979/items/A25VY7FN"],"uri":["http://zotero.org/users/952979/items/A25VY7FN"],"itemData":{"id":1867,"type":"article-journal","title":"An essential role for TH2-type responses in limiting acute tissue damage during experimental helminth infection","container-title":"Nature Medicine","page":"260-266","volume":"18","issue":"2","source":"PubMed","abstract":"Helminths induce potent T helper 2 (TH2)-type immune responses that can mediate worm expulsion, but the role of this response in controlling the acute tissue damage caused by migrating multicellular parasites through vital tissues remains uncertain. We used a helminth infection model in which parasitic nematode larvae migrate transiently through the lung, resulting in hemorrhage and inflammation. We found that IL-17 initially contributed to inflammation and lung damage, whereas subsequent IL-4 receptor (IL-4R) signaling reduced elevations in IL-17 mRNA levels, enhanced the expression of insulin-like growth factor 1 (IGF-1) and IL-10 and stimulated the development of M2 macrophages, all of which contributed to the rapid resolution of tissue damage. These studies indicate an essential role for TH2-type immune responses in mediating acute wound healing during helminth infection.","DOI":"10.1038/nm.2628","ISSN":"1546-170X","note":"PMID: 22245779\nPMCID: PMC3274634","journalAbbreviation":"Nat. Med.","language":"eng","author":[{"family":"Chen","given":"Fei"},{"family":"Liu","given":"Zhugong"},{"family":"Wu","given":"Wenhui"},{"family":"Rozo","given":"Cristina"},{"family":"Bowdridge","given":"Scott"},{"family":"Millman","given":"Ariel"},{"family":"Van Rooijen","given":"Nico"},{"family":"Urban","given":"Joseph F."},{"family":"Wynn","given":"Thomas A."},{"family":"Gause","given":"William C."}],"issued":{"date-parts":[["2012",1,15]]}}}],"schema":"https://github.com/citation-style-language/schema/raw/master/csl-citation.json"} </w:instrText>
      </w:r>
      <w:r>
        <w:fldChar w:fldCharType="separate"/>
      </w:r>
      <w:r w:rsidR="004A1963" w:rsidRPr="004A1963">
        <w:rPr>
          <w:rFonts w:ascii="Calibri" w:hAnsi="Calibri"/>
        </w:rPr>
        <w:t>(65)</w:t>
      </w:r>
      <w:r>
        <w:fldChar w:fldCharType="end"/>
      </w:r>
      <w:r>
        <w:t xml:space="preserve">. M2 responses are prevalent in allergy where they can be detrimental to pathology </w:t>
      </w:r>
      <w:r>
        <w:fldChar w:fldCharType="begin"/>
      </w:r>
      <w:r w:rsidR="000A209C">
        <w:instrText xml:space="preserve"> ADDIN ZOTERO_ITEM CSL_CITATION {"citationID":"UMrqlW0B","properties":{"formattedCitation":"(23)","plainCitation":"(23)","noteIndex":0},"citationItems":[{"id":1311,"uris":["http://zotero.org/users/952979/items/4339WKVR"],"uri":["http://zotero.org/users/952979/items/4339WKVR"],"itemData":{"id":1311,"type":"article-journal","title":"Much More than M1 and M2 Macrophages, There are also CD169+ and TCR+ Macrophages","container-title":"Frontiers in Immunology","volume":"6","source":"PubMed Central","abstract":"Monocytes are considered to be precursor cells of the mononuclear phagocytic system, and macrophages are one of the leading members of this cellular system. Macrophages play highly diverse roles in maintaining an organism’s integrity by either directly participating in pathogen elimination or repairing tissue under sterile inflammatory conditions. There are different subpopulations of macrophages and each one has its own characteristics and functions. In this review, we summarize present knowledge on the polarization of macrophages that allows the generation of subpopulations called classically activated macrophages or M1 and alternative activated macrophages or M2. Furthermore, there are macrophages that their origin and characterization still remain unclear but have been involved as main players in some human pathologies. Thus, we also review three other categories of macrophages: tumor-associated macrophages, CD169+ macrophages, and the recently named TCR+ macrophages. Based on the literature, we provide information on the molecular characterization of these macrophage subpopulations and their specific involvement in several human pathologies such as cancer, infectious diseases, obesity, and asthma. The refined characterization of the macrophage subpopulations can be useful in designing new strategies, supplementing those already established for the treatment of diseases using macrophages as a therapeutic target.","URL":"http://www.ncbi.nlm.nih.gov/pmc/articles/PMC4443739/","DOI":"10.3389/fimmu.2015.00263","ISSN":"1664-3224","note":"PMID: 26074923\nPMCID: PMC4443739","journalAbbreviation":"Front Immunol","author":[{"family":"Chávez-Galán","given":"Leslie"},{"family":"Olleros","given":"Maria L."},{"family":"Vesin","given":"Dominique"},{"family":"Garcia","given":"Irene"}],"issued":{"date-parts":[["2015",5,26]]},"accessed":{"date-parts":[["2015",11,2]]}}}],"schema":"https://github.com/citation-style-language/schema/raw/master/csl-citation.json"} </w:instrText>
      </w:r>
      <w:r>
        <w:fldChar w:fldCharType="separate"/>
      </w:r>
      <w:r w:rsidR="00A53A6B" w:rsidRPr="00A53A6B">
        <w:rPr>
          <w:rFonts w:ascii="Calibri" w:hAnsi="Calibri"/>
        </w:rPr>
        <w:t>(23)</w:t>
      </w:r>
      <w:r>
        <w:fldChar w:fldCharType="end"/>
      </w:r>
      <w:r>
        <w:t xml:space="preserve">. For example, macrophages responding to IL-4 and IL-13 increased the severity of allergic lung inflammation by recruiting eosinophils through M2 macrophage-dependent secretion of C-C motif chemokine ligands (CCL)-11 and CCL24 </w:t>
      </w:r>
      <w:r>
        <w:fldChar w:fldCharType="begin"/>
      </w:r>
      <w:r w:rsidR="000A209C">
        <w:instrText xml:space="preserve"> ADDIN ZOTERO_ITEM CSL_CITATION {"citationID":"tSYN2TT2","properties":{"formattedCitation":"(66)","plainCitation":"(66)","noteIndex":0},"citationItems":[{"id":1866,"uris":["http://zotero.org/users/952979/items/4BTRZKX7"],"uri":["http://zotero.org/users/952979/items/4BTRZKX7"],"itemData":{"id":1866,"type":"article-journal","title":"Adoptive transfer of IL-4Rα+ macrophages is sufficient to enhance eosinophilic inflammation in a mouse model of allergic lung inflammation","container-title":"BMC immunology","page":"6","volume":"13","source":"PubMed","abstract":"BACKGROUND: The IL-4 receptor α (IL-4Rα) chain has a broad expression pattern and participates in IL-4 and IL-13 signaling, allowing it to influence several pathological components of allergic lung inflammation. We previously reported that IL-4Rα expression on both bone marrow-derived and non-bone marrow-derived cells contributed to the severity of allergic lung inflammation. There was a correlation between the number of macrophages expressing the IL-4Rα, CD11b, and IA(d), and the degree of eosinophilia in ovalbumin challenged mice. The engagement of the IL-4Rα by IL-4 or IL-13 is able to stimulate the alternative activation of macrophages (AAM). The presence of AAM has been correlated with inflammatory responses to parasites and allergens. Therefore, we hypothesized that IL-4Rα⁺ AAM play an active role in allergic lung inflammation. To directly determine the role of AAM in allergic lung inflammation, M-CSF-dependent macrophages (BMM) were prepared from the bone-marrow of IL-4Rα positive and negative mice and transferred to IL-4RαxRAG2(-/-) mice. Wild type TH2 cells were provided exogenously.\nRESULTS: Mice receiving IL-4Rα(+/+) BMM showed a marked increase in the recruitment of eosinophils to the lung after challenge with ovalbumin as compared to mice receiving IL-4Rα(-/-) BMM. As expected, the eosinophilic inflammation was dependent on the presence of TH2 cells. Furthermore, we observed an increase in cells expressing F4/80 and Mac3, and the AAM marker YM1/2 in the lungs of mice receiving IL-4Rα(+/+) BMM. The BAL fluid from these mice contained elevated levels of eotaxin-1, RANTES, and CCL2.\nCONCLUSIONS: These results demonstrate that transfer of IL-4Rα + macrophages is sufficient to enhance TH2-driven, allergic inflammation. They further show that stimulation of macrophages through IL-4Rα leads to their alternative activation and positive contribution to the TH2-driven allergic inflammatory response in the lung. Since an increase in AAM and their products has been observed in patients with asthma exacerbations, these results suggest that AAM may be targeted to alleviate exacerbations.","DOI":"10.1186/1471-2172-13-6","ISSN":"1471-2172","note":"PMID: 22292924\nPMCID: PMC3283450","journalAbbreviation":"BMC Immunol.","language":"eng","author":[{"family":"Ford","given":"Andrew Q."},{"family":"Dasgupta","given":"Preeta"},{"family":"Mikhailenko","given":"Irina"},{"family":"Smith","given":"Elizabeth M. P."},{"family":"Noben-Trauth","given":"Nancy"},{"family":"Keegan","given":"Achsah D."}],"issued":{"date-parts":[["2012",1,31]]}}}],"schema":"https://github.com/citation-style-language/schema/raw/master/csl-citation.json"} </w:instrText>
      </w:r>
      <w:r>
        <w:fldChar w:fldCharType="separate"/>
      </w:r>
      <w:r w:rsidR="004A1963" w:rsidRPr="004A1963">
        <w:rPr>
          <w:rFonts w:ascii="Calibri" w:hAnsi="Calibri"/>
        </w:rPr>
        <w:t>(66)</w:t>
      </w:r>
      <w:r>
        <w:fldChar w:fldCharType="end"/>
      </w:r>
      <w:r>
        <w:t xml:space="preserve">. </w:t>
      </w:r>
    </w:p>
    <w:p w14:paraId="62F34415" w14:textId="77777777" w:rsidR="001D1AB8" w:rsidRDefault="001D1AB8" w:rsidP="001D1AB8">
      <w:pPr>
        <w:pStyle w:val="Thesisnormal"/>
      </w:pPr>
    </w:p>
    <w:p w14:paraId="2987D6C3" w14:textId="77777777" w:rsidR="001D1AB8" w:rsidRDefault="001D1AB8" w:rsidP="001D1AB8">
      <w:pPr>
        <w:pStyle w:val="Heading3"/>
      </w:pPr>
      <w:r>
        <w:tab/>
      </w:r>
      <w:bookmarkStart w:id="38" w:name="_Toc502936282"/>
      <w:bookmarkStart w:id="39" w:name="_Toc4589261"/>
      <w:r>
        <w:t>1.2.3 Other macrophages</w:t>
      </w:r>
      <w:bookmarkEnd w:id="38"/>
      <w:bookmarkEnd w:id="39"/>
    </w:p>
    <w:p w14:paraId="5B46B75A" w14:textId="77777777" w:rsidR="001D1AB8" w:rsidRDefault="001D1AB8" w:rsidP="001D1AB8">
      <w:pPr>
        <w:pStyle w:val="Thesisnormal"/>
      </w:pPr>
    </w:p>
    <w:p w14:paraId="42F4E098" w14:textId="1DCEF8F8" w:rsidR="001D1AB8" w:rsidRDefault="001D1AB8" w:rsidP="001D1AB8">
      <w:pPr>
        <w:pStyle w:val="Thesisnormal"/>
      </w:pPr>
      <w:r w:rsidRPr="003E08C6">
        <w:t xml:space="preserve">Although </w:t>
      </w:r>
      <w:r>
        <w:t xml:space="preserve">M1 and M2 macrophages were initially characterised </w:t>
      </w:r>
      <w:r w:rsidRPr="003E08C6">
        <w:t>based on ornithine metabolism, with M1 macrophages up</w:t>
      </w:r>
      <w:r>
        <w:t>-</w:t>
      </w:r>
      <w:r w:rsidRPr="003E08C6">
        <w:t xml:space="preserve">regulating Nitric Oxide Synthase (NOS) and M2 </w:t>
      </w:r>
      <w:r>
        <w:t>macrophages up-regulating Arginase</w:t>
      </w:r>
      <w:r w:rsidRPr="003E08C6">
        <w:t xml:space="preserve"> (Arg), there are now an abundance of markers for each subtype </w:t>
      </w:r>
      <w:r w:rsidRPr="003E08C6">
        <w:fldChar w:fldCharType="begin"/>
      </w:r>
      <w:r w:rsidR="000A209C">
        <w:instrText xml:space="preserve"> ADDIN ZOTERO_ITEM CSL_CITATION {"citationID":"Xh00fMTN","properties":{"formattedCitation":"(55,67,68)","plainCitation":"(55,67,68)","noteIndex":0},"citationItems":[{"id":1420,"uris":["http://zotero.org/users/952979/items/MV7DZM33"],"uri":["http://zotero.org/users/952979/items/MV7DZM33"],"itemData":{"id":1420,"type":"article-journal","title":"The chemokine system in diverse forms of macrophage activation and polarization","container-title":"Trends in Immunology","page":"677-686","volume":"25","issue":"12","source":"PubMed","abstract":"Plasticity and functional polarization are hallmarks of the mononuclear phagocyte system. Here we review emerging key properties of different forms of macrophage activation and polarization (M1, M2a, M2b, M2c), which represent extremes of a continuum. In particular, recent evidence suggests that differential modulation of the chemokine system integrates polarized macrophages in pathways of resistance to, or promotion of, microbial pathogens and tumors, or immunoregulation, tissue repair and remodeling.","DOI":"10.1016/j.it.2004.09.015","ISSN":"1471-4906","note":"PMID: 15530839","journalAbbreviation":"Trends Immunol.","language":"eng","author":[{"family":"Mantovani","given":"Alberto"},{"family":"Sica","given":"Antonio"},{"family":"Sozzani","given":"Silvano"},{"family":"Allavena","given":"Paola"},{"family":"Vecchi","given":"Annunciata"},{"family":"Locati","given":"Massimo"}],"issued":{"date-parts":[["2004",12]]}}},{"id":1088,"uris":["http://zotero.org/users/952979/items/N7CZ36S7"],"uri":["http://zotero.org/users/952979/items/N7CZ36S7"],"itemData":{"id":1088,"type":"article-journal","title":"Transcriptional profiling of the human monocyte-to-macrophage differentiation and polarization: new molecules and patterns of gene expression","container-title":"Journal of Immunology (Baltimore, Md.: 1950)","page":"7303-7311","volume":"177","issue":"10","source":"PubMed","abstract":"Comprehensive analysis of the gene expression profiles associated with human monocyte-to-macrophage differentiation and polarization toward M1 or M2 phenotypes led to the following main results: 1) M-CSF-driven monocyte-to-macrophage differentiation is associated with activation of cell cycle genes, substantiating the underestimated proliferation potential of monocytes. 2) M-CSF leads to expression of a substantial part of the M2 transcriptome, suggesting that under homeostatic conditions a default shift toward M2 occurs. 3) Modulation of genes involved in metabolic activities is a prominent feature of macrophage differentiation and polarization. 4) Lipid metabolism is a main category of modulated transcripts, with expected up-regulation of cyclo-oxygenase 2 in M1 cells and unexpected cyclo-oxygenase 1 up-regulation in M2 cells. 5) Each step is characterized by a different repertoire of G protein-coupled receptors, with five nucleotide receptors as novel M2-associated genes. 6) The chemokinome of polarized macrophages is profoundly diverse and new differentially expressed chemokines are reported. Thus, transcriptome profiling reveals novel molecules and signatures associated with human monocyte-to-macrophage differentiation and polarized activation which may represent candidate targets in pathophysiology.","ISSN":"0022-1767","note":"PMID: 17082649","shortTitle":"Transcriptional profiling of the human monocyte-to-macrophage differentiation and polarization","journalAbbreviation":"J. Immunol.","language":"eng","author":[{"family":"Martinez","given":"Fernando O."},{"family":"Gordon","given":"Siamon"},{"family":"Locati","given":"Massimo"},{"family":"Mantovani","given":"Alberto"}],"issued":{"date-parts":[["2006",11,15]]}}},{"id":1315,"uris":["http://zotero.org/users/952979/items/FVS2ESZM"],"uri":["http://zotero.org/users/952979/items/FVS2ESZM"],"itemData":{"id":1315,"type":"article-journal","title":"Polarization profiles of human M-CSF-generated macrophages and comparison of M1-markers in classically activated macrophages from GM-CSF and M-CSF origin","container-title":"Cellular Immunology","page":"51-61","volume":"281","issue":"1","source":"PubMed","abstract":"Monocytes/macrophages (MΦ), considered as plastic cells, can differentiate into either a pro-inflammatory (M1) subtype, also known as a classically activated subtype, or an anti-inflammatory alternatively activated subtype (M2) according to their microenvironment. Phenotypic markers of mouse polarized MΦ have been extensively studied, whereas their human counterparts remain less characterized. The main goal of this study was therefore to carefully characterize phenotypic and genomic markers of primary human MΦ generated from M-CSF-treated blood monocytes and polarized towards M1 or M2 subtype upon the action of lipopolysaccharide and interferon-γ (for M1) or interleukin (IL)-4 (for M2). Membrane expression of the markers CD80 and CD200R was found to be specific of human M1 and M2 polarized MΦ, respectively, whereas, by contrast, mannose receptor (CD206) expression did not discriminate between M1 and M2. mRNA expression analysis further identified six markers of M1 polarization (IL-12p35, CXCL10, CXCL11, CCL5, CCR7 and IDO1), five markers of M2 polarization (TGF-β, CCL14, CCL22, SR-B1 and PPARγ) and transcription factors involved in MΦ polarization. Ability of human M-CSF-generated MΦ to polarize toward M1 or M2 subtype was also associated with enhanced secretion of TNFα, IL-1β, IL-12p40, CXCL10 and IL-10 (for M1) or CCL22 (for M2). Moreover, the comparison of the expression of M1 markers in M-CSF- and GM-CSF-MΦ polarized towards M1 subtype has revealed similarities. In conclusion, we demonstrated that human M-CSF MΦ can polarize toward a M1 type after IFNγ/LPS stimulation. Moreover, the M1 and M2 markers of human polarized MΦ identified in the present study may be useful to better identify human MΦ subtypes, particularly at the tissue level, in order to better understand their respective roles in the development of pathologies.","DOI":"10.1016/j.cellimm.2013.01.010","ISSN":"1090-2163","note":"PMID: 23454681","journalAbbreviation":"Cell. Immunol.","language":"eng","author":[{"family":"Jaguin","given":"Marie"},{"family":"Houlbert","given":"Noémie"},{"family":"Fardel","given":"Olivier"},{"family":"Lecureur","given":"Valérie"}],"issued":{"date-parts":[["2013",1]]}}}],"schema":"https://github.com/citation-style-language/schema/raw/master/csl-citation.json"} </w:instrText>
      </w:r>
      <w:r w:rsidRPr="003E08C6">
        <w:fldChar w:fldCharType="separate"/>
      </w:r>
      <w:r w:rsidR="004A1963" w:rsidRPr="004A1963">
        <w:rPr>
          <w:rFonts w:ascii="Calibri" w:hAnsi="Calibri"/>
        </w:rPr>
        <w:t>(55,67,68)</w:t>
      </w:r>
      <w:r w:rsidRPr="003E08C6">
        <w:fldChar w:fldCharType="end"/>
      </w:r>
      <w:r w:rsidRPr="003E08C6">
        <w:t>.</w:t>
      </w:r>
      <w:r>
        <w:t xml:space="preserve"> Moreover, the literature has become compounded with multiple additional types of macrophages.  Particularly, the M2 subset has been expanded into M2a, M2b, M2c and M2d subsets based upon the inducing stimuli required  or resulting cytokine profile </w:t>
      </w:r>
      <w:r>
        <w:fldChar w:fldCharType="begin"/>
      </w:r>
      <w:r w:rsidR="000A209C">
        <w:instrText xml:space="preserve"> ADDIN ZOTERO_ITEM CSL_CITATION {"citationID":"xUNXwexA","properties":{"formattedCitation":"(69)","plainCitation":"(69)","noteIndex":0},"citationItems":[{"id":1858,"uris":["http://zotero.org/users/952979/items/WWYKA7L9"],"uri":["http://zotero.org/users/952979/items/WWYKA7L9"],"itemData":{"id":1858,"type":"article-journal","title":"Macrophage plasticity, polarization, and function in health and disease","container-title":"Journal of Cellular Physiology","page":"6425-6440","volume":"233","issue":"9","source":"PubMed","abstract":"Macrophages are heterogeneous and their phenotype and functions are regulated by the surrounding micro-environment. Macrophages commonly exist in two distinct subsets: 1) Classically activated or M1 macrophages, which are pro-inflammatory and polarized by lipopolysaccharide (LPS) either alone or in association with Th1 cytokines such as IFN-γ, GM-CSF, and produce pro-inflammatory cytokines such as interleukin-1β (IL-1β), IL-6, IL-12, IL-23, and TNF-α; and 2) Alternatively activated or M2 macrophages, which are anti-inflammatory and immunoregulatory and polarized by Th2 cytokines such as IL-4 and IL-13 and produce anti-inflammatory cytokines such as IL-10 and TGF-β. M1 and M2 macrophages have different functions and transcriptional profiles. They have unique abilities by destroying pathogens or repair the inflammation-associated injury. It is known that M1/M2 macrophage balance polarization governs the fate of an organ in inflammation or injury. When the infection or inflammation is severe enough to affect an organ, macrophages first exhibit the M1 phenotype to release TNF-α, IL-1β, IL-12, and IL-23 against the stimulus. But, if M1 phase continues, it can cause tissue damage. Therefore, M2 macrophages secrete high amounts of IL-10 and TGF-β to suppress the inflammation, contribute to tissue repair, remodeling, vasculogenesis, and retain homeostasis. In this review, we first discuss the basic biology of macrophages including origin, differentiation and activation, tissue distribution, plasticity and polarization, migration, antigen presentation capacity, cytokine and chemokine production, metabolism, and involvement of microRNAs in macrophage polarization and function. Secondly, we discuss the protective and pathogenic role of the macrophage subsets in normal and pathological pregnancy, anti-microbial defense, anti-tumor immunity, metabolic disease and obesity, asthma and allergy, atherosclerosis, fibrosis, wound healing, and autoimmunity.","DOI":"10.1002/jcp.26429","ISSN":"1097-4652","note":"PMID: 29319160","journalAbbreviation":"J. Cell. Physiol.","language":"eng","author":[{"family":"Shapouri-Moghaddam","given":"Abbas"},{"family":"Mohammadian","given":"Saeed"},{"family":"Vazini","given":"Hossein"},{"family":"Taghadosi","given":"Mahdi"},{"family":"Esmaeili","given":"Seyed-Alireza"},{"family":"Mardani","given":"Fatemeh"},{"family":"Seifi","given":"Bita"},{"family":"Mohammadi","given":"Asadollah"},{"family":"Afshari","given":"Jalil T."},{"family":"Sahebkar","given":"Amirhossein"}],"issued":{"date-parts":[["2018",9]]}}}],"schema":"https://github.com/citation-style-language/schema/raw/master/csl-citation.json"} </w:instrText>
      </w:r>
      <w:r>
        <w:fldChar w:fldCharType="separate"/>
      </w:r>
      <w:r w:rsidR="004A1963" w:rsidRPr="004A1963">
        <w:rPr>
          <w:rFonts w:ascii="Calibri" w:hAnsi="Calibri"/>
        </w:rPr>
        <w:t>(69)</w:t>
      </w:r>
      <w:r>
        <w:fldChar w:fldCharType="end"/>
      </w:r>
      <w:r>
        <w:t xml:space="preserve">. M2a macrophages are induced by IL-4 and IL-13, M2b are induced by immune complexes, M2c are induced by IL-10 and glucocorticoids and M2d are induced by TLR agonists </w:t>
      </w:r>
      <w:r>
        <w:fldChar w:fldCharType="begin"/>
      </w:r>
      <w:r w:rsidR="000A209C">
        <w:instrText xml:space="preserve"> ADDIN ZOTERO_ITEM CSL_CITATION {"citationID":"WiInflh8","properties":{"formattedCitation":"(70,71)","plainCitation":"(70,71)","noteIndex":0},"citationItems":[{"id":1855,"uris":["http://zotero.org/users/952979/items/XYZSL537"],"uri":["http://zotero.org/users/952979/items/XYZSL537"],"itemData":{"id":1855,"type":"article-journal","title":"Macrophage phenotypic plasticity in atherosclerosis: The associated features and the peculiarities of the expression of inflammatory genes","container-title":"International Journal of Cardiology","page":"436-445","volume":"184","source":"PubMed","abstract":"Macrophages are essential players in induction and progression of atherosclerotic inflammation. The complexity of macrophage phenotypes was observed in human plaques and atherosclerotic lesions in mouse models of atherosclerosis. Plaque macrophages were shown to exhibit a phenotypic range that is intermediate between two extremes, M1 (pro-inflammatory) and M2 (anti-inflammatory). Indeed, in atherosclerosis, macrophages demonstrate phenotypic plasticity to rapidly adjust to changing microenvironmental conditions. In the plaque, serum lipids, serum lipoproteins and various pro- or anti-inflammatory stimuli such as cytokines, chemokines and small bioactive molecules could greatly influence the macrophage phenotype inducing switch towards more proinflammatory or anti-inflammatory properties. Dynamic plasticity of macrophages is achieved by up-regulation and down-regulation of an overlapping set of transcription factors that drive macrophage polarization. Understanding of mechanisms of macrophage plasticity and resolving functional characteristics of distinct macrophage phenotypes should help in the development of new strategies for treatment of chronic inflammation in atherosclerosis and other cardiovascular diseases.","DOI":"10.1016/j.ijcard.2015.03.055","ISSN":"1874-1754","note":"PMID: 25755062","shortTitle":"Macrophage phenotypic plasticity in atherosclerosis","journalAbbreviation":"Int. J. Cardiol.","language":"eng","author":[{"family":"Chistiakov","given":"Dimitry A."},{"family":"Bobryshev","given":"Yuri V."},{"family":"Nikiforov","given":"Nikita G."},{"family":"Elizova","given":"Natalia V."},{"family":"Sobenin","given":"Igor A."},{"family":"Orekhov","given":"Alexander N."}],"issued":{"date-parts":[["2015",4,1]]}}},{"id":1854,"uris":["http://zotero.org/users/952979/items/TFXALUED"],"uri":["http://zotero.org/users/952979/items/TFXALUED"],"itemData":{"id":1854,"type":"article-journal","title":"Efficient clearance of early apoptotic cells by human macrophages requires M2c polarization and MerTK induction","container-title":"Journal of Immunology (Baltimore, Md.: 1950)","page":"3508-3520","volume":"189","issue":"7","source":"PubMed","abstract":"Mer tyrosine kinase (MerTK) is a major macrophage apoptotic cell (AC) receptor. Its functional impairment promotes autoimmunity and atherosclerosis, whereas overexpression correlates with poor prognosis in cancer. However, little is known about mechanisms regulating MerTK expression in humans. We found that MerTK expression is heterogenous among macrophage subsets, being mostly restricted to anti-inflammatory M2c (CD14(+)CD16(+)CD163(+)CD204(+)CD206(+)CD209(-)) cells, differentiated by M-CSF or glucocorticoids. Small numbers of MerTK(+) \"M2c-like\" cells are also detectable among circulating CD14(bright)CD16(+) monocytes. MerTK expression levels adapt to changing immunologic environment, being suppressed in M1 and M2a macrophages and in dendritic cells. Remarkably, although glucocorticoid-induced differentiation is IL-10 independent, M-CSF-driven M2c polarization and related MerTK upregulation require IL-10. However, neither IL-10 alone nor TGF-β are sufficient to fully differentiate M2c (CD16(+)CD163(+)MerTK(+)) macrophages. M-CSF and IL-10, both released by T lymphocytes, may thus be required together to promote regulatory T cell-mediated induction of anti-inflammatory monocytes-macrophages. MerTK enables M2c macrophages to clear early ACs more efficiently than other macrophage subsets, and it mediates AC clearance by CD14(bright)CD16(+) monocytes. Moreover, M2c cells release Gas6, which in turn amplifies IL-10 secretion via MerTK. IL-10-dependent induction of the Gas6/MerTK pathway may, therefore, constitute a positive loop for M2c macrophage homeostasis and a critical checkpoint for maintenance of anti-inflammatory conditions. Our findings give new insight into human macrophage polarization and favor a central role for MerTK in regulation of macrophage functions. Eliciting M2c polarization can have therapeutic utility for diseases such as lupus, in which a defective AC clearance contributes to initiate and perpetuate the pathological process.","DOI":"10.4049/jimmunol.1200662","ISSN":"1550-6606","note":"PMID: 22942426\nPMCID: PMC3465703","journalAbbreviation":"J. Immunol.","language":"eng","author":[{"family":"Zizzo","given":"Gaetano"},{"family":"Hilliard","given":"Brendan A."},{"family":"Monestier","given":"Marc"},{"family":"Cohen","given":"Philip L."}],"issued":{"date-parts":[["2012",10,1]]}}}],"schema":"https://github.com/citation-style-language/schema/raw/master/csl-citation.json"} </w:instrText>
      </w:r>
      <w:r>
        <w:fldChar w:fldCharType="separate"/>
      </w:r>
      <w:r w:rsidR="004A1963" w:rsidRPr="004A1963">
        <w:rPr>
          <w:rFonts w:ascii="Calibri" w:hAnsi="Calibri"/>
        </w:rPr>
        <w:t>(70,71)</w:t>
      </w:r>
      <w:r>
        <w:fldChar w:fldCharType="end"/>
      </w:r>
      <w:r>
        <w:t xml:space="preserve">. Interestingly, the M2b subset produces both pro- and anti-inflammatory cytokines </w:t>
      </w:r>
      <w:r>
        <w:fldChar w:fldCharType="begin"/>
      </w:r>
      <w:r w:rsidR="000A209C">
        <w:instrText xml:space="preserve"> ADDIN ZOTERO_ITEM CSL_CITATION {"citationID":"Mv0l2nM2","properties":{"formattedCitation":"(69)","plainCitation":"(69)","noteIndex":0},"citationItems":[{"id":1858,"uris":["http://zotero.org/users/952979/items/WWYKA7L9"],"uri":["http://zotero.org/users/952979/items/WWYKA7L9"],"itemData":{"id":1858,"type":"article-journal","title":"Macrophage plasticity, polarization, and function in health and disease","container-title":"Journal of Cellular Physiology","page":"6425-6440","volume":"233","issue":"9","source":"PubMed","abstract":"Macrophages are heterogeneous and their phenotype and functions are regulated by the surrounding micro-environment. Macrophages commonly exist in two distinct subsets: 1) Classically activated or M1 macrophages, which are pro-inflammatory and polarized by lipopolysaccharide (LPS) either alone or in association with Th1 cytokines such as IFN-γ, GM-CSF, and produce pro-inflammatory cytokines such as interleukin-1β (IL-1β), IL-6, IL-12, IL-23, and TNF-α; and 2) Alternatively activated or M2 macrophages, which are anti-inflammatory and immunoregulatory and polarized by Th2 cytokines such as IL-4 and IL-13 and produce anti-inflammatory cytokines such as IL-10 and TGF-β. M1 and M2 macrophages have different functions and transcriptional profiles. They have unique abilities by destroying pathogens or repair the inflammation-associated injury. It is known that M1/M2 macrophage balance polarization governs the fate of an organ in inflammation or injury. When the infection or inflammation is severe enough to affect an organ, macrophages first exhibit the M1 phenotype to release TNF-α, IL-1β, IL-12, and IL-23 against the stimulus. But, if M1 phase continues, it can cause tissue damage. Therefore, M2 macrophages secrete high amounts of IL-10 and TGF-β to suppress the inflammation, contribute to tissue repair, remodeling, vasculogenesis, and retain homeostasis. In this review, we first discuss the basic biology of macrophages including origin, differentiation and activation, tissue distribution, plasticity and polarization, migration, antigen presentation capacity, cytokine and chemokine production, metabolism, and involvement of microRNAs in macrophage polarization and function. Secondly, we discuss the protective and pathogenic role of the macrophage subsets in normal and pathological pregnancy, anti-microbial defense, anti-tumor immunity, metabolic disease and obesity, asthma and allergy, atherosclerosis, fibrosis, wound healing, and autoimmunity.","DOI":"10.1002/jcp.26429","ISSN":"1097-4652","note":"PMID: 29319160","journalAbbreviation":"J. Cell. Physiol.","language":"eng","author":[{"family":"Shapouri-Moghaddam","given":"Abbas"},{"family":"Mohammadian","given":"Saeed"},{"family":"Vazini","given":"Hossein"},{"family":"Taghadosi","given":"Mahdi"},{"family":"Esmaeili","given":"Seyed-Alireza"},{"family":"Mardani","given":"Fatemeh"},{"family":"Seifi","given":"Bita"},{"family":"Mohammadi","given":"Asadollah"},{"family":"Afshari","given":"Jalil T."},{"family":"Sahebkar","given":"Amirhossein"}],"issued":{"date-parts":[["2018",9]]}}}],"schema":"https://github.com/citation-style-language/schema/raw/master/csl-citation.json"} </w:instrText>
      </w:r>
      <w:r>
        <w:fldChar w:fldCharType="separate"/>
      </w:r>
      <w:r w:rsidR="004A1963" w:rsidRPr="004A1963">
        <w:rPr>
          <w:rFonts w:ascii="Calibri" w:hAnsi="Calibri"/>
        </w:rPr>
        <w:t>(69)</w:t>
      </w:r>
      <w:r>
        <w:fldChar w:fldCharType="end"/>
      </w:r>
      <w:r>
        <w:t xml:space="preserve">. There has also been an M3, “switch”, phenotype proposed </w:t>
      </w:r>
      <w:r>
        <w:fldChar w:fldCharType="begin"/>
      </w:r>
      <w:r w:rsidR="000A209C">
        <w:instrText xml:space="preserve"> ADDIN ZOTERO_ITEM CSL_CITATION {"citationID":"80rxK3yl","properties":{"formattedCitation":"(72)","plainCitation":"(72)","noteIndex":0},"citationItems":[{"id":1857,"uris":["http://zotero.org/users/952979/items/LJZQDJA6"],"uri":["http://zotero.org/users/952979/items/LJZQDJA6"],"itemData":{"id":1857,"type":"article-journal","title":"Current Concept and Update of the Macrophage Plasticity Concept: Intracellular Mechanisms of Reprogramming and M3 Macrophage \"Switch\" Phenotype","container-title":"BioMed Research International","page":"341308","volume":"2015","source":"PubMed","abstract":"Macrophages play a key role in immunity. In this review, we consider the traditional notion of macrophage plasticity, data that do not fit into existing concepts, and a hypothesis for existence of a new switch macrophage phenotype. Depending on the microenvironment, macrophages can reprogram their phenotype toward the proinflammatory M1 phenotype or toward the anti-inflammatory M2 phenotype. Macrophage reprogramming involves well-coordinated changes in activities of signalling and posttranslational mechanisms. Macrophage reprogramming is provided by JNK-, PI3K/Akt-, Notch-, JAK/STAT-, TGF-β-, TLR/NF-κB-, and hypoxia-dependent pathways. Posttranscriptional regulation is based on micro-mRNA. We have hypothesized that, in addition to the M1 and M2 phenotypes, an M3 switch phenotype exists. This switch phenotype responds to proinflammatory stimuli with reprogramming towards the anti-inflammatory M2 phenotype or, contrarily, it responds to anti-inflammatory stimuli with reprogramming towards the proinflammatory M1 phenotype. We have found signs of such a switch phenotype in lung diseases. Understanding the mechanisms of macrophage reprogramming will assist in the selection of new therapeutic targets for correction of impaired immunity.","DOI":"10.1155/2015/341308","ISSN":"2314-6141","note":"PMID: 26366410\nPMCID: PMC4561113","shortTitle":"Current Concept and Update of the Macrophage Plasticity Concept","journalAbbreviation":"Biomed Res Int","language":"eng","author":[{"family":"Malyshev","given":"Igor"},{"family":"Malyshev","given":"Yuri"}],"issued":{"date-parts":[["2015"]]}}}],"schema":"https://github.com/citation-style-language/schema/raw/master/csl-citation.json"} </w:instrText>
      </w:r>
      <w:r>
        <w:fldChar w:fldCharType="separate"/>
      </w:r>
      <w:r w:rsidR="004A1963" w:rsidRPr="004A1963">
        <w:rPr>
          <w:rFonts w:ascii="Calibri" w:hAnsi="Calibri"/>
        </w:rPr>
        <w:t>(72)</w:t>
      </w:r>
      <w:r>
        <w:fldChar w:fldCharType="end"/>
      </w:r>
      <w:r>
        <w:t xml:space="preserve">. The M3 macrophage is proposed to respond to pro-inflammatory stimuli, but functions in an anti-inflammatory manner, or vice versa. However, this M3 phenotype has received little attention beyond the group that first proposed it </w:t>
      </w:r>
      <w:r>
        <w:fldChar w:fldCharType="begin"/>
      </w:r>
      <w:r w:rsidR="000A209C">
        <w:instrText xml:space="preserve"> ADDIN ZOTERO_ITEM CSL_CITATION {"citationID":"NN98EgjH","properties":{"formattedCitation":"(73)","plainCitation":"(73)","noteIndex":0},"citationItems":[{"id":1856,"uris":["http://zotero.org/users/952979/items/RSNXDQ6X"],"uri":["http://zotero.org/users/952979/items/RSNXDQ6X"],"itemData":{"id":1856,"type":"article-journal","title":"M3 Macrophages Stop Division of Tumor Cells In Vitro and Extend Survival of Mice with Ehrlich Ascites Carcinoma","container-title":"Medical Science Monitor Basic Research","page":"8-19","volume":"23","source":"PubMed Central","abstract":"Background\nM1 macrophages target tumor cells. However, many tumors produce anti-inflammatory cytokines, which reprogram the anti-tumor M1 macrophages into the pro-tumor M2 macrophages. We have hypothesized that the problem of pro-tumor macrophage reprogramming could be solved by using a special M3 switch phenotype. The M3 macrophages, in contrast to the M1 macrophages, should respond to anti-inflammatory cytokines by increasing production of pro-inflammatory cytokines to retain its anti-tumor properties. Objectives of the study were to form an M3 switch phenotype in vitro and to evaluate the effect of M3 macrophages on growth of Ehrlich ascites carcinoma (EAC) in vitro and in vivo.\n\nMaterial/Methods\nTumor growth was initiated by an intraperitoneal injection of EAC cells into C57BL/6J mice.\n\nResults\n1) The M3 switch phenotype can be programed by activation of M1-reprogramming pathways with simultaneous inhibition of the M2 phenotype transcription factors, STAT3, STAT6, and/or SMAD3. 2) M3 macrophages exerted an anti-tumor effect both in vitro and in vivo, which was superior to anti-tumor effects of cisplatin or M1 macrophages. 3) The anti-tumor effect of M3 macrophages was due to their anti-proliferative effect.\n\nConclusions\nDevelopment of new biotechnologies for restriction of tumor growth using in vitro reprogrammed M3 macrophages is very promising.","DOI":"10.12659/MSMBR.902285","ISSN":"2325-4394","note":"PMID: 28123171\nPMCID: PMC5291087","journalAbbreviation":"Med Sci Monit Basic Res","author":[{"family":"Kalish","given":"Sergey"},{"family":"Lyamina","given":"Svetlana"},{"family":"Manukhina","given":"Eugenia"},{"family":"Malyshev","given":"Yuri"},{"family":"Raetskaya","given":"Anastasiya"},{"family":"Malyshev","given":"Igor"}],"issued":{"date-parts":[["2017",1,26]]}}}],"schema":"https://github.com/citation-style-language/schema/raw/master/csl-citation.json"} </w:instrText>
      </w:r>
      <w:r>
        <w:fldChar w:fldCharType="separate"/>
      </w:r>
      <w:r w:rsidR="004A1963" w:rsidRPr="004A1963">
        <w:rPr>
          <w:rFonts w:ascii="Calibri" w:hAnsi="Calibri"/>
        </w:rPr>
        <w:t>(73)</w:t>
      </w:r>
      <w:r>
        <w:fldChar w:fldCharType="end"/>
      </w:r>
      <w:r>
        <w:t xml:space="preserve">. Together, this demonstrates the complexity of the macrophage literature and reinforces that macrophages exist in a spectrum of states </w:t>
      </w:r>
      <w:r>
        <w:rPr>
          <w:i/>
        </w:rPr>
        <w:t xml:space="preserve">in vivo </w:t>
      </w:r>
      <w:r>
        <w:t xml:space="preserve">rather than as a binary population. </w:t>
      </w:r>
    </w:p>
    <w:p w14:paraId="47590C72" w14:textId="77777777" w:rsidR="001D1AB8" w:rsidRDefault="001D1AB8" w:rsidP="001D1AB8">
      <w:pPr>
        <w:pStyle w:val="Thesisnormal"/>
      </w:pPr>
    </w:p>
    <w:p w14:paraId="3E3F5A77" w14:textId="77777777" w:rsidR="001D1AB8" w:rsidRDefault="001D1AB8" w:rsidP="001D1AB8">
      <w:pPr>
        <w:pStyle w:val="Heading4"/>
        <w:ind w:left="720" w:firstLine="720"/>
      </w:pPr>
      <w:bookmarkStart w:id="40" w:name="_Toc502936283"/>
      <w:r>
        <w:t>1.2.3.1 Tumour-associated macrophages</w:t>
      </w:r>
      <w:bookmarkEnd w:id="40"/>
    </w:p>
    <w:p w14:paraId="1F7E5409" w14:textId="77777777" w:rsidR="001D1AB8" w:rsidRDefault="001D1AB8" w:rsidP="001D1AB8">
      <w:pPr>
        <w:pStyle w:val="Thesisnormal"/>
      </w:pPr>
    </w:p>
    <w:p w14:paraId="4C6A97B7" w14:textId="0D94D378" w:rsidR="001D1AB8" w:rsidRDefault="001D1AB8" w:rsidP="001D1AB8">
      <w:pPr>
        <w:pStyle w:val="Thesisnormal"/>
      </w:pPr>
      <w:r>
        <w:t xml:space="preserve">Tumour-associated macrophages (TAMs) are not found under homeostatic conditions but can be found at many tumour sites. TAMs are often thought of as a subset of M2 macrophages, but often display both M1 and M2 profiles, similar to macrophages in other chronic diseases such as diabetes </w:t>
      </w:r>
      <w:r>
        <w:fldChar w:fldCharType="begin"/>
      </w:r>
      <w:r w:rsidR="000A209C">
        <w:instrText xml:space="preserve"> ADDIN ZOTERO_ITEM CSL_CITATION {"citationID":"rhUC6jcP","properties":{"formattedCitation":"(74\\uc0\\u8211{}77)","plainCitation":"(74–77)","noteIndex":0},"citationItems":[{"id":1865,"uris":["http://zotero.org/users/952979/items/D68DBIY6"],"uri":["http://zotero.org/users/952979/items/D68DBIY6"],"itemData":{"id":1865,"type":"article-journal","title":"Tumour-associated macrophages are a distinct M2 polarised population promoting tumour progression: potential targets of anti-cancer therapy","container-title":"European Journal of Cancer (Oxford, England: 1990)","page":"717-727","volume":"42","issue":"6","source":"PubMed","abstract":"Tumour-associated macrophages (TAM) represent the major inflammatory component of the stroma of many tumours, and can affect different aspects of the neoplastic tissue. Many observations indicate that TAM express several M2-associated pro-tumoural functions, including promotion of angiogenesis, matrix remodelling and suppression of adaptive immunity. The pro-tumoural role of TAM in cancer is further supported by clinical studies that found a correlation between the high macrophage content of tumours and poor patient prognosis. Evidence is presented here supporting the view that TAM represent a unique and distinct M2-skewed myeloid population and are a potential target for anti-cancer therapy.","DOI":"10.1016/j.ejca.2006.01.003","ISSN":"0959-8049","note":"PMID: 16520032","shortTitle":"Tumour-associated macrophages are a distinct M2 polarised population promoting tumour progression","journalAbbreviation":"Eur. J. Cancer","language":"eng","author":[{"family":"Sica","given":"Antonio"},{"family":"Schioppa","given":"Tiziana"},{"family":"Mantovani","given":"Alberto"},{"family":"Allavena","given":"Paola"}],"issued":{"date-parts":[["2006",4]]}}},{"id":1864,"uris":["http://zotero.org/users/952979/items/WQPWXLNH"],"uri":["http://zotero.org/users/952979/items/WQPWXLNH"],"itemData":{"id":1864,"type":"article-journal","title":"Role of tumor-associated macrophages in tumor progression and invasion","container-title":"Cancer Metastasis Reviews","page":"315-322","volume":"25","issue":"3","source":"PubMed","abstract":"Tumor-Associated Macrophages (TAM) represent the major inflammatory component of the stroma of many tumors, able to affect different aspects of the neoplastic tissue. Many observations indicate that TAM express several M2-associated protumoral functions, including promotion of angiogenesis, matrix remodelling and suppression of adaptive immunity. The protumoral role of TAM in cancer is further supported by clinical studies that found a correlation between the high macrophage content of tumors and poor patient prognosis and by evidence showing that long-term use of non-steroidal anti-inflammatory drugs reduces the risk of several cancers. Here, we discuss evidence supporting the view that TAM represent a unique and distinct M2-skewed myeloid population and a potential target of anti-cancer therapy.","DOI":"10.1007/s10555-006-9001-7","ISSN":"0167-7659","note":"PMID: 16967326","journalAbbreviation":"Cancer Metastasis Rev.","language":"eng","author":[{"family":"Mantovani","given":"Alberto"},{"family":"Schioppa","given":"Tiziana"},{"family":"Porta","given":"Chiara"},{"family":"Allavena","given":"Paola"},{"family":"Sica","given":"Antonio"}],"issued":{"date-parts":[["2006",9]]}}},{"id":1807,"uris":["http://zotero.org/users/952979/items/9LSWVQ4P"],"uri":["http://zotero.org/users/952979/items/9LSWVQ4P"],"itemData":{"id":1807,"type":"article-journal","title":"Diabetes induces stable intrinsic changes to myeloid cells that contribute to chronic inflammation during wound healing in mice","container-title":"Disease Models &amp; Mechanisms","page":"1434-1447","volume":"6","issue":"6","source":"PubMed","abstract":"Acute inflammation in response to injury is a tightly regulated process by which subsets of leukocytes are recruited to the injured tissue and undergo behavioural changes that are essential for effective tissue repair and regeneration. The diabetic wound environment is characterised by excessive and prolonged inflammation that is linked to poor progression of healing and, in humans, the development of diabetic foot ulcers. However, the underlying mechanisms contributing to excessive inflammation remain poorly understood. Here we show in a murine model that the diabetic environment induces stable intrinsic changes in haematopoietic cells. These changes lead to a hyper-responsive phenotype to both pro-inflammatory and anti-inflammatory stimuli, producing extreme M1 and M2 polarised cells. During early wound healing, myeloid cells in diabetic mice show hyperpolarisation towards both M1 and M2 phenotypes, whereas, at late stages of healing, when non-diabetic macrophages have transitioned to an M2 phenotype, diabetic wound macrophages continue to display an M1 phenotype. Intriguingly, we show that this population predominantly consists of Gr-1(+) CD11b(+) CD14(+) cells that have been previously reported as 'inflammatory macrophages' recruited to injured tissue in the early stages of wound healing. Finally, we show that this phenomenon is directly relevant to human diabetic ulcers, for which M2 polarisation predicts healing outcome. Thus, treatments focused at targeting this inflammatory cell subset could prove beneficial for pathological tissue repair.","DOI":"10.1242/dmm.012237","ISSN":"1754-8411","note":"PMID: 24057002\nPMCID: PMC3820266","journalAbbreviation":"Dis Model Mech","language":"eng","author":[{"family":"Bannon","given":"Pauline"},{"family":"Wood","given":"Sally"},{"family":"Restivo","given":"Terry"},{"family":"Campbell","given":"Laura"},{"family":"Hardman","given":"Matthew J."},{"family":"Mace","given":"Kimberly A."}],"issued":{"date-parts":[["2013",11]]}}},{"id":1786,"uris":["http://zotero.org/users/952979/items/4VCIKF4E"],"uri":["http://zotero.org/users/952979/items/4VCIKF4E"],"itemData":{"id":1786,"type":"article-journal","title":"Elevated local senescence in diabetic wound healing is linked to pathological repair via CXCR2","container-title":"The Journal of Investigative Dermatology","source":"PubMed","abstract":"Cellular senescence can be broadly defined as a stable, yet essentially irreversible, loss of proliferative capacity. Historically, senescence is described as a negative outcome of advanced cellular age. It is now clear, however, that senescence represents a dynamic autonomous stress response, integral to long-term tumour suppression. Intriguingly, transient induction of a senescent phenotype has actually been suggested to promote regeneration in both liver and skin. Here we explored the role of senescence in pathological aged and diabetic murine wound healing. Aged and diabetic wounds possessed greater numbers of senescent cells, while diabetic macrophages maintained altered retention of polarisation and produced a CXCR2-enriched SASP. Of translational relevance, targeted expression of CXCR2 in primary human dermal fibroblasts led to paracrine induction of nuclear p21. Further, a selective agonist to CXCR2 was able to reverse delayed healing in diabetic mice and accelerate ex vivo human skin wound healing. Collectively these data suggest a hitherto unappreciated role for CXCR2 in mediating cellular senescence in pathological wound repair.","DOI":"10.1016/j.jid.2019.01.005","ISSN":"1523-1747","note":"PMID: 30684552","journalAbbreviation":"J. Invest. Dermatol.","language":"eng","author":[{"family":"Wilkinson","given":"Holly N."},{"family":"Clowes","given":"Christopher"},{"family":"Banyard","given":"Kayleigh L."},{"family":"Matteuci","given":"Paolo"},{"family":"Mace","given":"Kimberly"},{"family":"Hardman","given":"Matthew J."}],"issued":{"date-parts":[["2019",1,23]]}}}],"schema":"https://github.com/citation-style-language/schema/raw/master/csl-citation.json"} </w:instrText>
      </w:r>
      <w:r>
        <w:fldChar w:fldCharType="separate"/>
      </w:r>
      <w:r w:rsidR="004A1963" w:rsidRPr="004A1963">
        <w:rPr>
          <w:rFonts w:ascii="Calibri" w:hAnsi="Calibri" w:cs="Times New Roman"/>
        </w:rPr>
        <w:t>(74–77)</w:t>
      </w:r>
      <w:r>
        <w:fldChar w:fldCharType="end"/>
      </w:r>
      <w:r>
        <w:t xml:space="preserve">. TAMs can promote tumourigenesis through the induction of </w:t>
      </w:r>
      <w:r>
        <w:lastRenderedPageBreak/>
        <w:t xml:space="preserve">angiogenesis, tissue remodelling and immune suppression </w:t>
      </w:r>
      <w:r>
        <w:fldChar w:fldCharType="begin"/>
      </w:r>
      <w:r w:rsidR="000A209C">
        <w:instrText xml:space="preserve"> ADDIN ZOTERO_ITEM CSL_CITATION {"citationID":"RcFF9she","properties":{"formattedCitation":"(78,79)","plainCitation":"(78,79)","noteIndex":0},"citationItems":[{"id":768,"uris":["http://zotero.org/users/952979/items/3BZ5QWV2"],"uri":["http://zotero.org/users/952979/items/3BZ5QWV2"],"itemData":{"id":768,"type":"article-journal","title":"The Immunobiology of Cancer Immunosurveillance and Immunoediting","container-title":"Immunity","page":"137-148","volume":"21","issue":"2","source":"CrossRef","DOI":"10.1016/j.immuni.2004.07.017","ISSN":"10747613","author":[{"family":"Dunn","given":"Gavin P."},{"family":"Old","given":"Lloyd J."},{"family":"Schreiber","given":"Robert D."}],"issued":{"date-parts":[["2004",8]]}}},{"id":1863,"uris":["http://zotero.org/users/952979/items/ZMJTLG6E"],"uri":["http://zotero.org/users/952979/items/ZMJTLG6E"],"itemData":{"id":1863,"type":"article-journal","title":"TAMeless traitors: macrophages in cancer progression and metastasis","container-title":"British Journal of Cancer","page":"1583-1591","volume":"117","issue":"11","source":"www-nature-com.sheffield.idm.oclc.org","abstract":"Macrophages are conventionally classified into M1 and M2 subtypes according to their differentiation status and functional role in the immune system. However, accumulating evidence suggests that this binary classification system is insufficient to account for the remarkable plasticity of macrophages that gives rise to an immense diversity of subtypes. This diverse spectrum of macrophage subtypes play critical roles in various homeostatic and immune functions, but remain far from being fully characterised. In addition to their roles in normal physiological conditions, macrophages also play crucial roles in disease conditions such as cancer. In this review, we discuss the roles tumour-associated macrophages (TAMs) play in regulating different steps of tumour progression and metastasis, and the opportunities to target them in the quest for cancer prevention and treatment.","DOI":"10.1038/bjc.2017.356","ISSN":"1532-1827","shortTitle":"TAMeless traitors","language":"en","author":[{"family":"Aras","given":"Shweta"},{"family":"Zaidi","given":"M. Raza"}],"issued":{"date-parts":[["2017",11]]}}}],"schema":"https://github.com/citation-style-language/schema/raw/master/csl-citation.json"} </w:instrText>
      </w:r>
      <w:r>
        <w:fldChar w:fldCharType="separate"/>
      </w:r>
      <w:r w:rsidR="004A1963" w:rsidRPr="004A1963">
        <w:rPr>
          <w:rFonts w:ascii="Calibri" w:hAnsi="Calibri"/>
        </w:rPr>
        <w:t>(78,79)</w:t>
      </w:r>
      <w:r>
        <w:fldChar w:fldCharType="end"/>
      </w:r>
      <w:r>
        <w:t xml:space="preserve">. The role of macrophages in promoting angiogenesis has been shown by inhibition of macrophage maturation and infiltration into tumours: this decreased malignant progression of adenomas by delaying angiogenesis </w:t>
      </w:r>
      <w:r>
        <w:fldChar w:fldCharType="begin"/>
      </w:r>
      <w:r w:rsidR="000A209C">
        <w:instrText xml:space="preserve"> ADDIN ZOTERO_ITEM CSL_CITATION {"citationID":"4GcQylGq","properties":{"formattedCitation":"(80)","plainCitation":"(80)","noteIndex":0},"citationItems":[{"id":1862,"uris":["http://zotero.org/users/952979/items/5GDV5MRG"],"uri":["http://zotero.org/users/952979/items/5GDV5MRG"],"itemData":{"id":1862,"type":"article-journal","title":"Macrophages Regulate the Angiogenic Switch in a Mouse Model of Breast Cancer","container-title":"Cancer Research","page":"11238-11246","volume":"66","issue":"23","source":"cancerres.aacrjournals.org.sheffield.idm.oclc.org","abstract":"The development of a tumor vasculature or access to the host vasculature is a crucial step for the survival and metastasis of malignant tumors. Although therapeutic strategies attempting to inhibit this step during tumor development are being developed, the biological regulation of this process is still largely unknown. Using a transgenic mouse susceptible to mammary cancer, PyMT mice, we have characterized the development of the vasculature in mammary tumors during their progression to malignancy. We show that the onset of the angiogenic switch, identified as the formation of a high-density vessel network, is closely associated with the transition to malignancy. More importantly, both the angiogenic switch and the progression to malignancy are regulated by infiltrated macrophages in the primary mammary tumors. Inhibition of the macrophage infiltration into the tumor delayed the angiogenic switch and malignant transition whereas genetic restoration of the macrophage population specifically in these tumors rescued the vessel phenotype. Furthermore, premature induction of macrophage infiltration into premalignant lesions promoted an early onset of the angiogenic switch independent of tumor progression. Taken together, this study shows that tumor-associated macrophages play a key role in promoting tumor angiogenesis, an essential step in the tumor progression to malignancy. (Cancer Res 2006; 66(23): 11238-46)","DOI":"10.1158/0008-5472.CAN-06-1278","ISSN":"0008-5472, 1538-7445","note":"PMID: 17114237","journalAbbreviation":"Cancer Res","language":"en","author":[{"family":"Lin","given":"Elaine Y."},{"family":"Li","given":"Jiu-Feng"},{"family":"Gnatovskiy","given":"Leoid"},{"family":"Deng","given":"Yan"},{"family":"Zhu","given":"Liyin"},{"family":"Grzesik","given":"Dustin A."},{"family":"Qian","given":"Hong"},{"family":"Xue","given":"Xiao-nan"},{"family":"Pollard","given":"Jeffrey W."}],"issued":{"date-parts":[["2006",12,1]]}}}],"schema":"https://github.com/citation-style-language/schema/raw/master/csl-citation.json"} </w:instrText>
      </w:r>
      <w:r>
        <w:fldChar w:fldCharType="separate"/>
      </w:r>
      <w:r w:rsidR="004A1963" w:rsidRPr="004A1963">
        <w:rPr>
          <w:rFonts w:ascii="Calibri" w:hAnsi="Calibri"/>
        </w:rPr>
        <w:t>(80)</w:t>
      </w:r>
      <w:r>
        <w:fldChar w:fldCharType="end"/>
      </w:r>
      <w:r>
        <w:t xml:space="preserve">. TAMS promote angiogenesis though the secretion of pro-angiogenic factors. For example, TAMS release VEGF-A, a potent pro-angiogenic factor, in response to hypoxic regions of tumours </w:t>
      </w:r>
      <w:r>
        <w:fldChar w:fldCharType="begin"/>
      </w:r>
      <w:r w:rsidR="000A209C">
        <w:instrText xml:space="preserve"> ADDIN ZOTERO_ITEM CSL_CITATION {"citationID":"EtRL5Lpa","properties":{"formattedCitation":"(81,82)","plainCitation":"(81,82)","noteIndex":0},"citationItems":[{"id":1861,"uris":["http://zotero.org/users/952979/items/DXWZ3N73"],"uri":["http://zotero.org/users/952979/items/DXWZ3N73"],"itemData":{"id":1861,"type":"article-journal","title":"Tumor hypoxia does not drive differentiation of tumor-associated macrophages but rather fine-tunes the M2-like macrophage population","container-title":"Cancer Research","page":"24-30","volume":"74","issue":"1","source":"PubMed","abstract":"Tumor-associated macrophages (TAM) are exposed to multiple microenvironmental cues in tumors, which collaborate to endow these cells with protumoral activities. Hypoxia, caused by an imbalance in oxygen supply and demand because of a poorly organized vasculature, is often a prominent feature in solid tumors. However, to what extent tumor hypoxia regulates the TAM phenotype in vivo is unknown. Here, we show that the myeloid infiltrate in mouse lung carcinoma tumors encompasses two morphologically distinct CD11b(hi)F4/80(hi)Ly6C(lo) TAM subsets, designated as MHC-II(lo) and MHC-II(hi) TAM, both of which were derived from tumor-infiltrating Ly6C(hi) monocytes. MHC-II(lo) TAM express higher levels of prototypical M2 markers and reside in more hypoxic regions. Consequently, MHC-II(lo) TAM contain higher mRNA levels for hypoxia-regulated genes than their MHC-II(hi) counterparts. To assess the in vivo role of hypoxia on these TAM features, cancer cells were inoculated in prolyl hydroxylase domain 2 (PHD2)-haplodeficient mice, resulting in better-oxygenated tumors. Interestingly, reduced tumor hypoxia did not alter the relative abundance of TAM subsets nor their M2 marker expression, but specifically lowered hypoxia-sensitive gene expression and angiogenic activity in the MHC-II(lo) TAM subset. The same observation in PHD2(+/+) → PHD2(+/-) bone marrow chimeras also suggests organization of a better-oxygenized microenvironment. Together, our results show that hypoxia is not a major driver of TAM subset differentiation, but rather specifically fine-tunes the phenotype of M2-like MHC-II(lo) TAM.","DOI":"10.1158/0008-5472.CAN-13-1196","ISSN":"1538-7445","note":"PMID: 24220244","journalAbbreviation":"Cancer Res.","language":"eng","author":[{"family":"Laoui","given":"Damya"},{"family":"Van Overmeire","given":"Eva"},{"family":"Di Conza","given":"Giusy"},{"family":"Aldeni","given":"Chiara"},{"family":"Keirsse","given":"Jiri"},{"family":"Morias","given":"Yannick"},{"family":"Movahedi","given":"Kiavash"},{"family":"Houbracken","given":"Isabelle"},{"family":"Schouppe","given":"Elio"},{"family":"Elkrim","given":"Yvon"},{"family":"Karroum","given":"Oussama"},{"family":"Jordan","given":"Bénédicte"},{"family":"Carmeliet","given":"Peter"},{"family":"Gysemans","given":"Conny"},{"family":"De Baetselier","given":"Patrick"},{"family":"Mazzone","given":"Massimiliano"},{"family":"Van Ginderachter","given":"Jo A."}],"issued":{"date-parts":[["2014",1,1]]}}},{"id":1860,"uris":["http://zotero.org/users/952979/items/LQ75WMBQ"],"uri":["http://zotero.org/users/952979/items/LQ75WMBQ"],"itemData":{"id":1860,"type":"article-journal","title":"Vascular endothelial growth factor-induced skin carcinogenesis depends on recruitment and alternative activation of macrophages","container-title":"The Journal of Pathology","page":"17-28","volume":"227","issue":"1","source":"PubMed","abstract":"Inflammation contributes to tumour growth, invasion and angiogenesis. We investigated the contribution of macrophages and their polarization to tumour progression in a model of VEGF-A-induced skin carcinogenesis. Transfection of the human non-tumourigenic keratinocyte cell line HaCaT with murine VEGF-A leads to malignant tumour growth in vivo. The resulting tumours are characterized by extensive vascularization, invasive growth and high numbers of M2-polarized macrophages that crucially contribute to the establishment of the malignant phenotype. Accordingly, macrophage depletion from tumour-bearing animals resulted in reduced tumour growth, inhibition of invasion, decreased proliferation and reduced angiogenesis. In vitro, VEGF-A exerted a chemo-attracting effect on macrophages, but did not induce M2 polarization. We identified IL-4 and IL-10 as the factors involved in M2 polarization. These factors were produced by tumour cells (IL-10) and macrophages (IL-4) in vivo. Addition of recombinant IL-4 and IL-10 in vitro induced a pro-invasive M2 macrophage phenotype and inhibition of the IL-4 receptor in vivo blocked M2 polarization of macrophages, resulting in a less aggressive tumour phenotype. Thus, we provide evidence that M2 macrophages are crucial for the development of VEGF-A-induced skin tumours and that VEGF-A contributes to malignant tumour growth, not only by enhancing angiogenesis but also by establishing an anti-inflammatory microenvironment. However, VEGF-A alone is not sufficient to create a tumour-promoting microenvironment and requires the presence of IL-4 and IL-10 to induce M2 polarization of macrophages.","DOI":"10.1002/path.3989","ISSN":"1096-9896","note":"PMID: 22262122","journalAbbreviation":"J. Pathol.","language":"eng","author":[{"family":"Linde","given":"Nina"},{"family":"Lederle","given":"Wiltrud"},{"family":"Depner","given":"Sofia"},{"family":"Rooijen","given":"Nico","non-dropping-particle":"van"},{"family":"Gutschalk","given":"Claudia M."},{"family":"Mueller","given":"Margareta M."}],"issued":{"date-parts":[["2012",5]]}}}],"schema":"https://github.com/citation-style-language/schema/raw/master/csl-citation.json"} </w:instrText>
      </w:r>
      <w:r>
        <w:fldChar w:fldCharType="separate"/>
      </w:r>
      <w:r w:rsidR="004A1963" w:rsidRPr="004A1963">
        <w:rPr>
          <w:rFonts w:ascii="Calibri" w:hAnsi="Calibri"/>
        </w:rPr>
        <w:t>(81,82)</w:t>
      </w:r>
      <w:r>
        <w:fldChar w:fldCharType="end"/>
      </w:r>
      <w:r>
        <w:t xml:space="preserve">. Impeding macrophage recruitment to hypoxic areas inhibits angiogenesis and promotes the removal of tumours </w:t>
      </w:r>
      <w:r>
        <w:fldChar w:fldCharType="begin"/>
      </w:r>
      <w:r w:rsidR="000A209C">
        <w:instrText xml:space="preserve"> ADDIN ZOTERO_ITEM CSL_CITATION {"citationID":"8XXaSsA8","properties":{"formattedCitation":"(83)","plainCitation":"(83)","noteIndex":0},"citationItems":[{"id":1859,"uris":["http://zotero.org/users/952979/items/3BZXTMM9"],"uri":["http://zotero.org/users/952979/items/3BZXTMM9"],"itemData":{"id":1859,"type":"article-journal","title":"Impeding macrophage entry into hypoxic tumor areas by Sema3A/Nrp1 signaling blockade inhibits angiogenesis and restores antitumor immunity","container-title":"Cancer Cell","page":"695-709","volume":"24","issue":"6","source":"PubMed","abstract":"Recruitment of tumor-associated macrophages (TAMs) into avascular areas sustains tumor progression; however, the underlying guidance mechanisms are unknown. Here, we report that hypoxia-induced Semaphorin 3A (Sema3A) acts as an attractant for TAMs by triggering vascular endothelial growth factor receptor 1 phosphorylation through the associated holoreceptor, composed of Neuropilin-1 (Nrp1) and PlexinA1/PlexinA4. Importantly, whereas Nrp1 levels are downregulated in the hypoxic environment, Sema3A continues to regulate TAMs in an Nrp1-independent manner by eliciting PlexinA1/PlexinA4-mediated stop signals, which retain them inside the hypoxic niche. Consistently, gene deletion of Nrp1 in macrophages favors TAMs' entrapment in normoxic tumor regions, which abates their pro-angiogenic and immunosuppressive functions, hence inhibiting tumor growth and metastasis. This study shows that TAMs' heterogeneity depends on their localization, which is tightly controlled by Sema3A/Nrp1 signaling.","DOI":"10.1016/j.ccr.2013.11.007","ISSN":"1878-3686","note":"PMID: 24332039","journalAbbreviation":"Cancer Cell","language":"eng","author":[{"family":"Casazza","given":"Andrea"},{"family":"Laoui","given":"Damya"},{"family":"Wenes","given":"Mathias"},{"family":"Rizzolio","given":"Sabrina"},{"family":"Bassani","given":"Nicklas"},{"family":"Mambretti","given":"Marco"},{"family":"Deschoemaeker","given":"Sofie"},{"family":"Van Ginderachter","given":"Jo A."},{"family":"Tamagnone","given":"Luca"},{"family":"Mazzone","given":"Massimiliano"}],"issued":{"date-parts":[["2013",12,9]]}}}],"schema":"https://github.com/citation-style-language/schema/raw/master/csl-citation.json"} </w:instrText>
      </w:r>
      <w:r>
        <w:fldChar w:fldCharType="separate"/>
      </w:r>
      <w:r w:rsidR="004A1963" w:rsidRPr="004A1963">
        <w:rPr>
          <w:rFonts w:ascii="Calibri" w:hAnsi="Calibri"/>
        </w:rPr>
        <w:t>(83)</w:t>
      </w:r>
      <w:r>
        <w:fldChar w:fldCharType="end"/>
      </w:r>
      <w:r>
        <w:t xml:space="preserve">. This demonstrates the potential of targeting macrophage recruitment or phenotype as a therapeutic avenue. TAMs represent an additional type of macrophage that further complicates the literature. </w:t>
      </w:r>
    </w:p>
    <w:p w14:paraId="304B1508" w14:textId="77777777" w:rsidR="001D1AB8" w:rsidRDefault="001D1AB8" w:rsidP="001D1AB8">
      <w:pPr>
        <w:pStyle w:val="Thesisnormal"/>
      </w:pPr>
    </w:p>
    <w:p w14:paraId="4B72ADAC" w14:textId="77777777" w:rsidR="001D1AB8" w:rsidRDefault="001D1AB8" w:rsidP="001D1AB8">
      <w:pPr>
        <w:pStyle w:val="Heading3"/>
      </w:pPr>
      <w:r>
        <w:tab/>
      </w:r>
      <w:bookmarkStart w:id="41" w:name="_Toc4589262"/>
      <w:bookmarkStart w:id="42" w:name="_Toc502936284"/>
      <w:r>
        <w:t>1.2.4 Current model of macrophage polarisation</w:t>
      </w:r>
      <w:bookmarkEnd w:id="41"/>
      <w:r>
        <w:t xml:space="preserve"> </w:t>
      </w:r>
      <w:bookmarkEnd w:id="42"/>
    </w:p>
    <w:p w14:paraId="097D6A31" w14:textId="77777777" w:rsidR="001D1AB8" w:rsidRDefault="001D1AB8" w:rsidP="001D1AB8">
      <w:pPr>
        <w:pStyle w:val="Thesisnormal"/>
      </w:pPr>
    </w:p>
    <w:p w14:paraId="2B5F90F3" w14:textId="526C815F" w:rsidR="001D1AB8" w:rsidRDefault="001D1AB8" w:rsidP="001D1AB8">
      <w:pPr>
        <w:pStyle w:val="Thesisnormal"/>
      </w:pPr>
      <w:r>
        <w:t xml:space="preserve">As discussed, the classical model of M1 and M2 macrophages has become highly complex and outdated with multiple groups suggesting new nomenclature to better reflect the evolving literature in this field </w:t>
      </w:r>
      <w:r>
        <w:fldChar w:fldCharType="begin"/>
      </w:r>
      <w:r w:rsidR="000A209C">
        <w:instrText xml:space="preserve"> ADDIN ZOTERO_ITEM CSL_CITATION {"citationID":"cA4MMNwf","properties":{"formattedCitation":"(26,84)","plainCitation":"(26,84)","noteIndex":0},"citationItems":[{"id":1369,"uris":["http://zotero.org/users/952979/items/MIAUSN3M"],"uri":["http://zotero.org/users/952979/items/MIAUSN3M"],"itemData":{"id":1369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O."},{"family":"Gordon","given":"Siamon"}],"issued":{"date-parts":[["2014"]]}}},{"id":1543,"uris":["http://zotero.org/users/952979/items/38TKIUKC"],"uri":["http://zotero.org/users/952979/items/38TKIUKC"],"itemData":{"id":1543,"type":"article-journal","title":"Macrophage Activation and Polarization: Nomenclature and Experimental Guidelines","container-title":"Immunity","page":"14-20","volume":"41","issue":"1","source":"www.cell.com","abstract":"Description of macrophage activation is currently contentious and confusing. Like the biblical Tower of Babel, macrophage activation encompasses a panoply of descriptors used in different ways. The lack of consensus on how to define macrophage activation in experiments in vitro and in vivo impedes progress in multiple ways, including the fact that many researchers still consider there to be only two types of activated macrophages, often termed M1 and M2. Here, we describe a set of standards encompassing three principles—the source of macrophages, definition of the activators, and a consensus collection of markers to describe macrophage activation—with the goal of unifying experimental standards for diverse experimental scenarios. Collectively, we propose a common framework for macrophage-activation nomenclature.","DOI":"10.1016/j.immuni.2014.06.008","ISSN":"1074-7613","note":"PMID: 25035950","shortTitle":"Macrophage Activation and Polarization","journalAbbreviation":"Immunity","language":"English","author":[{"family":"Murray","given":"Peter J."},{"family":"Allen","given":"Judith E."},{"family":"Biswas","given":"Subhra K."},{"family":"Fisher","given":"Edward A."},{"family":"Gilroy","given":"Derek W."},{"family":"Goerdt","given":"Sergij"},{"family":"Gordon","given":"Siamon"},{"family":"Hamilton","given":"John A."},{"family":"Ivashkiv","given":"Lionel B."},{"family":"Lawrence","given":"Toby"},{"family":"Locati","given":"Massimo"},{"family":"Mantovani","given":"Alberto"},{"family":"Martinez","given":"Fernando O."},{"family":"Mege","given":"Jean-Louis"},{"family":"Mosser","given":"David M."},{"family":"Natoli","given":"Gioacchino"},{"family":"Saeij","given":"Jeroen P."},{"family":"Schultze","given":"Joachim L."},{"family":"Shirey","given":"Kari Ann"},{"family":"Sica","given":"Antonio"},{"family":"Suttles","given":"Jill"},{"family":"Udalova","given":"Irina"},{"family":"van Ginderachter","given":"Jo A."},{"family":"Vogel","given":"Stefanie N."},{"family":"Wynn","given":"Thomas A."}],"issued":{"date-parts":[["2014",7,17]]}}}],"schema":"https://github.com/citation-style-language/schema/raw/master/csl-citation.json"} </w:instrText>
      </w:r>
      <w:r>
        <w:fldChar w:fldCharType="separate"/>
      </w:r>
      <w:r w:rsidR="004A1963" w:rsidRPr="004A1963">
        <w:rPr>
          <w:rFonts w:ascii="Calibri" w:hAnsi="Calibri"/>
        </w:rPr>
        <w:t>(26,84)</w:t>
      </w:r>
      <w:r>
        <w:fldChar w:fldCharType="end"/>
      </w:r>
      <w:r>
        <w:t xml:space="preserve">. Unfortunately, the potential new nomenclature does not provide relief within the literature nor reflect the true </w:t>
      </w:r>
      <w:r>
        <w:rPr>
          <w:i/>
        </w:rPr>
        <w:t>in vivo</w:t>
      </w:r>
      <w:r>
        <w:t xml:space="preserve"> behaviour of macrophages. </w:t>
      </w:r>
      <w:r w:rsidRPr="003E08C6">
        <w:t xml:space="preserve">Further compounding this complexity is the dissimilarity of markers between species </w:t>
      </w:r>
      <w:r>
        <w:t xml:space="preserve"> and the observations of multiple subtypes within chronic disease states </w:t>
      </w:r>
      <w:r w:rsidRPr="003E08C6">
        <w:fldChar w:fldCharType="begin"/>
      </w:r>
      <w:r w:rsidR="000A209C">
        <w:instrText xml:space="preserve"> ADDIN ZOTERO_ITEM CSL_CITATION {"citationID":"CEw2RzpQ","properties":{"formattedCitation":"(85,86)","plainCitation":"(85,86)","noteIndex":0},"citationItems":[{"id":1300,"uris":["http://zotero.org/users/952979/items/RWJ9HFHM"],"uri":["http://zotero.org/users/952979/items/RWJ9HFHM"],"itemData":{"id":1300,"type":"article-journal","title":"Heterogeneity of macrophage activation in fish","container-title":"Developmental &amp; Comparative Immunology","collection-title":"Special issue on Teleost Fish Immunology","page":"1246-1255","volume":"35","issue":"12","source":"ScienceDirect","abstract":"In this review, we focus on four different activation states of fish macrophages. In vitro, stimulation with microbial ligands induces the development of innate activated macrophages whereas classically activated macrophages can be induced by stimulation with LPS in combination with (recombinant) IFNγ. Both types of macrophages show elevated phagocytic activity, expression of pro-inflammatory cytokine genes and radical production. Alternatively activated macrophages require the cytokines IL-4/IL-13 for induction of, among others, arginase activity. Until in vitro studies identify the effects of putative IL-4 and IL-13 homologues on fish macrophages, arginase enzyme activity remains the most reliable marker for the presence of alternatively activated macrophages in fish. The best evidence for the existence of regulatory macrophages, associated with the presence of IL-10, comes from in vivo studies, for example during parasitic infections of carp. Altogether, differentially activated macrophages in fish largely resemble the phenotypes of mammalian macrophages. However, the presence of fish-specific ligand recognition by TLRs and of duplicated genes coding for proteins with particular activities, poses additional challenges for the characterization of phenotype-specific gene signatures and cell surface markers.","DOI":"10.1016/j.dci.2011.03.008","ISSN":"0145-305X","journalAbbreviation":"Developmental &amp; Comparative Immunology","author":[{"family":"Forlenza","given":"Maria"},{"family":"Fink","given":"Inge R."},{"family":"Raes","given":"Geert"},{"family":"Wiegertjes","given":"Geert F."}],"issued":{"date-parts":[["2011",12]]}}},{"id":1372,"uris":["http://zotero.org/users/952979/items/6TH7F79A"],"uri":["http://zotero.org/users/952979/items/6TH7F79A"],"itemData":{"id":1372,"type":"article-journal","title":"Tissue macrophage heterogeneity: issues and prospects","container-title":"Seminars in Immunopathology","page":"533-540","volume":"35","issue":"5","source":"PubMed","abstract":"The vast majority of macrophages in the body are present in tissues outside the circulation, yet their remarkable phenotypic heterogeneity within different anatomical compartments in the steady state and disease remains essentially unexplored. The development of immunocytochemical and fluorescent histological methods has revealed the presence and morphological diversity of macrophages within tissues, especially in the mouse, but functional specialisation in situ is difficult to establish and their mechanistic basis remains unknown, particularly in humans, in spite of the rich material available. In this review, we consider some of the technical issues that hamper investigation, assess the contribution of cell differentiation and modulation to macrophage heterogeneity within tissues and illustrate variation of macrophages and closely related cells in selected organs in mouse and man.","DOI":"10.1007/s00281-013-0386-4","ISSN":"1863-2300","note":"PMID: 23783507","shortTitle":"Tissue macrophage heterogeneity","journalAbbreviation":"Semin Immunopathol","language":"eng","author":[{"family":"Gordon","given":"Siamon"},{"family":"Plűddemann","given":"Annette"}],"issued":{"date-parts":[["2013",9]]}}}],"schema":"https://github.com/citation-style-language/schema/raw/master/csl-citation.json"} </w:instrText>
      </w:r>
      <w:r w:rsidRPr="003E08C6">
        <w:fldChar w:fldCharType="separate"/>
      </w:r>
      <w:r w:rsidR="004A1963" w:rsidRPr="004A1963">
        <w:rPr>
          <w:rFonts w:ascii="Calibri" w:hAnsi="Calibri"/>
        </w:rPr>
        <w:t>(85,86)</w:t>
      </w:r>
      <w:r w:rsidRPr="003E08C6">
        <w:fldChar w:fldCharType="end"/>
      </w:r>
      <w:r w:rsidRPr="003E08C6">
        <w:t>.</w:t>
      </w:r>
      <w:r>
        <w:t xml:space="preserve"> The current model of macrophage activation has arisen to reflect the most likely </w:t>
      </w:r>
      <w:r>
        <w:rPr>
          <w:i/>
        </w:rPr>
        <w:t>in vivo</w:t>
      </w:r>
      <w:r>
        <w:t xml:space="preserve"> situation where macrophages exist on a spectrum of activation states </w:t>
      </w:r>
      <w:r w:rsidRPr="00ED5A33">
        <w:t>(</w:t>
      </w:r>
      <w:r>
        <w:t>F</w:t>
      </w:r>
      <w:r w:rsidRPr="00ED5A33">
        <w:t>ig 1.2).</w:t>
      </w:r>
      <w:r>
        <w:t xml:space="preserve"> This multidimensional model of macrophage activation utilises the M1 and M2 nomenclature to represent extreme ends of macrophage polarisation </w:t>
      </w:r>
      <w:r>
        <w:fldChar w:fldCharType="begin"/>
      </w:r>
      <w:r w:rsidR="000A209C">
        <w:instrText xml:space="preserve"> ADDIN ZOTERO_ITEM CSL_CITATION {"citationID":"k1gDrIBk","properties":{"formattedCitation":"(8)","plainCitation":"(8)","noteIndex":0},"citationItems":[{"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K."}],"issued":{"date-parts":[["2016",1]]}}}],"schema":"https://github.com/citation-style-language/schema/raw/master/csl-citation.json"} </w:instrText>
      </w:r>
      <w:r>
        <w:fldChar w:fldCharType="separate"/>
      </w:r>
      <w:r w:rsidR="00A53A6B" w:rsidRPr="00A53A6B">
        <w:rPr>
          <w:rFonts w:ascii="Calibri" w:hAnsi="Calibri"/>
        </w:rPr>
        <w:t>(8)</w:t>
      </w:r>
      <w:r>
        <w:fldChar w:fldCharType="end"/>
      </w:r>
      <w:r>
        <w:t xml:space="preserve">. Evidence against the classical M1/M2 macrophage activation emerged from studies investigating macrophage phenotype in disease, resolution phase macrophages, embryonic macrophages or tumour-associated macrophages </w:t>
      </w:r>
      <w:r>
        <w:fldChar w:fldCharType="begin"/>
      </w:r>
      <w:r w:rsidR="000A209C">
        <w:instrText xml:space="preserve"> ADDIN ZOTERO_ITEM CSL_CITATION {"citationID":"VnogsRNz","properties":{"formattedCitation":"(87\\uc0\\u8211{}92)","plainCitation":"(87–92)","noteIndex":0},"citationItems":[{"id":40,"uris":["http://zotero.org/users/952979/items/4IQCXD2I"],"uri":["http://zotero.org/users/952979/items/4IQCXD2I"],"itemData":{"id":40,"type":"article-journal","title":"Inflammatory monocytes recruited to allergic skin acquire an anti-inflammatory M2 phenotype via basophil-derived interleukin-4","container-title":"Immunity","page":"570-580","volume":"38","issue":"3","source":"PubMed","abstract":"Monocytes and macrophages are important effectors and regulators of inflammation, and both can be divided into distinct subsets based on their phenotypes. The developmental and functional relationship between individual subsets of monocytes and those of macrophages has not been fully elucidated, although Ly6C(+)CCR2(+) inflammatory and Ly6C(-)CCR2(-) resident monocytes are generally thought to differentiate into M1 (classically activated) and M2 (alternatively activated) macrophages, respectively. Here we show that inflammatory monocytes recruited to allergic skin acquired an M2-like phenotype in response to basophil-derived interleukin-4 (IL-4) and exerted an anti-inflammatory function. CCR2-deficient mice unexpectedly displayed an exacerbation rather than alleviation of allergic inflammation, in spite of impaired recruitment of inflammatory monocytes to skin lesions. Adoptive transfer of inflammatory monocytes from wild-type but not IL-4 receptor-deficient mice dampened the exacerbated inflammation in CCR2-deficient mice. Thus, inflammatory monocytes can be converted from being proinflammatory to anti-inflammatory under the influence of basophils in allergic reactions.","DOI":"10.1016/j.immuni.2012.11.014","ISSN":"1097-4180","note":"PMID: 23434060","journalAbbreviation":"Immunity","language":"eng","author":[{"family":"Egawa","given":"Mayumi"},{"family":"Mukai","given":"Kaori"},{"family":"Yoshikawa","given":"Soichiro"},{"family":"Iki","given":"Misako"},{"family":"Mukaida","given":"Naofumi"},{"family":"Kawano","given":"Yohei"},{"family":"Minegishi","given":"Yoshiyuki"},{"family":"Karasuyama","given":"Hajime"}],"issued":{"date-parts":[["2013",3,21]]}}},{"id":39,"uris":["http://zotero.org/users/952979/items/SEMMRSTM"],"uri":["http://zotero.org/users/952979/items/SEMMRSTM"],"itemData":{"id":39,"type":"article-journal","title":"Tumor-associated macrophages exhibit pro- and anti-inflammatory properties by which they impact on pancreatic tumorigenesis","container-title":"International Journal of Cancer","page":"843-861","volume":"135","issue":"4","source":"PubMed","abstract":"Pancreatic ductal adenocarcinoma (PDAC) still ranking 4th in the order of fatal tumor diseases is characterized by a profound tumor stroma with high numbers of tumor-associated macrophages (TAMs). Driven by environmental factors, monocytes differentiate into M1- or M2-macrophages, the latter commonly regarded as being protumorigenic. Because a detailed analysis of TAMs in human PDAC development is still lacking, freshly isolated PDAC-derived TAMs were analyzed for their phenotype and impact on epithelial-mesenchymal-transition (EMT) of benign (H6c7) and malignant (Colo357) pancreatic ductal epithelial cells. TAMs exhibited characteristics of M1-macrophages (expression of HLA-DR, IL-1β, or TNF-α) and M2-macrophages (expression of CD163 and IL-10). In the presence of TAMs, H6c7, and Colo357 cells showed an elongated cell shape along with an increased expression of mesenchymal markers such as vimentin and reduced expression of epithelial E-cadherin. Similar to TAMs, in vitro generated M1- and M2-macrophages both mediated EMT in H6c7 and Colo357 cells. M1-macrophages acquired M2-characteristics during coculture that could be prevented by GM-CSF treatment. However, M1-macrophages still potently induced EMT in H6c7 and Colo357 cells although lacking M2-characteristics. Overall, these data demonstrate that TAMs exhibit anti- as well as proinflammatory properties that equally contribute to EMT induction in PDAC initiation and development.","DOI":"10.1002/ijc.28736","ISSN":"1097-0215","note":"PMID: 24458546","journalAbbreviation":"Int. J. Cancer","language":"eng","author":[{"family":"Helm","given":"Ole"},{"family":"Held-Feindt","given":"Janka"},{"family":"Grage-Griebenow","given":"Evelin"},{"family":"Reiling","given":"Norbert"},{"family":"Ungefroren","given":"Hendrik"},{"family":"Vogel","given":"Ilka"},{"family":"Krüger","given":"Uwe"},{"family":"Becker","given":"Thomas"},{"family":"Ebsen","given":"Michael"},{"family":"Röcken","given":"Christoph"},{"family":"Kabelitz","given":"Dieter"},{"family":"Schäfer","given":"Heiner"},{"family":"Sebens","given":"Susanne"}],"issued":{"date-parts":[["2014",8,15]]}}},{"id":38,"uris":["http://zotero.org/users/952979/items/NJZ658YC"],"uri":["http://zotero.org/users/952979/items/NJZ658YC"],"itemData":{"id":38,"type":"article-journal","title":"Inflammatory monocytes recruited after skeletal muscle injury switch into antiinflammatory macrophages to support myogenesis","container-title":"The Journal of Experimental Medicine","page":"1057-1069","volume":"204","issue":"5","source":"PubMed","abstract":"Macrophages (MPs) are important for skeletal muscle regeneration in vivo and may exert beneficial effects on myogenic cell growth through mitogenic and antiapoptotic activities in vitro. However, MPs are highly versatile and may exert various, and even opposite, functions depending on their activation state. We studied monocyte (MO)/MP phenotypes and functions during skeletal muscle repair. Selective labeling of circulating MOs by latex beads in CX3CR1(GFP/+) mice showed that injured muscle recruited only CX3CR1(lo)/Ly-6C(+) MOs from blood that exhibited a nondividing, F4/80(lo), proinflammatory profile. Then, within muscle, these cells switched their phenotype to become proliferating antiinflammatory CX3CR1(hi)/Ly-6C(-) cells that further differentiated into F4/80(hi) MPs. In vitro, phagocytosis of muscle cell debris induced a switch of proinflammatory MPs toward an antiinflammatory phenotype releasing transforming growth factor beta1. In co-cultures, inflammatory MPs stimulated myogenic cell proliferation, whereas antiinflammatory MPs exhibited differentiating activity, assessed by both myogenin expression and fusion into myotubes. Finally, depletion of circulating MOs in CD11b-diphtheria toxin receptor mice at the time of injury totally prevented muscle regeneration, whereas depletion of intramuscular F4/80(hi) MPs at later stages reduced the diameter of regenerating fibers. In conclusion, injured skeletal muscle recruits MOs exhibiting inflammatory profiles that operate phagocytosis and rapidly convert to antiinflammatory MPs that stimulate myogenesis and fiber growth.","DOI":"10.1084/jem.20070075","ISSN":"0022-1007","note":"PMID: 17485518\nPMCID: PMC2118577","journalAbbreviation":"J. Exp. Med.","language":"eng","author":[{"family":"Arnold","given":"Ludovic"},{"family":"Henry","given":"Adeline"},{"family":"Poron","given":"Françoise"},{"family":"Baba-Amer","given":"Yasmine"},{"family":"Rooijen","given":"Nico","non-dropping-particle":"van"},{"family":"Plonquet","given":"Anne"},{"family":"Gherardi","given":"Romain K."},{"family":"Chazaud","given":"Bénédicte"}],"issued":{"date-parts":[["2007",5,14]]}}},{"id":37,"uris":["http://zotero.org/users/952979/items/7USICBG9"],"uri":["http://zotero.org/users/952979/items/7USICBG9"],"itemData":{"id":37,"type":"article-journal","title":"Transcriptomic Profiling of the Development of the Inflammatory Response in Human Monocytes In Vitro","container-title":"PLOS ONE","page":"e87680","volume":"9","issue":"2","source":"PLoS Journals","abstract":"Monocytes/macrophages are key players in all phases of physiological and pathological inflammation. To understanding the regulation of macrophage functional differentiation during inflammation, we designed an in vitro model that recapitulates the different phases of the reaction (recruitment, initiation, development, and resolution), based on human primary blood monocytes exposed to sequential changes in microenvironmental conditions. All reaction phases were profiled by transcriptomic microarray analysis. Distinct clusters of genes were identified that are differentially regulated through the different phases of inflammation. The gene sets defined by GSEA analysis revealed that the inflammatory phase was enriched in inflammatory pathways, while the resolution phase comprised pathways related to metabolism and gene rearrangement. By comparing gene clusters differentially expressed in monocytes vs. M1 and vs. M2 macrophages extracted from an in-house created meta-database, it was shown that cells in the model resemble M1 during the inflammatory phase and M2 during resolution. The validation of inflammatory and transcriptional factors by qPCR and ELISA confirmed the transcriptomic profiles in the different phases of inflammation. The accurate description of the development of the human inflammatory reaction provided by this in vitro kinetic model can help in identifying regulatory mechanisms in physiological conditions and during pathological derangements.","DOI":"10.1371/journal.pone.0087680","ISSN":"1932-6203","journalAbbreviation":"PLOS ONE","language":"en","author":[{"family":"Italiani","given":"Paola"},{"family":"Mazza","given":"Emilia M. C."},{"family":"Lucchesi","given":"Davide"},{"family":"Cifola","given":"Ingrid"},{"family":"Gemelli","given":"Claudia"},{"family":"Grande","given":"Alexis"},{"family":"Battaglia","given":"Cristina"},{"family":"Bicciato","given":"Silvio"},{"family":"Boraschi","given":"Diana"}],"issued":{"date-parts":[["2014",2,3]]}}},{"id":36,"uris":["http://zotero.org/users/952979/items/J47A73UM"],"uri":["http://zotero.org/users/952979/items/J47A73UM"],"itemData":{"id":36,"type":"article-journal","title":"Transcriptomic analyses of murine resolution-phase macrophages","container-title":"Blood","page":"e192-208","volume":"118","issue":"26","source":"PubMed","abstract":"Macrophages are either classically (M1) or alternatively-activated (M2). Whereas this nomenclature was generated from monocyte-derived macrophages treated in vitro with defined cytokine stimuli, the phenotype of in vivo-derived macrophages is less understood. We completed Affymetrix-based transcriptomic analysis of macrophages from the resolution phase of a zymosan-induced peritonitis. Compared with macrophages from hyperinflamed mice possessing a pro-inflammatory nature as well as naive macrophages from the uninflamed peritoneum, resolution-phase macrophages (rM) are similar to monocyte-derived dendritic cells (DCs), being CD209a positive but lacking CD11c. They are enriched for antigen processing/presentation (MHC class II [H2-Eb1, H2-Ab1, H2-Ob, H2-Aa], CD74, CD86), secrete T- and B-lymphocyte chemokines (Xcl1, Ccl5, Cxcl13) as well as factors that enhance macrophage/DC development, and promote DC/T cell synapse formation (Clec2i, Tnfsf4, Clcf1). rM are also enriched for cell cycle/proliferation genes as well as Alox15, Timd4, and Tgfb2, key systems in the termination of leukocyte trafficking and clearance of inflammatory cells. Finally, comparison with in vitro-derived M1/M2 shows that rM are neither classically nor alternatively activated but possess aspects of both definitions consistent with an immune regulatory phenotype. We propose that macrophages in situ cannot be rigidly categorized as they can express many shades of the inflammatory spectrum determined by tissue, stimulus, and phase of inflammation.","DOI":"10.1182/blood-2011-04-345330","ISSN":"1528-0020","note":"PMID: 22012065\nPMCID: PMC5362087","journalAbbreviation":"Blood","language":"eng","author":[{"family":"Stables","given":"Melanie J."},{"family":"Shah","given":"Sonia"},{"family":"Camon","given":"Evelyn B."},{"family":"Lovering","given":"Ruth C."},{"family":"Newson","given":"Justine"},{"family":"Bystrom","given":"Jonas"},{"family":"Farrow","given":"Stuart"},{"family":"Gilroy","given":"Derek W."}],"issued":{"date-parts":[["2011",12,22]]}}},{"id":1553,"uris":["http://zotero.org/users/952979/items/WJXVAN4C"],"uri":["http://zotero.org/users/952979/items/WJXVAN4C"],"itemData":{"id":1553,"type":"article-journal","title":"Transcriptome-Based Network Analysis Reveals a Spectrum Model of Human Macrophage Activation","container-title":"Immunity","page":"274-288","volume":"40","issue":"2","source":"PubMed Central","abstract":"Macrophage activation is associated with profound transcriptional reprogramming. Although much progress has been made in the understanding of macrophage activation, polarization, and function, the transcriptional programs regulating these processes remain poorly characterized. We stimulated human macrophages with diverse activation signals, acquiring a data set of 299 macrophage transcriptomes. Analysis of this data set revealed a spectrum of macrophage activation states extending the current M1 versus M2-polarization model. Network analyses identified central transcriptional regulators associated with all macrophage activation complemented by regulators related to stimulus-specific programs. Applying these transcriptional programs to human alveolar macrophages from smokers and patients with chronic obstructive pulmonary disease (COPD) revealed an unexpected loss of inflammatory signatures in COPD patients. Finally, by integrating murine data from the ImmGen project we propose a refined, activation-independent core signature for human and murine macrophages. This resource serves as a framework for future research into regulation of macrophage activation in health and disease., \n          \n            \n              •\n              Macrophages react with specific transcriptional programming upon distinct signals\n            \n            \n              •\n              Activation by TNF, PGE2, and P3C activates a STAT4-associated transcriptional program\n            \n            \n              •\n              NFKB1, JUNB, and CREB1 are central transcription factors of macrophage activation\n            \n            \n              •\n              Inflammatory signatures are lost in alveolar macrophages from COPD patients","DOI":"10.1016/j.immuni.2014.01.006","ISSN":"1074-7613","note":"PMID: 24530056\nPMCID: PMC3991396","journalAbbreviation":"Immunity","author":[{"family":"Xue","given":"Jia"},{"family":"Schmidt","given":"Susanne V."},{"family":"Sander","given":"Jil"},{"family":"Draffehn","given":"Astrid"},{"family":"Krebs","given":"Wolfgang"},{"family":"Quester","given":"Inga"},{"family":"De Nardo","given":"Dominic"},{"family":"Gohel","given":"Trupti D."},{"family":"Emde","given":"Martina"},{"family":"Schmidleithner","given":"Lisa"},{"family":"Ganesan","given":"Hariharasudan"},{"family":"Nino-Castro","given":"Andrea"},{"family":"Mallmann","given":"Michael R."},{"family":"Labzin","given":"Larisa"},{"family":"Theis","given":"Heidi"},{"family":"Kraut","given":"Michael"},{"family":"Beyer","given":"Marc"},{"family":"Latz","given":"Eicke"},{"family":"Freeman","given":"Tom C."},{"family":"Ulas","given":"Thomas"},{"family":"Schultze","given":"Joachim L."}],"issued":{"date-parts":[["2014",2,20]]}}}],"schema":"https://github.com/citation-style-language/schema/raw/master/csl-citation.json"} </w:instrText>
      </w:r>
      <w:r>
        <w:fldChar w:fldCharType="separate"/>
      </w:r>
      <w:r w:rsidR="004A1963" w:rsidRPr="004A1963">
        <w:rPr>
          <w:rFonts w:ascii="Calibri" w:hAnsi="Calibri" w:cs="Times New Roman"/>
        </w:rPr>
        <w:t>(87–92)</w:t>
      </w:r>
      <w:r>
        <w:fldChar w:fldCharType="end"/>
      </w:r>
      <w:r>
        <w:t xml:space="preserve">. For example, macrophages responding to dermatitis are derived from monocytes and respond to IL-4 secreted by basophils. However, these macrophages are polarised towards an M2 phenotype and exhibit anti-inflammatory functions, in contrast to what may have been expected </w:t>
      </w:r>
      <w:r>
        <w:fldChar w:fldCharType="begin"/>
      </w:r>
      <w:r w:rsidR="000A209C">
        <w:instrText xml:space="preserve"> ADDIN ZOTERO_ITEM CSL_CITATION {"citationID":"WyYn28tr","properties":{"formattedCitation":"(87)","plainCitation":"(87)","noteIndex":0},"citationItems":[{"id":40,"uris":["http://zotero.org/users/952979/items/4IQCXD2I"],"uri":["http://zotero.org/users/952979/items/4IQCXD2I"],"itemData":{"id":40,"type":"article-journal","title":"Inflammatory monocytes recruited to allergic skin acquire an anti-inflammatory M2 phenotype via basophil-derived interleukin-4","container-title":"Immunity","page":"570-580","volume":"38","issue":"3","source":"PubMed","abstract":"Monocytes and macrophages are important effectors and regulators of inflammation, and both can be divided into distinct subsets based on their phenotypes. The developmental and functional relationship between individual subsets of monocytes and those of macrophages has not been fully elucidated, although Ly6C(+)CCR2(+) inflammatory and Ly6C(-)CCR2(-) resident monocytes are generally thought to differentiate into M1 (classically activated) and M2 (alternatively activated) macrophages, respectively. Here we show that inflammatory monocytes recruited to allergic skin acquired an M2-like phenotype in response to basophil-derived interleukin-4 (IL-4) and exerted an anti-inflammatory function. CCR2-deficient mice unexpectedly displayed an exacerbation rather than alleviation of allergic inflammation, in spite of impaired recruitment of inflammatory monocytes to skin lesions. Adoptive transfer of inflammatory monocytes from wild-type but not IL-4 receptor-deficient mice dampened the exacerbated inflammation in CCR2-deficient mice. Thus, inflammatory monocytes can be converted from being proinflammatory to anti-inflammatory under the influence of basophils in allergic reactions.","DOI":"10.1016/j.immuni.2012.11.014","ISSN":"1097-4180","note":"PMID: 23434060","journalAbbreviation":"Immunity","language":"eng","author":[{"family":"Egawa","given":"Mayumi"},{"family":"Mukai","given":"Kaori"},{"family":"Yoshikawa","given":"Soichiro"},{"family":"Iki","given":"Misako"},{"family":"Mukaida","given":"Naofumi"},{"family":"Kawano","given":"Yohei"},{"family":"Minegishi","given":"Yoshiyuki"},{"family":"Karasuyama","given":"Hajime"}],"issued":{"date-parts":[["2013",3,21]]}}}],"schema":"https://github.com/citation-style-language/schema/raw/master/csl-citation.json"} </w:instrText>
      </w:r>
      <w:r>
        <w:fldChar w:fldCharType="separate"/>
      </w:r>
      <w:r w:rsidR="004A1963" w:rsidRPr="004A1963">
        <w:rPr>
          <w:rFonts w:ascii="Calibri" w:hAnsi="Calibri"/>
        </w:rPr>
        <w:t>(87)</w:t>
      </w:r>
      <w:r>
        <w:fldChar w:fldCharType="end"/>
      </w:r>
      <w:r>
        <w:t xml:space="preserve">. Similarly, tumour associated macrophages can behave in both a pro- and anti-inflammatory manner </w:t>
      </w:r>
      <w:r>
        <w:fldChar w:fldCharType="begin"/>
      </w:r>
      <w:r w:rsidR="000A209C">
        <w:instrText xml:space="preserve"> ADDIN ZOTERO_ITEM CSL_CITATION {"citationID":"EO0EpsvH","properties":{"formattedCitation":"(88)","plainCitation":"(88)","noteIndex":0},"citationItems":[{"id":39,"uris":["http://zotero.org/users/952979/items/SEMMRSTM"],"uri":["http://zotero.org/users/952979/items/SEMMRSTM"],"itemData":{"id":39,"type":"article-journal","title":"Tumor-associated macrophages exhibit pro- and anti-inflammatory properties by which they impact on pancreatic tumorigenesis","container-title":"International Journal of Cancer","page":"843-861","volume":"135","issue":"4","source":"PubMed","abstract":"Pancreatic ductal adenocarcinoma (PDAC) still ranking 4th in the order of fatal tumor diseases is characterized by a profound tumor stroma with high numbers of tumor-associated macrophages (TAMs). Driven by environmental factors, monocytes differentiate into M1- or M2-macrophages, the latter commonly regarded as being protumorigenic. Because a detailed analysis of TAMs in human PDAC development is still lacking, freshly isolated PDAC-derived TAMs were analyzed for their phenotype and impact on epithelial-mesenchymal-transition (EMT) of benign (H6c7) and malignant (Colo357) pancreatic ductal epithelial cells. TAMs exhibited characteristics of M1-macrophages (expression of HLA-DR, IL-1β, or TNF-α) and M2-macrophages (expression of CD163 and IL-10). In the presence of TAMs, H6c7, and Colo357 cells showed an elongated cell shape along with an increased expression of mesenchymal markers such as vimentin and reduced expression of epithelial E-cadherin. Similar to TAMs, in vitro generated M1- and M2-macrophages both mediated EMT in H6c7 and Colo357 cells. M1-macrophages acquired M2-characteristics during coculture that could be prevented by GM-CSF treatment. However, M1-macrophages still potently induced EMT in H6c7 and Colo357 cells although lacking M2-characteristics. Overall, these data demonstrate that TAMs exhibit anti- as well as proinflammatory properties that equally contribute to EMT induction in PDAC initiation and development.","DOI":"10.1002/ijc.28736","ISSN":"1097-0215","note":"PMID: 24458546","journalAbbreviation":"Int. J. Cancer","language":"eng","author":[{"family":"Helm","given":"Ole"},{"family":"Held-Feindt","given":"Janka"},{"family":"Grage-Griebenow","given":"Evelin"},{"family":"Reiling","given":"Norbert"},{"family":"Ungefroren","given":"Hendrik"},{"family":"Vogel","given":"Ilka"},{"family":"Krüger","given":"Uwe"},{"family":"Becker","given":"Thomas"},{"family":"Ebsen","given":"Michael"},{"family":"Röcken","given":"Christoph"},{"family":"Kabelitz","given":"Dieter"},{"family":"Schäfer","given":"Heiner"},{"family":"Sebens","given":"Susanne"}],"issued":{"date-parts":[["2014",8,15]]}}}],"schema":"https://github.com/citation-style-language/schema/raw/master/csl-citation.json"} </w:instrText>
      </w:r>
      <w:r>
        <w:fldChar w:fldCharType="separate"/>
      </w:r>
      <w:r w:rsidR="004A1963" w:rsidRPr="004A1963">
        <w:rPr>
          <w:rFonts w:ascii="Calibri" w:hAnsi="Calibri"/>
        </w:rPr>
        <w:t>(88)</w:t>
      </w:r>
      <w:r>
        <w:fldChar w:fldCharType="end"/>
      </w:r>
      <w:r>
        <w:t xml:space="preserve">. This data was generated by utilising co-culture models and further showed that this mix of macrophage phenotypes is essential for the induction of epithelial to mesenchymal transitions. It is also clear that when macrophages lack ornithine (through arginase inactivation), tissue repair functions are still active, albeit delayed </w:t>
      </w:r>
      <w:r>
        <w:fldChar w:fldCharType="begin"/>
      </w:r>
      <w:r w:rsidR="000A209C">
        <w:instrText xml:space="preserve"> ADDIN ZOTERO_ITEM CSL_CITATION {"citationID":"Av2UH4mb","properties":{"formattedCitation":"(93)","plainCitation":"(93)","noteIndex":0},"citationItems":[{"id":1872,"uris":["http://zotero.org/users/952979/items/VBIC35N4"],"uri":["http://zotero.org/users/952979/items/VBIC35N4"],"itemData":{"id":1872,"type":"article-journal","title":"Local arginase 1 activity is required for cutaneous wound healing","container-title":"The Journal of Investigative Dermatology","page":"2461-2470","volume":"133","issue":"10","source":"PubMed","abstract":"Chronic nonhealing wounds in the elderly population are associated with a prolonged and excessive inflammatory response, which is widely hypothesized to impede healing. Previous studies have linked alterations in local L-arginine metabolism, principally mediated by the enzymes arginase (Arg) and inducible nitric oxide synthase (iNOS), to pathological wound healing. Over subsequent years, interest in Arg/iNOS has focused on the classical versus alternatively activated (M1/M2) macrophage paradigm. Although the role of iNOS during healing has been studied, Arg contribution to healing remains unclear. Here, we report that Arg is dynamically regulated during acute wound healing. Pharmacological inhibition of local Arg activity directly perturbed healing, as did Tie2-cre-mediated deletion of Arg1, revealing the importance of Arg1 during healing. Inhibition or depletion of Arg did not alter alternatively activated macrophage numbers but instead was associated with increased inflammation, including increased influx of iNOS(+) cells and defects in matrix deposition. Finally, we reveal that in preclinical murine models reduced Arg expression directly correlates with delayed healing, and as such may represent an important future therapeutic target.","DOI":"10.1038/jid.2013.164","ISSN":"1523-1747","note":"PMID: 23552798\nPMCID: PMC3778883","journalAbbreviation":"J. Invest. Dermatol.","language":"eng","author":[{"family":"Campbell","given":"Laura"},{"family":"Saville","given":"Charis R."},{"family":"Murray","given":"Peter J."},{"family":"Cruickshank","given":"Sheena M."},{"family":"Hardman","given":"Matthew J."}],"issued":{"date-parts":[["2013",10]]}}}],"schema":"https://github.com/citation-style-language/schema/raw/master/csl-citation.json"} </w:instrText>
      </w:r>
      <w:r>
        <w:fldChar w:fldCharType="separate"/>
      </w:r>
      <w:r w:rsidR="004A1963" w:rsidRPr="004A1963">
        <w:rPr>
          <w:rFonts w:ascii="Calibri" w:hAnsi="Calibri"/>
        </w:rPr>
        <w:t>(93)</w:t>
      </w:r>
      <w:r>
        <w:fldChar w:fldCharType="end"/>
      </w:r>
      <w:r>
        <w:t xml:space="preserve">. The </w:t>
      </w:r>
      <w:r>
        <w:lastRenderedPageBreak/>
        <w:t>metabolic fate of ornithine has never been directly followed, demonstrating a large gap in the M1/M2 paradigm.</w:t>
      </w:r>
    </w:p>
    <w:p w14:paraId="0C488822" w14:textId="77777777" w:rsidR="0084644E" w:rsidRDefault="0084644E" w:rsidP="001D1AB8">
      <w:pPr>
        <w:pStyle w:val="Thesisnormal"/>
      </w:pPr>
    </w:p>
    <w:p w14:paraId="3C8ACFEC" w14:textId="77777777" w:rsidR="001D1AB8" w:rsidRDefault="001D1AB8" w:rsidP="001D1AB8">
      <w:pPr>
        <w:pStyle w:val="Thesisnormal"/>
      </w:pPr>
      <w:r>
        <w:rPr>
          <w:noProof/>
          <w:lang w:eastAsia="en-GB"/>
        </w:rPr>
        <w:drawing>
          <wp:inline distT="0" distB="0" distL="0" distR="0" wp14:anchorId="7C40BE1E" wp14:editId="5ACA85D9">
            <wp:extent cx="4962525" cy="4162425"/>
            <wp:effectExtent l="0" t="0" r="9525" b="9525"/>
            <wp:docPr id="2" name="Picture 2" descr="C:\Users\Gigabyte\Dropbox\PhD\Writing\Thesis\Chapter 1 introduction\figures\Multidimensional Macrophage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gabyte\Dropbox\PhD\Writing\Thesis\Chapter 1 introduction\figures\Multidimensional Macrophage model.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12" t="8975" b="20994"/>
                    <a:stretch/>
                  </pic:blipFill>
                  <pic:spPr bwMode="auto">
                    <a:xfrm>
                      <a:off x="0" y="0"/>
                      <a:ext cx="4962525" cy="4162425"/>
                    </a:xfrm>
                    <a:prstGeom prst="rect">
                      <a:avLst/>
                    </a:prstGeom>
                    <a:noFill/>
                    <a:ln>
                      <a:noFill/>
                    </a:ln>
                    <a:extLst>
                      <a:ext uri="{53640926-AAD7-44D8-BBD7-CCE9431645EC}">
                        <a14:shadowObscured xmlns:a14="http://schemas.microsoft.com/office/drawing/2010/main"/>
                      </a:ext>
                    </a:extLst>
                  </pic:spPr>
                </pic:pic>
              </a:graphicData>
            </a:graphic>
          </wp:inline>
        </w:drawing>
      </w:r>
    </w:p>
    <w:p w14:paraId="34576FBF" w14:textId="77777777" w:rsidR="001D1AB8" w:rsidRPr="004850FB" w:rsidRDefault="001D1AB8" w:rsidP="001D1AB8">
      <w:pPr>
        <w:pStyle w:val="NoSpacing"/>
        <w:rPr>
          <w:b/>
        </w:rPr>
      </w:pPr>
      <w:r>
        <w:rPr>
          <w:b/>
        </w:rPr>
        <w:t>Figure 1.2</w:t>
      </w:r>
      <w:r w:rsidRPr="004850FB">
        <w:rPr>
          <w:b/>
        </w:rPr>
        <w:t xml:space="preserve"> Multidimensional model of macrophage activation. </w:t>
      </w:r>
    </w:p>
    <w:p w14:paraId="1966B227" w14:textId="77777777" w:rsidR="001D1AB8" w:rsidRDefault="001D1AB8" w:rsidP="001D1AB8">
      <w:pPr>
        <w:pStyle w:val="NoSpacing"/>
      </w:pPr>
      <w:r>
        <w:t xml:space="preserve">Macrophages receive signals from both the resident tissue and local and systemic environments. The local signals “imprint” a tissue resident macrophage phenotype, which is unique to each specific tissue. In addition to resident macrophages, circulating monocytes can be recruited from the circulation and differentiate into macrophages. Macrophages are also responsive to cytokines, growth factors and both DAMPs and PAMPs, often released as a result of tissue damage or pathogen infection. In response to these diverse signals, macrophages undergo epigenetic alterations to promote either pro-inflammatory (M1) or anti-inflammatory (M2) phenotypes. This dichotomous activation is only observed </w:t>
      </w:r>
      <w:r>
        <w:rPr>
          <w:i/>
        </w:rPr>
        <w:t>in vitro</w:t>
      </w:r>
      <w:r>
        <w:t xml:space="preserve">, with </w:t>
      </w:r>
      <w:r>
        <w:rPr>
          <w:i/>
        </w:rPr>
        <w:t>in vivo</w:t>
      </w:r>
      <w:r>
        <w:t xml:space="preserve"> macrophages exhibiting a spectrum of activation. Additionally, individual macrophages can repolarise towards an opposing response, as observed in the resolution phase of wound healing. DAMP = Damage associated molecular pattern, PAMP = pathogen associated molecular pattern.  </w:t>
      </w:r>
    </w:p>
    <w:p w14:paraId="13CD4BC0" w14:textId="77777777" w:rsidR="001D1AB8" w:rsidRDefault="001D1AB8" w:rsidP="001D1AB8">
      <w:pPr>
        <w:pStyle w:val="Thesisnormal"/>
      </w:pPr>
    </w:p>
    <w:p w14:paraId="45DFC676" w14:textId="77777777" w:rsidR="001D1AB8" w:rsidRDefault="001D1AB8" w:rsidP="001D1AB8">
      <w:pPr>
        <w:pStyle w:val="Thesisnormal"/>
      </w:pPr>
    </w:p>
    <w:p w14:paraId="34CD822C" w14:textId="21479594" w:rsidR="001D1AB8" w:rsidRDefault="001D1AB8" w:rsidP="001D1AB8">
      <w:pPr>
        <w:pStyle w:val="Thesisnormal"/>
      </w:pPr>
      <w:r>
        <w:t xml:space="preserve">Perhaps one of the strongest arguments against the dichotomous M1/M2 macrophage activation is the observation that individual macrophages can switch phenotypes, which requires a single cell to display both pro- and anti-inflammatory properties </w:t>
      </w:r>
      <w:r>
        <w:fldChar w:fldCharType="begin"/>
      </w:r>
      <w:r w:rsidR="000A209C">
        <w:instrText xml:space="preserve"> ADDIN ZOTERO_ITEM CSL_CITATION {"citationID":"ALfEi1qF","properties":{"formattedCitation":"(94)","plainCitation":"(94)","noteIndex":0},"citationItems":[{"id":1536,"uris":["http://zotero.org/users/952979/items/NDM429W3"],"uri":["http://zotero.org/users/952979/items/NDM429W3"],"itemData":{"id":1536,"type":"article-journal","title":"Phenotypic, Functional, and Plasticity Features of Classical and Alternatively Activated Human Macrophages","container-title":"American Journal of Respiratory Cell and Molecular Biology","page":"676-688","volume":"53","issue":"5","source":"atsjournals.org (Atypon)","abstract":"Macrophages are dynamic cells that mature under the influence of signals from the local microenvironment into either classically (M1) or alternatively (M2) activated macrophages with specific functional and phenotypic properties. Although the phenotypic identification of M1 and M2 macrophages is well established in mice, this is less clear for human macrophages. In addition, the persistence and reversibility of polarized human phenotypes is not well established. Human peripheral blood monocytes were differentiated into uncommitted macrophages (M0) and then polarized to M1 and M2 phenotypes using LPS/IFN-γ and IL-4/IL-13, respectively. M1 and M2 were identified as CD64+CD80+ and CD11b+CD209+, respectively, by flow cytometry. Polarized M1 cells secreted IP-10, IFN-γ, IL-8, TNF-α, IL-1β, and RANTES, whereas M2 cells secreted IL-13, CCL17, and CCL18. Functionally, M2 cells were highly endocytic. In cytokine-deficient medium, the polarized macrophages reverted back to the M0 state within 12 days. If previously polarized macrophages were given the alternative polarizing stimulus after 6 days of resting in cytokine-deficient medium, a switch in polarization was seen (i.e., M1 macrophages switched to M2 and expressed CD11b+CD209+ and vice versa). In summary, we report phenotypic identification of human M1 and M2 macrophages, their functional characteristics, and their ability to be reprogrammed given the appropriate stimuli.","DOI":"10.1165/rcmb.2015-0012OC","ISSN":"1044-1549","journalAbbreviation":"Am J Respir Cell Mol Biol","author":[{"family":"Tarique","given":"Abdullah A."},{"family":"Logan","given":"Jayden"},{"family":"Thomas","given":"Emma"},{"family":"Holt","given":"Patrick G."},{"family":"Sly","given":"Peter D."},{"family":"Fantino","given":"Emmanuelle"}],"issued":{"date-parts":[["2015",4,14]]}}}],"schema":"https://github.com/citation-style-language/schema/raw/master/csl-citation.json"} </w:instrText>
      </w:r>
      <w:r>
        <w:fldChar w:fldCharType="separate"/>
      </w:r>
      <w:r w:rsidR="004A1963" w:rsidRPr="004A1963">
        <w:rPr>
          <w:rFonts w:ascii="Calibri" w:hAnsi="Calibri"/>
        </w:rPr>
        <w:t>(94)</w:t>
      </w:r>
      <w:r>
        <w:fldChar w:fldCharType="end"/>
      </w:r>
      <w:r>
        <w:t xml:space="preserve">. Following </w:t>
      </w:r>
      <w:r>
        <w:lastRenderedPageBreak/>
        <w:t xml:space="preserve">skeletal injury, inflammatory monocytes that were recruited to the site of injury switched to an anti-inflammatory phenotype </w:t>
      </w:r>
      <w:r>
        <w:fldChar w:fldCharType="begin"/>
      </w:r>
      <w:r w:rsidR="000A209C">
        <w:instrText xml:space="preserve"> ADDIN ZOTERO_ITEM CSL_CITATION {"citationID":"teXbf69H","properties":{"formattedCitation":"(89)","plainCitation":"(89)","noteIndex":0},"citationItems":[{"id":38,"uris":["http://zotero.org/users/952979/items/NJZ658YC"],"uri":["http://zotero.org/users/952979/items/NJZ658YC"],"itemData":{"id":38,"type":"article-journal","title":"Inflammatory monocytes recruited after skeletal muscle injury switch into antiinflammatory macrophages to support myogenesis","container-title":"The Journal of Experimental Medicine","page":"1057-1069","volume":"204","issue":"5","source":"PubMed","abstract":"Macrophages (MPs) are important for skeletal muscle regeneration in vivo and may exert beneficial effects on myogenic cell growth through mitogenic and antiapoptotic activities in vitro. However, MPs are highly versatile and may exert various, and even opposite, functions depending on their activation state. We studied monocyte (MO)/MP phenotypes and functions during skeletal muscle repair. Selective labeling of circulating MOs by latex beads in CX3CR1(GFP/+) mice showed that injured muscle recruited only CX3CR1(lo)/Ly-6C(+) MOs from blood that exhibited a nondividing, F4/80(lo), proinflammatory profile. Then, within muscle, these cells switched their phenotype to become proliferating antiinflammatory CX3CR1(hi)/Ly-6C(-) cells that further differentiated into F4/80(hi) MPs. In vitro, phagocytosis of muscle cell debris induced a switch of proinflammatory MPs toward an antiinflammatory phenotype releasing transforming growth factor beta1. In co-cultures, inflammatory MPs stimulated myogenic cell proliferation, whereas antiinflammatory MPs exhibited differentiating activity, assessed by both myogenin expression and fusion into myotubes. Finally, depletion of circulating MOs in CD11b-diphtheria toxin receptor mice at the time of injury totally prevented muscle regeneration, whereas depletion of intramuscular F4/80(hi) MPs at later stages reduced the diameter of regenerating fibers. In conclusion, injured skeletal muscle recruits MOs exhibiting inflammatory profiles that operate phagocytosis and rapidly convert to antiinflammatory MPs that stimulate myogenesis and fiber growth.","DOI":"10.1084/jem.20070075","ISSN":"0022-1007","note":"PMID: 17485518\nPMCID: PMC2118577","journalAbbreviation":"J. Exp. Med.","language":"eng","author":[{"family":"Arnold","given":"Ludovic"},{"family":"Henry","given":"Adeline"},{"family":"Poron","given":"Françoise"},{"family":"Baba-Amer","given":"Yasmine"},{"family":"Rooijen","given":"Nico","non-dropping-particle":"van"},{"family":"Plonquet","given":"Anne"},{"family":"Gherardi","given":"Romain K."},{"family":"Chazaud","given":"Bénédicte"}],"issued":{"date-parts":[["2007",5,14]]}}}],"schema":"https://github.com/citation-style-language/schema/raw/master/csl-citation.json"} </w:instrText>
      </w:r>
      <w:r>
        <w:fldChar w:fldCharType="separate"/>
      </w:r>
      <w:r w:rsidR="004A1963" w:rsidRPr="004A1963">
        <w:rPr>
          <w:rFonts w:ascii="Calibri" w:hAnsi="Calibri"/>
        </w:rPr>
        <w:t>(89)</w:t>
      </w:r>
      <w:r>
        <w:fldChar w:fldCharType="end"/>
      </w:r>
      <w:r>
        <w:t xml:space="preserve">. The authors labelled circulating monocytes with beads to confirm that the same cells were transitioning from pro- to anti-inflammatory phenotypes, secreting TGF-β.  Indeed, transitioning from M1 to M2 phenotype is essential for resolution and occurs at the transcriptional level </w:t>
      </w:r>
      <w:r>
        <w:fldChar w:fldCharType="begin"/>
      </w:r>
      <w:r w:rsidR="000A209C">
        <w:instrText xml:space="preserve"> ADDIN ZOTERO_ITEM CSL_CITATION {"citationID":"XBA1uzfD","properties":{"formattedCitation":"(90)","plainCitation":"(90)","noteIndex":0},"citationItems":[{"id":37,"uris":["http://zotero.org/users/952979/items/7USICBG9"],"uri":["http://zotero.org/users/952979/items/7USICBG9"],"itemData":{"id":37,"type":"article-journal","title":"Transcriptomic Profiling of the Development of the Inflammatory Response in Human Monocytes In Vitro","container-title":"PLOS ONE","page":"e87680","volume":"9","issue":"2","source":"PLoS Journals","abstract":"Monocytes/macrophages are key players in all phases of physiological and pathological inflammation. To understanding the regulation of macrophage functional differentiation during inflammation, we designed an in vitro model that recapitulates the different phases of the reaction (recruitment, initiation, development, and resolution), based on human primary blood monocytes exposed to sequential changes in microenvironmental conditions. All reaction phases were profiled by transcriptomic microarray analysis. Distinct clusters of genes were identified that are differentially regulated through the different phases of inflammation. The gene sets defined by GSEA analysis revealed that the inflammatory phase was enriched in inflammatory pathways, while the resolution phase comprised pathways related to metabolism and gene rearrangement. By comparing gene clusters differentially expressed in monocytes vs. M1 and vs. M2 macrophages extracted from an in-house created meta-database, it was shown that cells in the model resemble M1 during the inflammatory phase and M2 during resolution. The validation of inflammatory and transcriptional factors by qPCR and ELISA confirmed the transcriptomic profiles in the different phases of inflammation. The accurate description of the development of the human inflammatory reaction provided by this in vitro kinetic model can help in identifying regulatory mechanisms in physiological conditions and during pathological derangements.","DOI":"10.1371/journal.pone.0087680","ISSN":"1932-6203","journalAbbreviation":"PLOS ONE","language":"en","author":[{"family":"Italiani","given":"Paola"},{"family":"Mazza","given":"Emilia M. C."},{"family":"Lucchesi","given":"Davide"},{"family":"Cifola","given":"Ingrid"},{"family":"Gemelli","given":"Claudia"},{"family":"Grande","given":"Alexis"},{"family":"Battaglia","given":"Cristina"},{"family":"Bicciato","given":"Silvio"},{"family":"Boraschi","given":"Diana"}],"issued":{"date-parts":[["2014",2,3]]}}}],"schema":"https://github.com/citation-style-language/schema/raw/master/csl-citation.json"} </w:instrText>
      </w:r>
      <w:r>
        <w:fldChar w:fldCharType="separate"/>
      </w:r>
      <w:r w:rsidR="004A1963" w:rsidRPr="004A1963">
        <w:rPr>
          <w:rFonts w:ascii="Calibri" w:hAnsi="Calibri"/>
        </w:rPr>
        <w:t>(90)</w:t>
      </w:r>
      <w:r>
        <w:fldChar w:fldCharType="end"/>
      </w:r>
      <w:r>
        <w:t xml:space="preserve">. Resolution phase macrophages exhibit a mixed transcriptional phenotype rather than a clear M1 or M2 profile </w:t>
      </w:r>
      <w:r>
        <w:fldChar w:fldCharType="begin"/>
      </w:r>
      <w:r w:rsidR="000A209C">
        <w:instrText xml:space="preserve"> ADDIN ZOTERO_ITEM CSL_CITATION {"citationID":"lwDVhJyk","properties":{"formattedCitation":"(91)","plainCitation":"(91)","noteIndex":0},"citationItems":[{"id":36,"uris":["http://zotero.org/users/952979/items/J47A73UM"],"uri":["http://zotero.org/users/952979/items/J47A73UM"],"itemData":{"id":36,"type":"article-journal","title":"Transcriptomic analyses of murine resolution-phase macrophages","container-title":"Blood","page":"e192-208","volume":"118","issue":"26","source":"PubMed","abstract":"Macrophages are either classically (M1) or alternatively-activated (M2). Whereas this nomenclature was generated from monocyte-derived macrophages treated in vitro with defined cytokine stimuli, the phenotype of in vivo-derived macrophages is less understood. We completed Affymetrix-based transcriptomic analysis of macrophages from the resolution phase of a zymosan-induced peritonitis. Compared with macrophages from hyperinflamed mice possessing a pro-inflammatory nature as well as naive macrophages from the uninflamed peritoneum, resolution-phase macrophages (rM) are similar to monocyte-derived dendritic cells (DCs), being CD209a positive but lacking CD11c. They are enriched for antigen processing/presentation (MHC class II [H2-Eb1, H2-Ab1, H2-Ob, H2-Aa], CD74, CD86), secrete T- and B-lymphocyte chemokines (Xcl1, Ccl5, Cxcl13) as well as factors that enhance macrophage/DC development, and promote DC/T cell synapse formation (Clec2i, Tnfsf4, Clcf1). rM are also enriched for cell cycle/proliferation genes as well as Alox15, Timd4, and Tgfb2, key systems in the termination of leukocyte trafficking and clearance of inflammatory cells. Finally, comparison with in vitro-derived M1/M2 shows that rM are neither classically nor alternatively activated but possess aspects of both definitions consistent with an immune regulatory phenotype. We propose that macrophages in situ cannot be rigidly categorized as they can express many shades of the inflammatory spectrum determined by tissue, stimulus, and phase of inflammation.","DOI":"10.1182/blood-2011-04-345330","ISSN":"1528-0020","note":"PMID: 22012065\nPMCID: PMC5362087","journalAbbreviation":"Blood","language":"eng","author":[{"family":"Stables","given":"Melanie J."},{"family":"Shah","given":"Sonia"},{"family":"Camon","given":"Evelyn B."},{"family":"Lovering","given":"Ruth C."},{"family":"Newson","given":"Justine"},{"family":"Bystrom","given":"Jonas"},{"family":"Farrow","given":"Stuart"},{"family":"Gilroy","given":"Derek W."}],"issued":{"date-parts":[["2011",12,22]]}}}],"schema":"https://github.com/citation-style-language/schema/raw/master/csl-citation.json"} </w:instrText>
      </w:r>
      <w:r>
        <w:fldChar w:fldCharType="separate"/>
      </w:r>
      <w:r w:rsidR="004A1963" w:rsidRPr="004A1963">
        <w:rPr>
          <w:rFonts w:ascii="Calibri" w:hAnsi="Calibri"/>
        </w:rPr>
        <w:t>(91)</w:t>
      </w:r>
      <w:r>
        <w:fldChar w:fldCharType="end"/>
      </w:r>
      <w:r>
        <w:t xml:space="preserve">. Transcriptional profiling has been the key technique required to molecularly describe distinct macrophage subtypes. Stimulation of human macrophages with 28-different stimuli revealed a spectrum of macrophage activation states based on transcriptional analysis </w:t>
      </w:r>
      <w:r>
        <w:fldChar w:fldCharType="begin"/>
      </w:r>
      <w:r w:rsidR="000A209C">
        <w:instrText xml:space="preserve"> ADDIN ZOTERO_ITEM CSL_CITATION {"citationID":"le0v2MKQ","properties":{"formattedCitation":"(92)","plainCitation":"(92)","noteIndex":0},"citationItems":[{"id":1553,"uris":["http://zotero.org/users/952979/items/WJXVAN4C"],"uri":["http://zotero.org/users/952979/items/WJXVAN4C"],"itemData":{"id":1553,"type":"article-journal","title":"Transcriptome-Based Network Analysis Reveals a Spectrum Model of Human Macrophage Activation","container-title":"Immunity","page":"274-288","volume":"40","issue":"2","source":"PubMed Central","abstract":"Macrophage activation is associated with profound transcriptional reprogramming. Although much progress has been made in the understanding of macrophage activation, polarization, and function, the transcriptional programs regulating these processes remain poorly characterized. We stimulated human macrophages with diverse activation signals, acquiring a data set of 299 macrophage transcriptomes. Analysis of this data set revealed a spectrum of macrophage activation states extending the current M1 versus M2-polarization model. Network analyses identified central transcriptional regulators associated with all macrophage activation complemented by regulators related to stimulus-specific programs. Applying these transcriptional programs to human alveolar macrophages from smokers and patients with chronic obstructive pulmonary disease (COPD) revealed an unexpected loss of inflammatory signatures in COPD patients. Finally, by integrating murine data from the ImmGen project we propose a refined, activation-independent core signature for human and murine macrophages. This resource serves as a framework for future research into regulation of macrophage activation in health and disease., \n          \n            \n              •\n              Macrophages react with specific transcriptional programming upon distinct signals\n            \n            \n              •\n              Activation by TNF, PGE2, and P3C activates a STAT4-associated transcriptional program\n            \n            \n              •\n              NFKB1, JUNB, and CREB1 are central transcription factors of macrophage activation\n            \n            \n              •\n              Inflammatory signatures are lost in alveolar macrophages from COPD patients","DOI":"10.1016/j.immuni.2014.01.006","ISSN":"1074-7613","note":"PMID: 24530056\nPMCID: PMC3991396","journalAbbreviation":"Immunity","author":[{"family":"Xue","given":"Jia"},{"family":"Schmidt","given":"Susanne V."},{"family":"Sander","given":"Jil"},{"family":"Draffehn","given":"Astrid"},{"family":"Krebs","given":"Wolfgang"},{"family":"Quester","given":"Inga"},{"family":"De Nardo","given":"Dominic"},{"family":"Gohel","given":"Trupti D."},{"family":"Emde","given":"Martina"},{"family":"Schmidleithner","given":"Lisa"},{"family":"Ganesan","given":"Hariharasudan"},{"family":"Nino-Castro","given":"Andrea"},{"family":"Mallmann","given":"Michael R."},{"family":"Labzin","given":"Larisa"},{"family":"Theis","given":"Heidi"},{"family":"Kraut","given":"Michael"},{"family":"Beyer","given":"Marc"},{"family":"Latz","given":"Eicke"},{"family":"Freeman","given":"Tom C."},{"family":"Ulas","given":"Thomas"},{"family":"Schultze","given":"Joachim L."}],"issued":{"date-parts":[["2014",2,20]]}}}],"schema":"https://github.com/citation-style-language/schema/raw/master/csl-citation.json"} </w:instrText>
      </w:r>
      <w:r>
        <w:fldChar w:fldCharType="separate"/>
      </w:r>
      <w:r w:rsidR="004A1963" w:rsidRPr="004A1963">
        <w:rPr>
          <w:rFonts w:ascii="Calibri" w:hAnsi="Calibri"/>
        </w:rPr>
        <w:t>(92)</w:t>
      </w:r>
      <w:r>
        <w:fldChar w:fldCharType="end"/>
      </w:r>
      <w:r>
        <w:t xml:space="preserve">. A different study utilised 4 different stimuli to treat cultured macrophages and found that the sequential treatment of the macrophages caused progression through multiple phenotypic states </w:t>
      </w:r>
      <w:r>
        <w:fldChar w:fldCharType="begin"/>
      </w:r>
      <w:r w:rsidR="000A209C">
        <w:instrText xml:space="preserve"> ADDIN ZOTERO_ITEM CSL_CITATION {"citationID":"jju8skD5","properties":{"formattedCitation":"(95)","plainCitation":"(95)","noteIndex":0},"citationItems":[{"id":1225,"uris":["http://zotero.org/users/952979/items/RQAKNDQW"],"uri":["http://zotero.org/users/952979/items/RQAKNDQW"],"itemData":{"id":1225,"type":"article-journal","title":"Macrophages sequentially change their functional phenotype in response to changes in microenvironmental influences","container-title":"Journal of Immunology (Baltimore, Md.: 1950)","page":"342-349","volume":"175","issue":"1","source":"PubMed","abstract":"Recent studies have described the development of distinct functional subsets of macrophages in association with cancer, autoimmune disease, and chronic infections. Based on the ability of Th1 vs Th2 cytokines to promote opposing activities in macrophages, it has been proposed that macrophages develop into either type 1 inflammatory or type 2 anti-inflammatory subsets. As an alternative to the concept of subset development, we propose that macrophages, in response to changes in their tissue environment, can reversibly and progressively change the pattern of functions that they express. As demonstrated herein, macrophages can reversibly shift their functional phenotype through a multitude of patterns in response to changes in cytokine environment. Macrophages display distinct functional patterns after treatment with IFN-gamma, IL-12, IL-4, or IL-10 and additional functional patterns are displayed depending on whether the cytokine is present alone or with other cytokines and whether the cytokines are added before or concomitantly with the activating stimulus (LPS). Sequential treatment of macrophages with multiple cytokines results in a progression through multiple functional phenotypes. This ability to adapt to changing cytokine environments has significant in vivo relevance, as evidenced by the demonstration that macrophage functional phenotypes established in vivo in aged or tumor-bearing mice can be altered by changing their microenvironment. A concept of functional adaptivity is proposed that has important implications for therapeutic targeting of macrophages in chronic diseases that result in the dominance of particular functional phenotypes of macrophages that play a significant role in disease pathology.","ISSN":"0022-1767","note":"PMID: 15972667","journalAbbreviation":"J. Immunol.","language":"eng","author":[{"family":"Stout","given":"Robert D."},{"family":"Jiang","given":"Chuancang"},{"family":"Matta","given":"Bharati"},{"family":"Tietzel","given":"Illya"},{"family":"Watkins","given":"Stephanie K."},{"family":"Suttles","given":"Jill"}],"issued":{"date-parts":[["2005",7,1]]}}}],"schema":"https://github.com/citation-style-language/schema/raw/master/csl-citation.json"} </w:instrText>
      </w:r>
      <w:r>
        <w:fldChar w:fldCharType="separate"/>
      </w:r>
      <w:r w:rsidR="004A1963" w:rsidRPr="004A1963">
        <w:rPr>
          <w:rFonts w:ascii="Calibri" w:hAnsi="Calibri"/>
        </w:rPr>
        <w:t>(95)</w:t>
      </w:r>
      <w:r>
        <w:fldChar w:fldCharType="end"/>
      </w:r>
      <w:r>
        <w:t xml:space="preserve">.  </w:t>
      </w:r>
    </w:p>
    <w:p w14:paraId="4B079BA3" w14:textId="77777777" w:rsidR="001D1AB8" w:rsidRDefault="001D1AB8" w:rsidP="001D1AB8">
      <w:pPr>
        <w:pStyle w:val="Thesisnormal"/>
      </w:pPr>
    </w:p>
    <w:p w14:paraId="7DEAAB41" w14:textId="2BF9FFB8" w:rsidR="001D1AB8" w:rsidRPr="00AC1C4E" w:rsidRDefault="001D1AB8" w:rsidP="006A45E9">
      <w:pPr>
        <w:pStyle w:val="Thesisnormal"/>
      </w:pPr>
      <w:r>
        <w:t xml:space="preserve">Further evidence for a multidimensional model of macrophage activation comes from advances in our understanding of macrophage ontogeny </w:t>
      </w:r>
      <w:r>
        <w:fldChar w:fldCharType="begin"/>
      </w:r>
      <w:r w:rsidR="000A209C">
        <w:instrText xml:space="preserve"> ADDIN ZOTERO_ITEM CSL_CITATION {"citationID":"w46UGzPm","properties":{"formattedCitation":"(11,96\\uc0\\u8211{}103)","plainCitation":"(11,96–103)","noteIndex":0},"citationItems":[{"id":1438,"uris":["http://zotero.org/users/952979/items/PCHFV4X3"],"uri":["http://zotero.org/users/952979/items/PCHFV4X3"],"itemData":{"id":1438,"type":"article-journal","title":"New Insights Into Tissue Macrophages: From Their Origin to the Development of Memory","container-title":"Immune Network","page":"167-176","volume":"15","issue":"4","source":"PubMed Central","abstract":"Macrophages are the main effector cells of innate immunity and are involved in inflammatory and anti-infective processes. They also have an essential role in maintaining tissue homeostasis, supporting tissue development, and repairing tissue damage. Until few years ago, it was believed that tissue macrophages derived from circulating blood monocytes, which terminally differentiated in the tissue and unable to proliferate. Recent evidence in the biology of tissue macrophages has uncovered a series of immune and ontogenic features that had been neglected for long, despite old observations. These include origin, heterogeneity, proliferative potential (or self-renewal), polarization, and memory. In recent years, the number of publications on tissue resident macrophages has grown rapidly, highlighting the renewed interest of the immunologists for these key players of innate immunity. This mini-review aims to summarizing the new current knowledge in macrophage immunobiology, in order to offer a clear and immediate overview of the field.","DOI":"10.4110/in.2015.15.4.167","ISSN":"1598-2629","note":"PMID: 26330802\nPMCID: PMC4553254","shortTitle":"New Insights Into Tissue Macrophages","journalAbbreviation":"Immune Netw","author":[{"family":"Italiani","given":"Paola"},{"family":"Boraschi","given":"Diana"}],"issued":{"date-parts":[["2015",8]]}}},{"id":1439,"uris":["http://zotero.org/users/952979/items/M57S2WQJ"],"uri":["http://zotero.org/users/952979/items/M57S2WQJ"],"itemData":{"id":1439,"type":"article-journal","title":"Origin and functions of tissue macrophages","container-title":"Immunity","page":"21-35","volume":"41","issue":"1","source":"PubMed","abstract":"Macrophages are distributed in tissues throughout the body and contribute to both homeostasis and disease. Recently, it has become evident that most adult tissue macrophages originate during embryonic development and not from circulating monocytes. Each tissue has its own composition of embryonically derived and adult-derived macrophages, but it is unclear whether macrophages of distinct origins are functionally interchangeable or have unique roles at steady state. This new understanding also prompts reconsideration of the function of circulating monocytes. Classical Ly6c(hi) monocytes patrol the extravascular space in resting organs, and Ly6c(lo) nonclassical monocytes patrol the vasculature. Inflammation triggers monocytes to differentiate into macrophages, but whether resident and newly recruited macrophages possess similar functions during inflammation is unclear. Here, we define the tools used for identifying the complex origin of tissue macrophages and discuss the relative contributions of tissue niche versus ontological origin to the regulation of macrophage functions during steady state and inflammation.","DOI":"10.1016/j.immuni.2014.06.013","ISSN":"1097-4180","note":"PMID: 25035951\nPMCID: PMC4470379","journalAbbreviation":"Immunity","language":"eng","author":[{"family":"Epelman","given":"Slava"},{"family":"Lavine","given":"Kory J."},{"family":"Randolph","given":"Gwendalyn J."}],"issued":{"date-parts":[["2014",7,17]]}}},{"id":1257,"uris":["http://zotero.org/users/952979/items/NK6385AD"],"uri":["http://zotero.org/users/952979/items/NK6385AD"],"itemData":{"id":1257,"type":"article-journal","title":"Monocytes and macrophages: developmental pathways and tissue homeostasis","container-title":"Nature Reviews Immunology","page":"392-404","volume":"14","issue":"6","source":"www.nature.com","abstract":"Monocytes and macrophages have crucial and distinct roles in tissue homeostasis and immunity, but they also contribute to a broad spectrum of pathologies and are thus attractive therapeutic targets. Potential intervention strategies that aim to manipulate these cells will require an in-depth understanding of their origins and the mechanisms that ensure their homeostasis. Recent evidence shows that monocytes do not substantially contribute to most tissue macrophage populations in the steady state or during certain types of inflammation. Rather, most tissue macrophage populations in mice are derived from embryonic precursors, are seeded before birth and can maintain themselves in adults by self-renewal. In this Review, we discuss the evidence that has dramatically changed our understanding of monocyte and macrophage development, and the maintenance of these cells in the steady state.","DOI":"10.1038/nri3671","ISSN":"1474-1733","shortTitle":"Monocytes and macrophages","journalAbbreviation":"Nat Rev Immunol","language":"en","author":[{"family":"Ginhoux","given":"Florent"},{"family":"Jung","given":"Steffen"}],"issued":{"date-parts":[["2014",6]]}}},{"id":1435,"uris":["http://zotero.org/users/952979/items/HA38A4W9"],"uri":["http://zotero.org/users/952979/items/HA38A4W9"],"itemData":{"id":1435,"type":"article-journal","title":"Embryonic and adult-derived resident cardiac macrophages are maintained through distinct mechanisms at steady state and during inflammation","container-title":"Immunity","page":"91-104","volume":"40","issue":"1","source":"PubMed","abstract":"Cardiac macrophages are crucial for tissue repair after cardiac injury but are not well characterized. Here we identify four populations of cardiac macrophages. At steady state, resident macrophages were primarily maintained through local proliferation. However, after macrophage depletion or during cardiac inflammation, Ly6c(hi) monocytes contributed to all four macrophage populations, whereas resident macrophages also expanded numerically through proliferation. Genetic fate mapping revealed that yolk-sac and fetal monocyte progenitors gave rise to the majority of cardiac macrophages, and the heart was among a minority of organs in which substantial numbers of yolk-sac macrophages persisted in adulthood. CCR2 expression and dependence distinguished cardiac macrophages of adult monocyte versus embryonic origin. Transcriptional and functional data revealed that monocyte-derived macrophages coordinate cardiac inflammation, while playing redundant but lesser roles in antigen sampling and efferocytosis. These data highlight the presence of multiple cardiac macrophage subsets, with different functions, origins, and strategies to regulate compartment size.","DOI":"10.1016/j.immuni.2013.11.019","ISSN":"1097-4180","note":"PMID: 24439267\nPMCID: PMC3923301","journalAbbreviation":"Immunity","language":"eng","author":[{"family":"Epelman","given":"Slava"},{"family":"Lavine","given":"Kory J."},{"family":"Beaudin","given":"Anna E."},{"family":"Sojka","given":"Dorothy K."},{"family":"Carrero","given":"Javier A."},{"family":"Calderon","given":"Boris"},{"family":"Brija","given":"Thaddeus"},{"family":"Gautier","given":"Emmanuel L."},{"family":"Ivanov","given":"Stoyan"},{"family":"Satpathy","given":"Ansuman T."},{"family":"Schilling","given":"Joel D."},{"family":"Schwendener","given":"Reto"},{"family":"Sergin","given":"Ismail"},{"family":"Razani","given":"Babak"},{"family":"Forsberg","given":"E. Camilla"},{"family":"Yokoyama","given":"Wayne M."},{"family":"Unanue","given":"Emil R."},{"family":"Colonna","given":"Marco"},{"family":"Randolph","given":"Gwendalyn J."},{"family":"Mann","given":"Douglas L."}],"issued":{"date-parts":[["2014",1,16]]}}},{"id":1432,"uris":["http://zotero.org/users/952979/items/2MDSQCUN"],"uri":["http://zotero.org/users/952979/items/2MDSQCUN"],"itemData":{"id":1432,"type":"article-journal","title":"Alveolar macrophages develop from fetal monocytes that differentiate into long-lived cells in the first week of life via GM-CSF","container-title":"The Journal of Experimental Medicine","page":"1977-1992","volume":"210","issue":"10","source":"PubMed Central","abstract":"Alveolar macrophages differentiate from fetal monocytes in a GM-CSF–dependent fashion and colonize the alveolar space within a few days after birth., Tissue-resident macrophages can develop from circulating adult monocytes or from primitive yolk sac–derived macrophages. The precise ontogeny of alveolar macrophages (AMFs) is unknown. By performing BrdU labeling and parabiosis experiments in adult mice, we found that circulating monocytes contributed minimally to the steady-state AMF pool. Mature AMFs were undetectable before birth and only fully colonized the alveolar space by 3 d after birth. Before birth, F4/80hiCD11blo primitive macrophages and Ly6ChiCD11bhi fetal monocytes sequentially colonized the developing lung around E12.5 and E16.5, respectively. The first signs of AMF differentiation appeared around the saccular stage of lung development (E18.5). Adoptive transfer identified fetal monocytes, and not primitive macrophages, as the main precursors of AMFs. Fetal monocytes transferred to the lung of neonatal mice acquired an AMF phenotype via defined developmental stages over the course of one week, and persisted for at least three months. Early AMF commitment from fetal monocytes was absent in GM-CSF–deficient mice, whereas short-term perinatal intrapulmonary GM-CSF therapy rescued AMF development for weeks, although the resulting AMFs displayed an immature phenotype. This demonstrates that tissue-resident macrophages can also develop from fetal monocytes that adopt a stable phenotype shortly after birth in response to instructive cytokines, and then self-maintain throughout life.","DOI":"10.1084/jem.20131199","ISSN":"0022-1007","note":"PMID: 24043763\nPMCID: PMC3782041","journalAbbreviation":"J Exp Med","author":[{"family":"Guilliams","given":"Martin"},{"family":"De Kleer","given":"Ismé"},{"family":"Henri","given":"Sandrine"},{"family":"Post","given":"Sijranke"},{"family":"Vanhoutte","given":"Leen"},{"family":"De Prijck","given":"Sofie"},{"family":"Deswarte","given":"Kim"},{"family":"Malissen","given":"Bernard"},{"family":"Hammad","given":"Hamida"},{"family":"Lambrecht","given":"Bart N."}],"issued":{"date-parts":[["2013",9,23]]}}},{"id":1434,"uris":["http://zotero.org/users/952979/items/V238IIIQ"],"uri":["http://zotero.org/users/952979/items/V238IIIQ"],"itemData":{"id":1434,"type":"article-journal","title":"Fate Mapping Analysis Reveals That Adult Microglia Derive from Primitive Macrophages","container-title":"Science (New York, N.Y.)","page":"841-845","volume":"330","issue":"6005","source":"PubMed Central","abstract":"Microglia are the resident macrophages of the central nervous system and are associated with the pathogenesis of many neurodegenerative and brain inflammatory diseases; however, the origin of adult microglia remains controversial. We show that postnatal hematopoietic progenitors do not significantly contribute to microglia homeostasis in the adult brain. In contrast to many macrophage populations, we show that microglia develop in mice that lack colony stimulating factor-1 (CSF-1) but are absent in CSF-1 receptor–deficient mice. In vivo lineage tracing studies established that adult microglia derive from primitive myeloid progenitors that arise before embryonic day 8. These results identify microglia as an ontogenically distinct population in the mononuclear phagocyte system and have implications for the use of embryonically derived microglial progenitors for the treatment of various brain disorders.","DOI":"10.1126/science.1194637","ISSN":"0036-8075","note":"PMID: 20966214\nPMCID: PMC3719181","journalAbbreviation":"Science","author":[{"family":"Ginhoux","given":"Florent"},{"family":"Greter","given":"Melanie"},{"family":"Leboeuf","given":"Marylene"},{"family":"Nandi","given":"Sayan"},{"family":"See","given":"Peter"},{"family":"Gokhan","given":"Solen"},{"family":"Mehler","given":"Mark F."},{"family":"Conway","given":"Simon J."},{"family":"Ng","given":"Lai Guan"},{"family":"Stanley","given":"E. Richard"},{"family":"Samokhvalov","given":"Igor M."},{"family":"Merad","given":"Miriam"}],"issued":{"date-parts":[["2010",11,5]]}}},{"id":1431,"uris":["http://zotero.org/users/952979/items/TNEASR6D"],"uri":["http://zotero.org/users/952979/items/TNEASR6D"],"itemData":{"id":1431,"type":"article-journal","title":"Tissue-resident macrophages self-maintain locally throughout adult life with minimal contribution from circulating monocytes","container-title":"Immunity","page":"792-804","volume":"38","issue":"4","source":"PubMed","abstract":"Despite accumulating evidence suggesting local self-maintenance of tissue macrophages in the steady state, the dogma remains that tissue macrophages derive from monocytes. Using parabiosis and fate-mapping approaches, we confirmed that monocytes do not show significant contribution to tissue macrophages in the steady state. Similarly, we found that after depletion of lung macrophages, the majority of repopulation occurred by stochastic cellular proliferation in situ in a macrophage colony-stimulating factor (M-Csf)- and granulocyte macrophage (GM)-CSF-dependent manner but independently of interleukin-4. We also found that after bone marrow transplantation, host macrophages retained the capacity to expand when the development of donor macrophages was compromised. Expansion of host macrophages was functional and prevented the development of alveolar proteinosis in mice transplanted with GM-Csf-receptor-deficient progenitors. Collectively, these results indicate that tissue-resident macrophages and circulating monocytes should be classified as mononuclear phagocyte lineages that are independently maintained in the steady state.","DOI":"10.1016/j.immuni.2013.04.004","ISSN":"1097-4180","note":"PMID: 23601688\nPMCID: PMC3853406","journalAbbreviation":"Immunity","language":"eng","author":[{"family":"Hashimoto","given":"Daigo"},{"family":"Chow","given":"Andrew"},{"family":"Noizat","given":"Clara"},{"family":"Teo","given":"Pearline"},{"family":"Beasley","given":"Mary Beth"},{"family":"Leboeuf","given":"Marylene"},{"family":"Becker","given":"Christian D."},{"family":"See","given":"Peter"},{"family":"Price","given":"Jeremy"},{"family":"Lucas","given":"Daniel"},{"family":"Greter","given":"Melanie"},{"family":"Mortha","given":"Arthur"},{"family":"Boyer","given":"Scott W."},{"family":"Forsberg","given":"E. Camilla"},{"family":"Tanaka","given":"Masato"},{"family":"Rooijen","given":"Nico","non-dropping-particle":"van"},{"family":"García-Sastre","given":"Adolfo"},{"family":"Stanley","given":"E. Richard"},{"family":"Ginhoux","given":"Florent"},{"family":"Frenette","given":"Paul S."},{"family":"Merad","given":"Miriam"}],"issued":{"date-parts":[["2013",4,18]]}}},{"id":1382,"uris":["http://zotero.org/users/952979/items/IE4SPUPV"],"uri":["http://zotero.org/users/952979/items/IE4SPUPV"],"itemData":{"id":1382,"type":"article-journal","title":"Regulation of macrophage development and function in peripheral tissues","container-title":"Nature Reviews Immunology","page":"731-744","volume":"15","issue":"12","source":"www.nature.com","abstract":"Macrophages are immune cells of haematopoietic origin that provide crucial innate immune defence and have tissue-specific functions in the regulation and maintenance of organ homeostasis. Recent studies of macrophage ontogeny, as well as transcriptional and epigenetic identity, have started to reveal the decisive role of the tissue stroma in the regulation of macrophage function. These findings suggest that most macrophages seed the tissues during embryonic development and functionally specialize in response to cytokines and metabolites that are released by the stroma and drive the expression of unique transcription factors. In this Review, we discuss how recent insights into macrophage ontogeny and macrophage–stroma interactions contribute to our understanding of the crosstalk that shapes macrophage function and the maintenance of organ integrity.","DOI":"10.1038/nri3920","ISSN":"1474-1733","journalAbbreviation":"Nat Rev Immunol","language":"en","author":[{"family":"Lavin","given":"Yonit"},{"family":"Mortha","given":"Arthur"},{"family":"Rahman","given":"Adeeb"},{"family":"Merad","given":"Miriam"}],"issued":{"date-parts":[["2015",12]]}}},{"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fldChar w:fldCharType="separate"/>
      </w:r>
      <w:r w:rsidR="004A1963" w:rsidRPr="004A1963">
        <w:rPr>
          <w:rFonts w:ascii="Calibri" w:hAnsi="Calibri" w:cs="Times New Roman"/>
        </w:rPr>
        <w:t>(11,96–103)</w:t>
      </w:r>
      <w:r>
        <w:fldChar w:fldCharType="end"/>
      </w:r>
      <w:r>
        <w:t xml:space="preserve">. Fate mapping experiments have revealed that, in contrast to the monocyte-seeding model of macrophage ontogeny, tissue resident macrophages are derived from embryonic populations present in the yolk sac and foetal liver </w:t>
      </w:r>
      <w:r>
        <w:fldChar w:fldCharType="begin"/>
      </w:r>
      <w:r w:rsidR="000A209C">
        <w:instrText xml:space="preserve"> ADDIN ZOTERO_ITEM CSL_CITATION {"citationID":"tNLiUjEf","properties":{"formattedCitation":"(8\\uc0\\u8211{}11)","plainCitation":"(8–11)","noteIndex":0},"citationItems":[{"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id":32,"uris":["http://zotero.org/users/952979/items/99NC5UPT"],"uri":["http://zotero.org/users/952979/items/99NC5UPT"],"itemData":{"id":32,"type":"article-journal","title":"Fate mapping reveals origins and dynamics of monocytes and tissue macrophages under homeostasis","container-title":"Immunity","page":"79-91","volume":"38","issue":"1","source":"PubMed","abstract":"Mononuclear phagocytes, including monocytes, macrophages, and dendritic cells, contribute to tissue integrity as well as to innate and adaptive immune defense. Emerging evidence for labor division indicates that manipulation of these cells could bear therapeutic potential. However, specific ontogenies of individual populations and the overall functional organization of this cellular network are not well defined. Here we report a fate-mapping study of the murine monocyte and macrophage compartment taking advantage of constitutive and conditional CX(3)CR1 promoter-driven Cre recombinase expression. We have demonstrated that major tissue-resident macrophage populations, including liver Kupffer cells and lung alveolar, splenic, and peritoneal macrophages, are established prior to birth and maintain themselves subsequently during adulthood independent of replenishment by blood monocytes. Furthermore, we have established that short-lived Ly6C(+) monocytes constitute obligatory steady-state precursors of blood-resident Ly6C(-) cells and that the abundance of Ly6C(+) blood monocytes dynamically controls the circulation lifespan of their progeny.","DOI":"10.1016/j.immuni.2012.12.001","ISSN":"1097-4180","note":"PMID: 23273845\nPMCID: PMC3908543","journalAbbreviation":"Immunity","language":"eng","author":[{"family":"Yona","given":"Simon"},{"family":"Kim","given":"Ki-Wook"},{"family":"Wolf","given":"Yochai"},{"family":"Mildner","given":"Alexander"},{"family":"Varol","given":"Diana"},{"family":"Breker","given":"Michal"},{"family":"Strauss-Ayali","given":"Dalit"},{"family":"Viukov","given":"Sergey"},{"family":"Guilliams","given":"Martin"},{"family":"Misharin","given":"Alexander"},{"family":"Hume","given":"David A."},{"family":"Perlman","given":"Harris"},{"family":"Malissen","given":"Bernard"},{"family":"Zelzer","given":"Elazar"},{"family":"Jung","given":"Steffen"}],"issued":{"date-parts":[["2013",1,24]]}}},{"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fldChar w:fldCharType="separate"/>
      </w:r>
      <w:r w:rsidR="00A53A6B" w:rsidRPr="00A53A6B">
        <w:rPr>
          <w:rFonts w:ascii="Calibri" w:hAnsi="Calibri" w:cs="Times New Roman"/>
        </w:rPr>
        <w:t>(8–11)</w:t>
      </w:r>
      <w:r>
        <w:fldChar w:fldCharType="end"/>
      </w:r>
      <w:r>
        <w:t xml:space="preserve"> although there are some exceptions such as in the resident macrophages of the gut </w:t>
      </w:r>
      <w:r>
        <w:fldChar w:fldCharType="begin"/>
      </w:r>
      <w:r w:rsidR="000A209C">
        <w:instrText xml:space="preserve"> ADDIN ZOTERO_ITEM CSL_CITATION {"citationID":"NVE1rnhG","properties":{"formattedCitation":"(104)","plainCitation":"(104)","noteIndex":0},"citationItems":[{"id":35,"uris":["http://zotero.org/users/952979/items/QCNLKHUP"],"uri":["http://zotero.org/users/952979/items/QCNLKHUP"],"itemData":{"id":35,"type":"article-journal","title":"Constant replenishment from circulating monocytes maintains the macrophage pool in the intestine of adult mice","container-title":"Nature Immunology","page":"929-937","volume":"15","issue":"10","source":"PubMed","abstract":"The paradigm that macrophages that reside in steady-state tissues are derived from embryonic precursors has never been investigated in the intestine, which contains the largest pool of macrophages. Using fate-mapping models and monocytopenic mice, together with bone marrow chimera and parabiotic models, we found that embryonic precursor cells seeded the intestinal mucosa and demonstrated extensive in situ proliferation during the neonatal period. However, these cells did not persist in the intestine of adult mice. Instead, they were replaced around the time of weaning by the chemokine receptor CCR2-dependent influx of Ly6C(hi) monocytes that differentiated locally into mature, anti-inflammatory macrophages. This process was driven largely by the microbiota and had to be continued throughout adult life to maintain a normal intestinal macrophage pool.","DOI":"10.1038/ni.2967","ISSN":"1529-2916","note":"PMID: 25151491\nPMCID: PMC4169290","journalAbbreviation":"Nat. Immunol.","language":"eng","author":[{"family":"Bain","given":"Calum C."},{"family":"Bravo-Blas","given":"Alberto"},{"family":"Scott","given":"Charlotte L."},{"family":"Perdiguero","given":"Elisa Gomez"},{"family":"Geissmann","given":"Frederic"},{"family":"Henri","given":"Sandrine"},{"family":"Malissen","given":"Bernard"},{"family":"Osborne","given":"Lisa C."},{"family":"Artis","given":"David"},{"family":"Mowat","given":"Allan McI"}],"issued":{"date-parts":[["2014",10]]}}}],"schema":"https://github.com/citation-style-language/schema/raw/master/csl-citation.json"} </w:instrText>
      </w:r>
      <w:r>
        <w:fldChar w:fldCharType="separate"/>
      </w:r>
      <w:r w:rsidR="004A1963" w:rsidRPr="004A1963">
        <w:rPr>
          <w:rFonts w:ascii="Calibri" w:hAnsi="Calibri"/>
        </w:rPr>
        <w:t>(104)</w:t>
      </w:r>
      <w:r>
        <w:fldChar w:fldCharType="end"/>
      </w:r>
      <w:r>
        <w:t xml:space="preserve">, heart </w:t>
      </w:r>
      <w:r>
        <w:fldChar w:fldCharType="begin"/>
      </w:r>
      <w:r w:rsidR="000A209C">
        <w:instrText xml:space="preserve"> ADDIN ZOTERO_ITEM CSL_CITATION {"citationID":"KJYqy6Ja","properties":{"formattedCitation":"(99)","plainCitation":"(99)","noteIndex":0},"citationItems":[{"id":1435,"uris":["http://zotero.org/users/952979/items/HA38A4W9"],"uri":["http://zotero.org/users/952979/items/HA38A4W9"],"itemData":{"id":1435,"type":"article-journal","title":"Embryonic and adult-derived resident cardiac macrophages are maintained through distinct mechanisms at steady state and during inflammation","container-title":"Immunity","page":"91-104","volume":"40","issue":"1","source":"PubMed","abstract":"Cardiac macrophages are crucial for tissue repair after cardiac injury but are not well characterized. Here we identify four populations of cardiac macrophages. At steady state, resident macrophages were primarily maintained through local proliferation. However, after macrophage depletion or during cardiac inflammation, Ly6c(hi) monocytes contributed to all four macrophage populations, whereas resident macrophages also expanded numerically through proliferation. Genetic fate mapping revealed that yolk-sac and fetal monocyte progenitors gave rise to the majority of cardiac macrophages, and the heart was among a minority of organs in which substantial numbers of yolk-sac macrophages persisted in adulthood. CCR2 expression and dependence distinguished cardiac macrophages of adult monocyte versus embryonic origin. Transcriptional and functional data revealed that monocyte-derived macrophages coordinate cardiac inflammation, while playing redundant but lesser roles in antigen sampling and efferocytosis. These data highlight the presence of multiple cardiac macrophage subsets, with different functions, origins, and strategies to regulate compartment size.","DOI":"10.1016/j.immuni.2013.11.019","ISSN":"1097-4180","note":"PMID: 24439267\nPMCID: PMC3923301","journalAbbreviation":"Immunity","language":"eng","author":[{"family":"Epelman","given":"Slava"},{"family":"Lavine","given":"Kory J."},{"family":"Beaudin","given":"Anna E."},{"family":"Sojka","given":"Dorothy K."},{"family":"Carrero","given":"Javier A."},{"family":"Calderon","given":"Boris"},{"family":"Brija","given":"Thaddeus"},{"family":"Gautier","given":"Emmanuel L."},{"family":"Ivanov","given":"Stoyan"},{"family":"Satpathy","given":"Ansuman T."},{"family":"Schilling","given":"Joel D."},{"family":"Schwendener","given":"Reto"},{"family":"Sergin","given":"Ismail"},{"family":"Razani","given":"Babak"},{"family":"Forsberg","given":"E. Camilla"},{"family":"Yokoyama","given":"Wayne M."},{"family":"Unanue","given":"Emil R."},{"family":"Colonna","given":"Marco"},{"family":"Randolph","given":"Gwendalyn J."},{"family":"Mann","given":"Douglas L."}],"issued":{"date-parts":[["2014",1,16]]}}}],"schema":"https://github.com/citation-style-language/schema/raw/master/csl-citation.json"} </w:instrText>
      </w:r>
      <w:r>
        <w:fldChar w:fldCharType="separate"/>
      </w:r>
      <w:r w:rsidR="004A1963" w:rsidRPr="004A1963">
        <w:rPr>
          <w:rFonts w:ascii="Calibri" w:hAnsi="Calibri"/>
        </w:rPr>
        <w:t>(99)</w:t>
      </w:r>
      <w:r>
        <w:fldChar w:fldCharType="end"/>
      </w:r>
      <w:r>
        <w:t xml:space="preserve"> and dermis </w:t>
      </w:r>
      <w:r>
        <w:fldChar w:fldCharType="begin"/>
      </w:r>
      <w:r w:rsidR="000A209C">
        <w:instrText xml:space="preserve"> ADDIN ZOTERO_ITEM CSL_CITATION {"citationID":"V33bVPk1","properties":{"formattedCitation":"(105)","plainCitation":"(105)","noteIndex":0},"citationItems":[{"id":33,"uris":["http://zotero.org/users/952979/items/2JPCLUR3"],"uri":["http://zotero.org/users/952979/items/2JPCLUR3"],"itemData":{"id":33,"type":"article-journal","title":"Origins and functional specialization of macrophages and of conventional and monocyte-derived dendritic cells in mouse skin","container-title":"Immunity","page":"925-938","volume":"39","issue":"5","source":"PubMed","abstract":"In the skin, the lack of markers permitting the unambiguous identification of macrophages and of conventional and monocyte-derived dendritic cells (DCs) complicates understanding of their contribution to skin integrity and to immune responses. By combining CD64 and CCR2 staining, we successfully identified each of these cell types and studied their origin, transcriptomic signatures, and migratory and T cell stimulatory properties. We also analyzed the impact of microbiota on their development and their contribution to skin inflammation during contact hypersensitivity. Dermal macrophages had a unique scavenging role and were unable to migrate and activate T cells. Conventional dermal DCs excelled both at migrating and activating T cells. In the steady-state dermis, monocyte-derived DCs are continuously generated by extravasated Ly-6C(hi) monocytes. Their T cell stimulatory capacity combined with their poor migratory ability made them particularly suited to activate skin-tropic T cells. Therefore, a high degree of functional specialization occurs among the mononuclear phagocytes of the skin.","DOI":"10.1016/j.immuni.2013.10.004","ISSN":"1097-4180","note":"PMID: 24184057","journalAbbreviation":"Immunity","language":"eng","author":[{"family":"Tamoutounour","given":"Samira"},{"family":"Guilliams","given":"Martin"},{"family":"Montanana Sanchis","given":"Frédéric"},{"family":"Liu","given":"Hong"},{"family":"Terhorst","given":"Dorothea"},{"family":"Malosse","given":"Camille"},{"family":"Pollet","given":"Emeline"},{"family":"Ardouin","given":"Laurence"},{"family":"Luche","given":"Hervé"},{"family":"Sanchez","given":"Cindy"},{"family":"Dalod","given":"Marc"},{"family":"Malissen","given":"Bernard"},{"family":"Henri","given":"Sandrine"}],"issued":{"date-parts":[["2013",11,14]]}}}],"schema":"https://github.com/citation-style-language/schema/raw/master/csl-citation.json"} </w:instrText>
      </w:r>
      <w:r>
        <w:fldChar w:fldCharType="separate"/>
      </w:r>
      <w:r w:rsidR="004A1963" w:rsidRPr="004A1963">
        <w:rPr>
          <w:rFonts w:ascii="Calibri" w:hAnsi="Calibri"/>
        </w:rPr>
        <w:t>(105)</w:t>
      </w:r>
      <w:r>
        <w:fldChar w:fldCharType="end"/>
      </w:r>
      <w:r>
        <w:t xml:space="preserve">.  Most tissue resident macrophages appear derived from embryonic monocytes with a small number arising from yolk sac precursors </w:t>
      </w:r>
      <w:r>
        <w:fldChar w:fldCharType="begin"/>
      </w:r>
      <w:r w:rsidR="000A209C">
        <w:instrText xml:space="preserve"> ADDIN ZOTERO_ITEM CSL_CITATION {"citationID":"mAS8H0Vz","properties":{"formattedCitation":"(106)","plainCitation":"(106)","noteIndex":0},"citationItems":[{"id":31,"uris":["http://zotero.org/users/952979/items/HFIA9KSQ"],"uri":["http://zotero.org/users/952979/items/HFIA9KSQ"],"itemData":{"id":31,"type":"article-journal","title":"C-Myb(+) erythro-myeloid progenitor-derived fetal monocytes give rise to adult tissue-resident macrophages","container-title":"Immunity","page":"665-678","volume":"42","issue":"4","source":"PubMed","abstract":"Although classified as hematopoietic cells, tissue-resident macrophages (MFs) arise from embryonic precursors that seed the tissues prior to birth to generate a self-renewing population, which is maintained independently of adult hematopoiesis. Here we reveal the identity of these embryonic precursors using an in utero MF-depletion strategy and fate-mapping of yolk sac (YS) and fetal liver (FL) hematopoiesis. We show that YS MFs are the main precursors of microglia, while most other MFs derive from fetal monocytes (MOs). Both YS MFs and fetal MOs arise from erythro-myeloid progenitors (EMPs) generated in the YS. In the YS, EMPs gave rise to MFs without monocytic intermediates, while EMP seeding the FL upon the establishment of blood circulation acquired c-Myb expression and gave rise to fetal MOs that then seeded embryonic tissues and differentiated into MFs. Thus, adult tissue-resident MFs established from hematopoietic stem cell-independent embryonic precursors arise from two distinct developmental programs.","DOI":"10.1016/j.immuni.2015.03.011","ISSN":"1097-4180","note":"PMID: 25902481\nPMCID: PMC4545768","journalAbbreviation":"Immunity","language":"eng","author":[{"family":"Hoeffel","given":"Guillaume"},{"family":"Chen","given":"Jinmiao"},{"family":"Lavin","given":"Yonit"},{"family":"Low","given":"Donovan"},{"family":"Almeida","given":"Francisca F."},{"family":"See","given":"Peter"},{"family":"Beaudin","given":"Anna E."},{"family":"Lum","given":"Josephine"},{"family":"Low","given":"Ivy"},{"family":"Forsberg","given":"E. Camilla"},{"family":"Poidinger","given":"Michael"},{"family":"Zolezzi","given":"Francesca"},{"family":"Larbi","given":"Anis"},{"family":"Ng","given":"Lai Guan"},{"family":"Chan","given":"Jerry K. Y."},{"family":"Greter","given":"Melanie"},{"family":"Becher","given":"Burkhard"},{"family":"Samokhvalov","given":"Igor M."},{"family":"Merad","given":"Miriam"},{"family":"Ginhoux","given":"Florent"}],"issued":{"date-parts":[["2015",4,21]]}}}],"schema":"https://github.com/citation-style-language/schema/raw/master/csl-citation.json"} </w:instrText>
      </w:r>
      <w:r>
        <w:fldChar w:fldCharType="separate"/>
      </w:r>
      <w:r w:rsidR="004A1963" w:rsidRPr="004A1963">
        <w:rPr>
          <w:rFonts w:ascii="Calibri" w:hAnsi="Calibri"/>
        </w:rPr>
        <w:t>(106)</w:t>
      </w:r>
      <w:r>
        <w:fldChar w:fldCharType="end"/>
      </w:r>
      <w:r>
        <w:t xml:space="preserve">. For example, microglia have been shown to be exclusively derived from yolk sac progenitors, as shown by </w:t>
      </w:r>
      <w:r>
        <w:rPr>
          <w:i/>
        </w:rPr>
        <w:t>in vivo</w:t>
      </w:r>
      <w:r>
        <w:t xml:space="preserve"> lineage tracing </w:t>
      </w:r>
      <w:r>
        <w:fldChar w:fldCharType="begin"/>
      </w:r>
      <w:r w:rsidR="000A209C">
        <w:instrText xml:space="preserve"> ADDIN ZOTERO_ITEM CSL_CITATION {"citationID":"osVunMkG","properties":{"formattedCitation":"(101)","plainCitation":"(101)","noteIndex":0},"citationItems":[{"id":1434,"uris":["http://zotero.org/users/952979/items/V238IIIQ"],"uri":["http://zotero.org/users/952979/items/V238IIIQ"],"itemData":{"id":1434,"type":"article-journal","title":"Fate Mapping Analysis Reveals That Adult Microglia Derive from Primitive Macrophages","container-title":"Science (New York, N.Y.)","page":"841-845","volume":"330","issue":"6005","source":"PubMed Central","abstract":"Microglia are the resident macrophages of the central nervous system and are associated with the pathogenesis of many neurodegenerative and brain inflammatory diseases; however, the origin of adult microglia remains controversial. We show that postnatal hematopoietic progenitors do not significantly contribute to microglia homeostasis in the adult brain. In contrast to many macrophage populations, we show that microglia develop in mice that lack colony stimulating factor-1 (CSF-1) but are absent in CSF-1 receptor–deficient mice. In vivo lineage tracing studies established that adult microglia derive from primitive myeloid progenitors that arise before embryonic day 8. These results identify microglia as an ontogenically distinct population in the mononuclear phagocyte system and have implications for the use of embryonically derived microglial progenitors for the treatment of various brain disorders.","DOI":"10.1126/science.1194637","ISSN":"0036-8075","note":"PMID: 20966214\nPMCID: PMC3719181","journalAbbreviation":"Science","author":[{"family":"Ginhoux","given":"Florent"},{"family":"Greter","given":"Melanie"},{"family":"Leboeuf","given":"Marylene"},{"family":"Nandi","given":"Sayan"},{"family":"See","given":"Peter"},{"family":"Gokhan","given":"Solen"},{"family":"Mehler","given":"Mark F."},{"family":"Conway","given":"Simon J."},{"family":"Ng","given":"Lai Guan"},{"family":"Stanley","given":"E. Richard"},{"family":"Samokhvalov","given":"Igor M."},{"family":"Merad","given":"Miriam"}],"issued":{"date-parts":[["2010",11,5]]}}}],"schema":"https://github.com/citation-style-language/schema/raw/master/csl-citation.json"} </w:instrText>
      </w:r>
      <w:r>
        <w:fldChar w:fldCharType="separate"/>
      </w:r>
      <w:r w:rsidR="004A1963" w:rsidRPr="004A1963">
        <w:rPr>
          <w:rFonts w:ascii="Calibri" w:hAnsi="Calibri"/>
        </w:rPr>
        <w:t>(101)</w:t>
      </w:r>
      <w:r>
        <w:fldChar w:fldCharType="end"/>
      </w:r>
      <w:r>
        <w:t xml:space="preserve">. Circulating monocytes were found to minimally contribute to the alveolar macrophage pool, as shown with BrdU labelling, with primitive, embryonic-derived macrophages representing the major tissue resident pool in adults </w:t>
      </w:r>
      <w:r>
        <w:fldChar w:fldCharType="begin"/>
      </w:r>
      <w:r w:rsidR="000A209C">
        <w:instrText xml:space="preserve"> ADDIN ZOTERO_ITEM CSL_CITATION {"citationID":"LOFI1cFJ","properties":{"formattedCitation":"(100)","plainCitation":"(100)","noteIndex":0},"citationItems":[{"id":1432,"uris":["http://zotero.org/users/952979/items/2MDSQCUN"],"uri":["http://zotero.org/users/952979/items/2MDSQCUN"],"itemData":{"id":1432,"type":"article-journal","title":"Alveolar macrophages develop from fetal monocytes that differentiate into long-lived cells in the first week of life via GM-CSF","container-title":"The Journal of Experimental Medicine","page":"1977-1992","volume":"210","issue":"10","source":"PubMed Central","abstract":"Alveolar macrophages differentiate from fetal monocytes in a GM-CSF–dependent fashion and colonize the alveolar space within a few days after birth., Tissue-resident macrophages can develop from circulating adult monocytes or from primitive yolk sac–derived macrophages. The precise ontogeny of alveolar macrophages (AMFs) is unknown. By performing BrdU labeling and parabiosis experiments in adult mice, we found that circulating monocytes contributed minimally to the steady-state AMF pool. Mature AMFs were undetectable before birth and only fully colonized the alveolar space by 3 d after birth. Before birth, F4/80hiCD11blo primitive macrophages and Ly6ChiCD11bhi fetal monocytes sequentially colonized the developing lung around E12.5 and E16.5, respectively. The first signs of AMF differentiation appeared around the saccular stage of lung development (E18.5). Adoptive transfer identified fetal monocytes, and not primitive macrophages, as the main precursors of AMFs. Fetal monocytes transferred to the lung of neonatal mice acquired an AMF phenotype via defined developmental stages over the course of one week, and persisted for at least three months. Early AMF commitment from fetal monocytes was absent in GM-CSF–deficient mice, whereas short-term perinatal intrapulmonary GM-CSF therapy rescued AMF development for weeks, although the resulting AMFs displayed an immature phenotype. This demonstrates that tissue-resident macrophages can also develop from fetal monocytes that adopt a stable phenotype shortly after birth in response to instructive cytokines, and then self-maintain throughout life.","DOI":"10.1084/jem.20131199","ISSN":"0022-1007","note":"PMID: 24043763\nPMCID: PMC3782041","journalAbbreviation":"J Exp Med","author":[{"family":"Guilliams","given":"Martin"},{"family":"De Kleer","given":"Ismé"},{"family":"Henri","given":"Sandrine"},{"family":"Post","given":"Sijranke"},{"family":"Vanhoutte","given":"Leen"},{"family":"De Prijck","given":"Sofie"},{"family":"Deswarte","given":"Kim"},{"family":"Malissen","given":"Bernard"},{"family":"Hammad","given":"Hamida"},{"family":"Lambrecht","given":"Bart N."}],"issued":{"date-parts":[["2013",9,23]]}}}],"schema":"https://github.com/citation-style-language/schema/raw/master/csl-citation.json"} </w:instrText>
      </w:r>
      <w:r>
        <w:fldChar w:fldCharType="separate"/>
      </w:r>
      <w:r w:rsidR="004A1963" w:rsidRPr="004A1963">
        <w:rPr>
          <w:rFonts w:ascii="Calibri" w:hAnsi="Calibri"/>
        </w:rPr>
        <w:t>(100)</w:t>
      </w:r>
      <w:r>
        <w:fldChar w:fldCharType="end"/>
      </w:r>
      <w:r>
        <w:t xml:space="preserve">. A large fate mapping study demonstrated that Kupffer cells, lung alveolar, peritoneal and splenic macrophages are established by embryonic macrophages that maintain themselves through self-renewal in adulthood </w:t>
      </w:r>
      <w:r>
        <w:fldChar w:fldCharType="begin"/>
      </w:r>
      <w:r w:rsidR="000A209C">
        <w:instrText xml:space="preserve"> ADDIN ZOTERO_ITEM CSL_CITATION {"citationID":"Qno6KgrE","properties":{"formattedCitation":"(10)","plainCitation":"(10)","noteIndex":0},"citationItems":[{"id":32,"uris":["http://zotero.org/users/952979/items/99NC5UPT"],"uri":["http://zotero.org/users/952979/items/99NC5UPT"],"itemData":{"id":32,"type":"article-journal","title":"Fate mapping reveals origins and dynamics of monocytes and tissue macrophages under homeostasis","container-title":"Immunity","page":"79-91","volume":"38","issue":"1","source":"PubMed","abstract":"Mononuclear phagocytes, including monocytes, macrophages, and dendritic cells, contribute to tissue integrity as well as to innate and adaptive immune defense. Emerging evidence for labor division indicates that manipulation of these cells could bear therapeutic potential. However, specific ontogenies of individual populations and the overall functional organization of this cellular network are not well defined. Here we report a fate-mapping study of the murine monocyte and macrophage compartment taking advantage of constitutive and conditional CX(3)CR1 promoter-driven Cre recombinase expression. We have demonstrated that major tissue-resident macrophage populations, including liver Kupffer cells and lung alveolar, splenic, and peritoneal macrophages, are established prior to birth and maintain themselves subsequently during adulthood independent of replenishment by blood monocytes. Furthermore, we have established that short-lived Ly6C(+) monocytes constitute obligatory steady-state precursors of blood-resident Ly6C(-) cells and that the abundance of Ly6C(+) blood monocytes dynamically controls the circulation lifespan of their progeny.","DOI":"10.1016/j.immuni.2012.12.001","ISSN":"1097-4180","note":"PMID: 23273845\nPMCID: PMC3908543","journalAbbreviation":"Immunity","language":"eng","author":[{"family":"Yona","given":"Simon"},{"family":"Kim","given":"Ki-Wook"},{"family":"Wolf","given":"Yochai"},{"family":"Mildner","given":"Alexander"},{"family":"Varol","given":"Diana"},{"family":"Breker","given":"Michal"},{"family":"Strauss-Ayali","given":"Dalit"},{"family":"Viukov","given":"Sergey"},{"family":"Guilliams","given":"Martin"},{"family":"Misharin","given":"Alexander"},{"family":"Hume","given":"David A."},{"family":"Perlman","given":"Harris"},{"family":"Malissen","given":"Bernard"},{"family":"Zelzer","given":"Elazar"},{"family":"Jung","given":"Steffen"}],"issued":{"date-parts":[["2013",1,24]]}}}],"schema":"https://github.com/citation-style-language/schema/raw/master/csl-citation.json"} </w:instrText>
      </w:r>
      <w:r>
        <w:fldChar w:fldCharType="separate"/>
      </w:r>
      <w:r w:rsidR="00A53A6B" w:rsidRPr="00A53A6B">
        <w:rPr>
          <w:rFonts w:ascii="Calibri" w:hAnsi="Calibri"/>
        </w:rPr>
        <w:t>(10)</w:t>
      </w:r>
      <w:r>
        <w:fldChar w:fldCharType="end"/>
      </w:r>
      <w:r>
        <w:t xml:space="preserve">. This study is supported by another group who additionally found that Langerhans cells and microglia are also derived from embryonic macrophages </w:t>
      </w:r>
      <w:r>
        <w:fldChar w:fldCharType="begin"/>
      </w:r>
      <w:r w:rsidR="000A209C">
        <w:instrText xml:space="preserve"> ADDIN ZOTERO_ITEM CSL_CITATION {"citationID":"1LDUPO4p","properties":{"formattedCitation":"(9)","plainCitation":"(9)","noteIndex":0},"citationItems":[{"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F.","non-dropping-particle":"de"},{"family":"Geissmann","given":"Frederic"},{"family":"Rodewald","given":"Hans-Reimer"}],"issued":{"date-parts":[["2015",2,26]]}}}],"schema":"https://github.com/citation-style-language/schema/raw/master/csl-citation.json"} </w:instrText>
      </w:r>
      <w:r>
        <w:fldChar w:fldCharType="separate"/>
      </w:r>
      <w:r w:rsidR="00A53A6B" w:rsidRPr="00A53A6B">
        <w:rPr>
          <w:rFonts w:ascii="Calibri" w:hAnsi="Calibri"/>
        </w:rPr>
        <w:t>(9)</w:t>
      </w:r>
      <w:r>
        <w:fldChar w:fldCharType="end"/>
      </w:r>
      <w:r>
        <w:t xml:space="preserve">. It remains to be seen if and how these different origins of macrophages affect immune responses. However, a study investigating the nervous system demonstrated that monocyte-derived glia increase demyelination whereas resident glia clear debris, suggesting that monocyte-derived macrophages may be more pro-inflammatory than </w:t>
      </w:r>
      <w:r>
        <w:lastRenderedPageBreak/>
        <w:t xml:space="preserve">yolk sac-derived macrophages </w:t>
      </w:r>
      <w:r>
        <w:fldChar w:fldCharType="begin"/>
      </w:r>
      <w:r w:rsidR="000A209C">
        <w:instrText xml:space="preserve"> ADDIN ZOTERO_ITEM CSL_CITATION {"citationID":"FF6YV7fm","properties":{"formattedCitation":"(107)","plainCitation":"(107)","noteIndex":0},"citationItems":[{"id":22,"uris":["http://zotero.org/users/952979/items/ZKTDBMWD"],"uri":["http://zotero.org/users/952979/items/ZKTDBMWD"],"itemData":{"id":22,"type":"article-journal","title":"Differential roles of microglia and monocytes in the inflamed central nervous system","container-title":"Journal of Experimental Medicine","page":"1533-1549","volume":"211","issue":"8","source":"jem.rupress.org.sheffield.idm.oclc.org","abstract":"In the human disorder multiple sclerosis (MS) and in the model experimental autoimmune encephalomyelitis (EAE), macrophages predominate in demyelinated areas and their numbers correlate to tissue damage. Macrophages may be derived from infiltrating monocytes or resident microglia, yet are indistinguishable by light microscopy and surface phenotype. It is axiomatic that T cell–mediated macrophage activation is critical for inflammatory demyelination in EAE, yet the precise details by which tissue injury takes place remain poorly understood. In the present study, we addressed the cellular basis of autoimmune demyelination by discriminating microglial versus monocyte origins of effector macrophages. Using serial block-face scanning electron microscopy (SBF-SEM), we show that monocyte-derived macrophages associate with nodes of Ranvier and initiate demyelination, whereas microglia appear to clear debris. Gene expression profiles confirm that monocyte-derived macrophages are highly phagocytic and inflammatory, whereas those arising from microglia demonstrate an unexpected signature of globally suppressed cellular metabolism at disease onset. Distinguishing tissue-resident macrophages from infiltrating monocytes will point toward new strategies to treat disease and promote repair in diverse inflammatory pathologies in varied organs.","DOI":"10.1084/jem.20132477","ISSN":"0022-1007, 1540-9538","note":"PMID: 25002752","language":"en","author":[{"family":"Yamasaki","given":"Ryo"},{"family":"Lu","given":"Haiyan"},{"family":"Butovsky","given":"Oleg"},{"family":"Ohno","given":"Nobuhiko"},{"family":"Rietsch","given":"Anna M."},{"family":"Cialic","given":"Ron"},{"family":"Wu","given":"Pauline M."},{"family":"Doykan","given":"Camille E."},{"family":"Lin","given":"Jessica"},{"family":"Cotleur","given":"Anne C."},{"family":"Kidd","given":"Grahame"},{"family":"Zorlu","given":"Musab M."},{"family":"Sun","given":"Nathan"},{"family":"Hu","given":"Weiwei"},{"family":"Liu","given":"LiPing"},{"family":"Lee","given":"Jar-Chi"},{"family":"Taylor","given":"Sarah E."},{"family":"Uehlein","given":"Lindsey"},{"family":"Dixon","given":"Debra"},{"family":"Gu","given":"Jinyu"},{"family":"Floruta","given":"Crina M."},{"family":"Zhu","given":"Min"},{"family":"Charo","given":"Israel F."},{"family":"Weiner","given":"Howard L."},{"family":"Ransohoff","given":"Richard M."}],"issued":{"date-parts":[["2014",7,28]]}}}],"schema":"https://github.com/citation-style-language/schema/raw/master/csl-citation.json"} </w:instrText>
      </w:r>
      <w:r>
        <w:fldChar w:fldCharType="separate"/>
      </w:r>
      <w:r w:rsidR="004A1963" w:rsidRPr="004A1963">
        <w:rPr>
          <w:rFonts w:ascii="Calibri" w:hAnsi="Calibri"/>
        </w:rPr>
        <w:t>(107)</w:t>
      </w:r>
      <w:r>
        <w:fldChar w:fldCharType="end"/>
      </w:r>
      <w:r>
        <w:t xml:space="preserve">. Additionally, the ontogeny of heart macrophages appears to have differing effects on remodelling and systolic function </w:t>
      </w:r>
      <w:r>
        <w:fldChar w:fldCharType="begin"/>
      </w:r>
      <w:r w:rsidR="000A209C">
        <w:instrText xml:space="preserve"> ADDIN ZOTERO_ITEM CSL_CITATION {"citationID":"1aj0MqtC","properties":{"formattedCitation":"(108)","plainCitation":"(108)","noteIndex":0},"citationItems":[{"id":1877,"uris":["http://zotero.org/users/952979/items/W2LQ989H"],"uri":["http://zotero.org/users/952979/items/W2LQ989H"],"itemData":{"id":1877,"type":"article-journal","title":"The human heart contains distinct macrophage subsets with divergent origins and functions","container-title":"Nature Medicine","page":"1234","volume":"24","issue":"8","source":"www-nature-com.sheffield.idm.oclc.org","abstract":"Study of macrophage heterogeneity in human hearts reveals a subset of inflammatory macrophages that is associated with cardiac dysfunction in patients with heart failure.","DOI":"10.1038/s41591-018-0059-x","ISSN":"1546-170X","language":"En","author":[{"family":"Bajpai","given":"Geetika"},{"family":"Schneider","given":"Caralin"},{"family":"Wong","given":"Nicole"},{"family":"Bredemeyer","given":"Andrea"},{"family":"Hulsmans","given":"Maarten"},{"family":"Nahrendorf","given":"Matthias"},{"family":"Epelman","given":"Slava"},{"family":"Kreisel","given":"Daniel"},{"family":"Liu","given":"Yongjian"},{"family":"Itoh","given":"Akinobu"},{"family":"Shankar","given":"Thirupura S."},{"family":"Selzman","given":"Craig H."},{"family":"Drakos","given":"Stavros G."},{"family":"Lavine","given":"Kory J."}],"issued":{"date-parts":[["2018",8]]}}}],"schema":"https://github.com/citation-style-language/schema/raw/master/csl-citation.json"} </w:instrText>
      </w:r>
      <w:r>
        <w:fldChar w:fldCharType="separate"/>
      </w:r>
      <w:r w:rsidR="004A1963" w:rsidRPr="004A1963">
        <w:rPr>
          <w:rFonts w:ascii="Calibri" w:hAnsi="Calibri"/>
        </w:rPr>
        <w:t>(108)</w:t>
      </w:r>
      <w:r>
        <w:fldChar w:fldCharType="end"/>
      </w:r>
      <w:r>
        <w:t xml:space="preserve">. </w:t>
      </w:r>
    </w:p>
    <w:p w14:paraId="2EB8E429" w14:textId="77777777" w:rsidR="001D1AB8" w:rsidRDefault="001D1AB8" w:rsidP="006A45E9">
      <w:pPr>
        <w:pStyle w:val="Thesisnormal"/>
      </w:pPr>
    </w:p>
    <w:p w14:paraId="0615C301" w14:textId="0D9759F2" w:rsidR="001D1AB8" w:rsidRDefault="001D1AB8" w:rsidP="001D1AB8">
      <w:pPr>
        <w:pStyle w:val="Thesisnormal"/>
      </w:pPr>
      <w:r>
        <w:t xml:space="preserve">Further evidence for the multidimensional model of macrophage activation comes from the impact of the local tissue on tissue resident macrophages </w:t>
      </w:r>
      <w:r>
        <w:fldChar w:fldCharType="begin"/>
      </w:r>
      <w:r w:rsidR="000A209C">
        <w:instrText xml:space="preserve"> ADDIN ZOTERO_ITEM CSL_CITATION {"citationID":"brDrKp7d","properties":{"formattedCitation":"(109\\uc0\\u8211{}112)","plainCitation":"(109–112)","noteIndex":0},"citationItems":[{"id":1669,"uris":["http://zotero.org/users/952979/items/RXQM7F4A"],"uri":["http://zotero.org/users/952979/items/RXQM7F4A"],"itemData":{"id":1669,"type":"article-journal","title":"The role of the local environment and epigenetics in shaping macrophage identity and their effect on tissue homeostasis","container-title":"Nature Immunology","page":"18-25","volume":"17","issue":"1","source":"www.nature.com","abstract":"Macrophages provide a critical systemic network cells of the innate immune system. Emerging data suggest that in addition, they have important tissue-specific functions that range from clearance of surfactant from the lungs to neuronal pruning and establishment of gut homeostasis. The differentiation and tissue-specific activation of macrophages require precise regulation of gene expression, a process governed by epigenetic mechanisms such as DNA methylation, histone modification and chromatin structure. We argue that epigenetic regulation of macrophages is determined by lineage- and tissue-specific transcription factors controlled by the built-in programming of myeloid development in combination with signaling from the tissue environment. Perturbation of epigenetic mechanisms of tissue macrophage identity can affect normal macrophage tissue function and contribute to pathologies ranging from obesity and autoimmunity to neurodegenerative diseases.","DOI":"10.1038/ni.3325","ISSN":"1529-2916","language":"en","author":[{"family":"Amit","given":"Ido"},{"family":"Winter","given":"Deborah R."},{"family":"Jung","given":"Steffen"}],"issued":{"date-parts":[["2016",1]]}}},{"id":15,"uris":["http://zotero.org/users/952979/items/QKNHSE5R"],"uri":["http://zotero.org/users/952979/items/QKNHSE5R"],"itemData":{"id":15,"type":"article-journal","title":"Barrier-tissue macrophages: functional adaptation to environmental challenges","container-title":"Nature Medicine","page":"1258-1270","volume":"23","issue":"11","source":"www-nature-com.sheffield.idm.oclc.org","abstract":"Macrophages are found throughout the body, where they have crucial roles in tissue development, homeostasis and remodeling, as well as being sentinels of the innate immune system that can contribute to protective immunity and inflammation. Barrier tissues, such as the intestine, lung, skin and liver, are exposed constantly to the outside world, which places special demands on resident cell populations such as macrophages. Here we review the mounting evidence that although macrophages in different barrier tissues may be derived from distinct progenitors, their highly specific properties are shaped by the local environment, which allows them to adapt precisely to the needs of their anatomical niche. We discuss the properties of macrophages in steady-state barrier tissues, outline the factors that shape their differentiation and behavior and describe how macrophages change during protective immunity and inflammation.","DOI":"10.1038/nm.4430","ISSN":"1546-170X","shortTitle":"Barrier-tissue macrophages","language":"en","author":[{"family":"Mowat","given":"Allan McI"},{"family":"Scott","given":"Charlotte L."},{"family":"Bain","given":"Calum C."}],"issued":{"date-parts":[["2017",11]]}}},{"id":14,"uris":["http://zotero.org/users/952979/items/9DH4XC6G"],"uri":["http://zotero.org/users/952979/items/9DH4XC6G"],"itemData":{"id":14,"type":"article-journal","title":"Innate Immune Functions of Macrophages in Different Tissue Environments","container-title":"Journal of Innate Immunity","page":"409-410","volume":"4","issue":"5-6","source":"www.karger.com","DOI":"10.1159/000339280","ISSN":"1662-811X, 1662-8128","note":"PMID: 22699934","journalAbbreviation":"JIN","language":"english","author":[{"family":"Gordon","given":"Siamon"}],"issued":{"date-parts":[["2012"]]}}},{"id":1835,"uris":["http://zotero.org/users/952979/items/J6RWPEX7"],"uri":["http://zotero.org/users/952979/items/J6RWPEX7"],"itemData":{"id":1835,"type":"article-journal","title":"Development and function of tissue resident macrophages in mice","container-title":"Seminars in Immunology","page":"369-378","volume":"27","issue":"6","source":"PubMed","abstract":"Macrophages are important for tissue development, homeostasis as well as immune response upon injury or infection. For a long time they were only seen as one uniform group of phagocytes with a common origin and similar functions. However, this view has been challenged in the last decade and revealed a complex diversity of tissue resident macrophages. Here, we want to present the current view on macrophage development and tissue specification and we will discuss differences as well as common patterns between heterogeneous macrophage subpopulations.","DOI":"10.1016/j.smim.2016.03.017","ISSN":"1096-3618","note":"PMID: 27036090\nPMCID: PMC4948121","journalAbbreviation":"Semin. Immunol.","language":"eng","author":[{"family":"Kierdorf","given":"Katrin"},{"family":"Prinz","given":"Marco"},{"family":"Geissmann","given":"Frederic"},{"family":"Gomez Perdiguero","given":"Elisa"}],"issued":{"date-parts":[["2015"]]}}}],"schema":"https://github.com/citation-style-language/schema/raw/master/csl-citation.json"} </w:instrText>
      </w:r>
      <w:r>
        <w:fldChar w:fldCharType="separate"/>
      </w:r>
      <w:r w:rsidR="004A1963" w:rsidRPr="004A1963">
        <w:rPr>
          <w:rFonts w:ascii="Calibri" w:hAnsi="Calibri" w:cs="Times New Roman"/>
        </w:rPr>
        <w:t>(109–112)</w:t>
      </w:r>
      <w:r>
        <w:fldChar w:fldCharType="end"/>
      </w:r>
      <w:r>
        <w:t xml:space="preserve">. Experiments utilising RNAseq, ChiP-seq and ATAC-seq approaches investigated epigenetic imprinting of tissue-resident macrophages in specific local environments. These studies found that each tissue had a unique expression profile, controlled by enhancers that respond to tissue-specific signals </w:t>
      </w:r>
      <w:r>
        <w:fldChar w:fldCharType="begin"/>
      </w:r>
      <w:r w:rsidR="000A209C">
        <w:instrText xml:space="preserve"> ADDIN ZOTERO_ITEM CSL_CITATION {"citationID":"H63Dblq9","properties":{"formattedCitation":"(113,114)","plainCitation":"(113,114)","noteIndex":0},"citationItems":[{"id":1675,"uris":["http://zotero.org/users/952979/items/BSPBKZ6Q"],"uri":["http://zotero.org/users/952979/items/BSPBKZ6Q"],"itemData":{"id":1675,"type":"article-journal","title":"Environment drives selection and function of enhancers controlling tissue-specific macrophage identities","container-title":"Cell","page":"1327-1340","volume":"159","issue":"6","source":"PubMed Central","abstract":"Macrophages reside in essentially all tissues of the body and play key roles in innate and adaptive immune responses. Distinct populations of tissue macrophages also acquire context-specific functions that are important for normal tissue homeostasis. To investigate mechanisms responsible for tissue-specific functions, we analyzed the transcriptomes and enhancer landscapes of brain microglia and resident macrophages of the peritoneal cavity. In addition, we exploited natural genetic variation as a genome-wide ‘mutagenesis’ strategy to identify DNA recognition motifs for transcription factors that promote common or subset-specific binding of the macrophage lineage-determining factor PU.1. We find that distinct tissue environments drive divergent programs of gene expression by differentially activating a common enhancer repertoire and by inducing the expression of divergent secondary transcription factors that collaborate with PU.1 to establish tissue–specific enhancers. These findings provide insights into molecular mechanisms by which tissue environment influences macrophage phenotypes that are likely to be broadly applicable to other cell types.","DOI":"10.1016/j.cell.2014.11.023","ISSN":"0092-8674","note":"PMID: 25480297\nPMCID: PMC4364385","journalAbbreviation":"Cell","author":[{"family":"Gosselin","given":"David"},{"family":"Link","given":"Verena"},{"family":"Romanoski","given":"Casey E."},{"family":"Fonseca","given":"Gregory J."},{"family":"Eichenfield","given":"Dawn Z."},{"family":"Spann","given":"Nathaneal J."},{"family":"Stender","given":"Joshua D."},{"family":"Chun","given":"Hyun B."},{"family":"Garner","given":"Hannah"},{"family":"Geissmann","given":"Frederic"},{"family":"Glass","given":"Christopher K."}],"issued":{"date-parts":[["2014",12,4]]}}},{"id":1666,"uris":["http://zotero.org/users/952979/items/9SD59CXZ"],"uri":["http://zotero.org/users/952979/items/9SD59CXZ"],"itemData":{"id":1666,"type":"article-journal","title":"Tissue-resident macrophage enhancer landscapes are shaped by the local microenvironment","container-title":"Cell","page":"1312-1326","volume":"159","issue":"6","source":"PubMed","abstract":"Macrophages are critical for innate immune defense and also control organ homeostasis in a tissue-specific manner. They provide a fitting model to study the impact of ontogeny and microenvironment on chromatin state and whether chromatin modifications contribute to macrophage identity. Here, we profile the dynamics of four histone modifications across seven tissue-resident macrophage populations. We identify 12,743 macrophage-specific enhancers and establish that tissue-resident macrophages have distinct enhancer landscapes beyond what can be explained by developmental origin. Combining our enhancer catalog with gene expression profiles and open chromatin regions, we show that a combination of tissue- and lineage-specific transcription factors form the regulatory networks controlling chromatin specification in tissue-resident macrophages. The environment is capable of shaping the chromatin landscape of transplanted bone marrow precursors, and even differentiated macrophages can be reprogrammed when transferred into a new microenvironment. These results provide a comprehensive view of macrophage regulatory landscape and highlight the importance of the microenvironment, along with pioneer factors in orchestrating identity and plasticity.","DOI":"10.1016/j.cell.2014.11.018","ISSN":"1097-4172","note":"PMID: 25480296\nPMCID: PMC4437213","journalAbbreviation":"Cell","language":"eng","author":[{"family":"Lavin","given":"Yonit"},{"family":"Winter","given":"Deborah"},{"family":"Blecher-Gonen","given":"Ronnie"},{"family":"David","given":"Eyal"},{"family":"Keren-Shaul","given":"Hadas"},{"family":"Merad","given":"Miriam"},{"family":"Jung","given":"Steffen"},{"family":"Amit","given":"Ido"}],"issued":{"date-parts":[["2014",12,4]]}}}],"schema":"https://github.com/citation-style-language/schema/raw/master/csl-citation.json"} </w:instrText>
      </w:r>
      <w:r>
        <w:fldChar w:fldCharType="separate"/>
      </w:r>
      <w:r w:rsidR="004A1963" w:rsidRPr="004A1963">
        <w:rPr>
          <w:rFonts w:ascii="Calibri" w:hAnsi="Calibri"/>
        </w:rPr>
        <w:t>(113,114)</w:t>
      </w:r>
      <w:r>
        <w:fldChar w:fldCharType="end"/>
      </w:r>
      <w:r>
        <w:t xml:space="preserve">. Microglia represent perhaps the most distinct tissue-resident macrophage population </w:t>
      </w:r>
      <w:r>
        <w:fldChar w:fldCharType="begin"/>
      </w:r>
      <w:r w:rsidR="000A209C">
        <w:instrText xml:space="preserve"> ADDIN ZOTERO_ITEM CSL_CITATION {"citationID":"BoBWmgWJ","properties":{"formattedCitation":"(113,115)","plainCitation":"(113,115)","noteIndex":0},"citationItems":[{"id":1675,"uris":["http://zotero.org/users/952979/items/BSPBKZ6Q"],"uri":["http://zotero.org/users/952979/items/BSPBKZ6Q"],"itemData":{"id":1675,"type":"article-journal","title":"Environment drives selection and function of enhancers controlling tissue-specific macrophage identities","container-title":"Cell","page":"1327-1340","volume":"159","issue":"6","source":"PubMed Central","abstract":"Macrophages reside in essentially all tissues of the body and play key roles in innate and adaptive immune responses. Distinct populations of tissue macrophages also acquire context-specific functions that are important for normal tissue homeostasis. To investigate mechanisms responsible for tissue-specific functions, we analyzed the transcriptomes and enhancer landscapes of brain microglia and resident macrophages of the peritoneal cavity. In addition, we exploited natural genetic variation as a genome-wide ‘mutagenesis’ strategy to identify DNA recognition motifs for transcription factors that promote common or subset-specific binding of the macrophage lineage-determining factor PU.1. We find that distinct tissue environments drive divergent programs of gene expression by differentially activating a common enhancer repertoire and by inducing the expression of divergent secondary transcription factors that collaborate with PU.1 to establish tissue–specific enhancers. These findings provide insights into molecular mechanisms by which tissue environment influences macrophage phenotypes that are likely to be broadly applicable to other cell types.","DOI":"10.1016/j.cell.2014.11.023","ISSN":"0092-8674","note":"PMID: 25480297\nPMCID: PMC4364385","journalAbbreviation":"Cell","author":[{"family":"Gosselin","given":"David"},{"family":"Link","given":"Verena"},{"family":"Romanoski","given":"Casey E."},{"family":"Fonseca","given":"Gregory J."},{"family":"Eichenfield","given":"Dawn Z."},{"family":"Spann","given":"Nathaneal J."},{"family":"Stender","given":"Joshua D."},{"family":"Chun","given":"Hyun B."},{"family":"Garner","given":"Hannah"},{"family":"Geissmann","given":"Frederic"},{"family":"Glass","given":"Christopher K."}],"issued":{"date-parts":[["2014",12,4]]}}},{"id":18,"uris":["http://zotero.org/users/952979/items/FRVJ8AGX"],"uri":["http://zotero.org/users/952979/items/FRVJ8AGX"],"itemData":{"id":18,"type":"article-journal","title":"Brain-Resident Microglia and Blood-Borne Macrophages Orchestrate Central Nervous System Inflammation in Neurodegenerative Disorders and Brain Cancer","container-title":"Frontiers in Immunology","volume":"9","source":"Frontiers","abstract":"Inflammation is a hallmark of different central nervous system (CNS) pathologies. It has been linked to neurodegenerative disorders as well as primary and metastatic brain tumors. Microglia, the brain resident immune cells are emerging as a central player in regulating key pathways in CNS inflammation. Recent insights into neuro-inflammation indicate that blood-borne immune cells represent an additional critical cellular component in mediating CNS inflammation. The lack of experimental systems that allow for discrimination between brain resident and recruited myeloid cells has previously halted functional analysis of microglia and their blood-borne counterparts in brain malignancies. However, recent conceptual and technological advances, such as the generation of lineage tracing models and the identification of cell type-specific markers provide unprecedented opportunities to study the cellular functions of microglia and macrophages by functional interference. The use of different ‘omic’ strategies as well as imaging techniques has significantly increased our knowledge of disease-associated gene signatures and effector functions under pathological conditions. In this review, recent developments in evaluating functions of brain resident and recruited myeloid cells in neurodegenerative disorders and brain cancers will be discussed and unique or shared cellular traits of microglia and macrophages in different CNS disorders will be highlighted. Insight from these studies will shape our understanding of disease- and cell type-specific effector functions of microglia or macrophages and will open new avenues for therapeutic intervention that target aberrant functions of myeloid cells in CNS pathologies.","URL":"https://www.frontiersin.org/articles/10.3389/fimmu.2018.00697/full#B53","DOI":"10.3389/fimmu.2018.00697","ISSN":"1664-3224","journalAbbreviation":"Front. Immunol.","language":"English","author":[{"family":"Sevenich","given":"Lisa"}],"issued":{"date-parts":[["2018"]]},"accessed":{"date-parts":[["2019",1,14]]}}}],"schema":"https://github.com/citation-style-language/schema/raw/master/csl-citation.json"} </w:instrText>
      </w:r>
      <w:r>
        <w:fldChar w:fldCharType="separate"/>
      </w:r>
      <w:r w:rsidR="004A1963" w:rsidRPr="004A1963">
        <w:rPr>
          <w:rFonts w:ascii="Calibri" w:hAnsi="Calibri"/>
        </w:rPr>
        <w:t>(113,115)</w:t>
      </w:r>
      <w:r>
        <w:fldChar w:fldCharType="end"/>
      </w:r>
      <w:r>
        <w:t xml:space="preserve">. Moreover, functional responses of tissue-specific macrophages can differ depending upon the tissue imprinting, for example wound responses differ between lung and skin macrophages </w:t>
      </w:r>
      <w:r>
        <w:fldChar w:fldCharType="begin"/>
      </w:r>
      <w:r w:rsidR="000A209C">
        <w:instrText xml:space="preserve"> ADDIN ZOTERO_ITEM CSL_CITATION {"citationID":"YA04dEs3","properties":{"formattedCitation":"(116)","plainCitation":"(116)","noteIndex":0},"citationItems":[{"id":16,"uris":["http://zotero.org/users/952979/items/TJJCISZ9"],"uri":["http://zotero.org/users/952979/items/TJJCISZ9"],"itemData":{"id":16,"type":"article-journal","title":"Tissue-specific contribution of macrophages to wound healing","container-title":"Seminars in Cell &amp; Developmental Biology","collection-title":"Innate immune pathways in wound healing","page":"3-11","volume":"61","source":"ScienceDirect","abstract":"Macrophages are present in all tissues, either as resident cells or monocyte-derived cells that infiltrate into tissues. The tissue site largely determines the phenotype of tissue-resident cells, which help to maintain tissue homeostasis and act as sentinels of injury. Both tissue resident and recruited macrophages make a substantial contribution to wound healing following injury. In this review, we evaluate how macrophages in two fundamentally distinct tissues, i.e. the lung and the skin, differentially contribute to the process of wound healing. We highlight the commonalities of macrophage functions during repair and contrast them with distinct, tissue-specific functions that macrophages fulfill during the different stages of wound healing.","DOI":"10.1016/j.semcdb.2016.08.006","ISSN":"1084-9521","journalAbbreviation":"Seminars in Cell &amp; Developmental Biology","author":[{"family":"Minutti","given":"Carlos M."},{"family":"Knipper","given":"Johanna A."},{"family":"Allen","given":"Judith E."},{"family":"Zaiss","given":"Dietmar M. W."}],"issued":{"date-parts":[["2017",1,1]]}}}],"schema":"https://github.com/citation-style-language/schema/raw/master/csl-citation.json"} </w:instrText>
      </w:r>
      <w:r>
        <w:fldChar w:fldCharType="separate"/>
      </w:r>
      <w:r w:rsidR="004A1963" w:rsidRPr="004A1963">
        <w:rPr>
          <w:rFonts w:ascii="Calibri" w:hAnsi="Calibri"/>
        </w:rPr>
        <w:t>(116)</w:t>
      </w:r>
      <w:r>
        <w:fldChar w:fldCharType="end"/>
      </w:r>
      <w:r>
        <w:t xml:space="preserve">. Tissue resident macrophages do still share common markers distinct from circulating macrophages </w:t>
      </w:r>
      <w:r>
        <w:fldChar w:fldCharType="begin"/>
      </w:r>
      <w:r w:rsidR="000A209C">
        <w:instrText xml:space="preserve"> ADDIN ZOTERO_ITEM CSL_CITATION {"citationID":"n7f2giMe","properties":{"formattedCitation":"(117)","plainCitation":"(117)","noteIndex":0},"citationItems":[{"id":17,"uris":["http://zotero.org/users/952979/items/6DPMYQG5"],"uri":["http://zotero.org/users/952979/items/6DPMYQG5"],"itemData":{"id":17,"type":"article-journal","title":"Gene-expression profiles and transcriptional regulatory pathways that underlie the identity and diversity of mouse tissue macrophages","container-title":"Nature Immunology","page":"1118-1128","volume":"13","issue":"11","source":"PubMed","abstract":"We assessed gene expression in tissue macrophages from various mouse organs. The diversity in gene expression among different populations of macrophages was considerable. Only a few hundred mRNA transcripts were selectively expressed by macrophages rather than dendritic cells, and many of these were not present in all macrophages. Nonetheless, well-characterized surface markers, including MerTK and FcγR1 (CD64), along with a cluster of previously unidentified transcripts, were distinctly and universally associated with mature tissue macrophages. TCEF3, C/EBP-α, Bach1 and CREG-1 were among the transcriptional regulators predicted to regulate these core macrophage-associated genes. The mRNA encoding other transcription factors, such as Gata6, was associated with single macrophage populations. We further identified how these transcripts and the proteins they encode facilitated distinguishing macrophages from dendritic cells.","DOI":"10.1038/ni.2419","ISSN":"1529-2916","note":"PMID: 23023392\nPMCID: PMC3558276","journalAbbreviation":"Nat. Immunol.","language":"eng","author":[{"family":"Gautier","given":"Emmanuel L."},{"family":"Shay","given":"Tal"},{"family":"Miller","given":"Jennifer"},{"family":"Greter","given":"Melanie"},{"family":"Jakubzick","given":"Claudia"},{"family":"Ivanov","given":"Stoyan"},{"family":"Helft","given":"Julie"},{"family":"Chow","given":"Andrew"},{"family":"Elpek","given":"Kutlu G."},{"family":"Gordonov","given":"Simon"},{"family":"Mazloom","given":"Amin R."},{"family":"Ma'ayan","given":"Avi"},{"family":"Chua","given":"Wei-Jen"},{"family":"Hansen","given":"Ted H."},{"family":"Turley","given":"Shannon J."},{"family":"Merad","given":"Miriam"},{"family":"Randolph","given":"Gwendalyn J."},{"literal":"Immunological Genome Consortium"}],"issued":{"date-parts":[["2012",11]]}}}],"schema":"https://github.com/citation-style-language/schema/raw/master/csl-citation.json"} </w:instrText>
      </w:r>
      <w:r>
        <w:fldChar w:fldCharType="separate"/>
      </w:r>
      <w:r w:rsidR="004A1963" w:rsidRPr="004A1963">
        <w:rPr>
          <w:rFonts w:ascii="Calibri" w:hAnsi="Calibri"/>
        </w:rPr>
        <w:t>(117)</w:t>
      </w:r>
      <w:r>
        <w:fldChar w:fldCharType="end"/>
      </w:r>
      <w:r>
        <w:t xml:space="preserve">, illustrating that imprinting is likely to be a result of both ontogeny and local microenvironment-derived signals. Using single-cell sequencing, it has even been shown that basophils can contribute to imprinting of lung macrophages </w:t>
      </w:r>
      <w:r>
        <w:fldChar w:fldCharType="begin"/>
      </w:r>
      <w:r w:rsidR="000A209C">
        <w:instrText xml:space="preserve"> ADDIN ZOTERO_ITEM CSL_CITATION {"citationID":"f1L3CjkM","properties":{"formattedCitation":"(118)","plainCitation":"(118)","noteIndex":0},"citationItems":[{"id":1878,"uris":["http://zotero.org/users/952979/items/AGETLF5X"],"uri":["http://zotero.org/users/952979/items/AGETLF5X"],"itemData":{"id":1878,"type":"article-journal","title":"Lung Single-Cell Signaling Interaction Map Reveals Basophil Role in Macrophage Imprinting","container-title":"Cell","page":"1031-1044.e18","volume":"175","issue":"4","source":"PubMed","abstract":"Lung development and function arises from the interactions between diverse cell types and lineages. Using single-cell RNA sequencing (RNA-seq), we characterize the cellular composition of the lung during development and identify vast dynamics in cell composition and their molecular characteristics. Analyzing 818 ligand-receptor interaction pairs within and between cell lineages, we identify broadly interacting cells, including AT2, innate lymphocytes (ILCs), and basophils. Using interleukin (IL)-33 receptor knockout mice and in vitro experiments, we show that basophils establish a lung-specific function imprinted by IL-33 and granulocyte-macrophage colony-stimulating factor (GM-CSF), characterized by unique signaling of cytokines and growth factors important for stromal, epithelial, and myeloid cell fates. Antibody-depletion strategies, diphtheria toxin-mediated selective depletion of basophils, and co-culture studies show that lung resident basophils are important regulators of alveolar macrophage development and function. Together, our study demonstrates how whole-tissue signaling interaction map on the single-cell level can broaden our understanding of cellular networks in health and disease.","DOI":"10.1016/j.cell.2018.09.009","ISSN":"1097-4172","note":"PMID: 30318149","journalAbbreviation":"Cell","language":"eng","author":[{"family":"Cohen","given":"Merav"},{"family":"Giladi","given":"Amir"},{"family":"Gorki","given":"Anna-Dorothea"},{"family":"Solodkin","given":"Dikla Gelbard"},{"family":"Zada","given":"Mor"},{"family":"Hladik","given":"Anastasiya"},{"family":"Miklosi","given":"Andras"},{"family":"Salame","given":"Tomer-Meir"},{"family":"Halpern","given":"Keren Bahar"},{"family":"David","given":"Eyal"},{"family":"Itzkovitz","given":"Shalev"},{"family":"Harkany","given":"Tibor"},{"family":"Knapp","given":"Sylvia"},{"family":"Amit","given":"Ido"}],"issued":{"date-parts":[["2018",11,1]]}}}],"schema":"https://github.com/citation-style-language/schema/raw/master/csl-citation.json"} </w:instrText>
      </w:r>
      <w:r>
        <w:fldChar w:fldCharType="separate"/>
      </w:r>
      <w:r w:rsidR="004A1963" w:rsidRPr="004A1963">
        <w:rPr>
          <w:rFonts w:ascii="Calibri" w:hAnsi="Calibri"/>
        </w:rPr>
        <w:t>(118)</w:t>
      </w:r>
      <w:r>
        <w:fldChar w:fldCharType="end"/>
      </w:r>
      <w:r>
        <w:t xml:space="preserve">. </w:t>
      </w:r>
    </w:p>
    <w:p w14:paraId="0BE6A321" w14:textId="77777777" w:rsidR="001D1AB8" w:rsidRDefault="001D1AB8" w:rsidP="001D1AB8">
      <w:pPr>
        <w:pStyle w:val="Thesisnormal"/>
      </w:pPr>
    </w:p>
    <w:p w14:paraId="2A0CF172" w14:textId="77777777" w:rsidR="001D1AB8" w:rsidRDefault="001D1AB8" w:rsidP="001D1AB8">
      <w:pPr>
        <w:pStyle w:val="Heading2"/>
      </w:pPr>
      <w:bookmarkStart w:id="43" w:name="_Toc502936285"/>
      <w:bookmarkStart w:id="44" w:name="_Toc4589263"/>
      <w:r>
        <w:t>1.3 Macrophage heterogeneity throughout evolution</w:t>
      </w:r>
      <w:bookmarkEnd w:id="43"/>
      <w:bookmarkEnd w:id="44"/>
    </w:p>
    <w:p w14:paraId="4D976EB1" w14:textId="77777777" w:rsidR="001D1AB8" w:rsidRDefault="001D1AB8" w:rsidP="001D1AB8">
      <w:pPr>
        <w:pStyle w:val="Thesisnormal"/>
      </w:pPr>
    </w:p>
    <w:p w14:paraId="457E52B1" w14:textId="1672F179" w:rsidR="001D1AB8" w:rsidRDefault="001D1AB8" w:rsidP="001D1AB8">
      <w:pPr>
        <w:pStyle w:val="Thesisnormal"/>
      </w:pPr>
      <w:r>
        <w:t xml:space="preserve">The vertebrate immune system is comprised of both innate and adaptive responses. From an evolutionary perspective, the innate immune system was the first to develop </w:t>
      </w:r>
      <w:r>
        <w:fldChar w:fldCharType="begin"/>
      </w:r>
      <w:r w:rsidR="000A209C">
        <w:instrText xml:space="preserve"> ADDIN ZOTERO_ITEM CSL_CITATION {"citationID":"tzhe902I","properties":{"formattedCitation":"(119,120)","plainCitation":"(119,120)","noteIndex":0},"citationItems":[{"id":1794,"uris":["http://zotero.org/users/952979/items/256C3R6L"],"uri":["http://zotero.org/users/952979/items/256C3R6L"],"itemData":{"id":1794,"type":"article-journal","title":"Origin and evolution of the adaptive immune system: genetic events and selective pressures","container-title":"Nature reviews. Genetics","page":"47-59","volume":"11","issue":"1","source":"PubMed Central","abstract":"The adaptive immune system (AIS) in mammals, which is centred on lymphocytes bearing antigen receptors that are generated by somatic recombination, arose approximately 500 million years ago in jawed fish. This intricate defence system consists of many molecules, mechanisms and tissues that are not present in jawless vertebrates. Two macroevolutionary events are believed to have contributed to the genesis of the AIS: the emergence of the recombination-activating gene (RAG) transposon, and two rounds of whole-genome duplication. It has recently been discovered that a non-RAG-based AIS with similarities to the jawed vertebrate AIS — including two lymphoid cell lineages — arose in jawless fish by convergent evolution. We offer insights into the latest advances in this field and speculate on the selective pressures that led to the emergence and maintenance of the AIS.","DOI":"10.1038/nrg2703","ISSN":"1471-0056","note":"PMID: 19997068\nPMCID: PMC3805090","shortTitle":"Origin and evolution of the adaptive immune system","journalAbbreviation":"Nat Rev Genet","author":[{"family":"Flajnik","given":"Martin F."},{"family":"Kasahara","given":"Masanori"}],"issued":{"date-parts":[["2010",1]]}}},{"id":1810,"uris":["http://zotero.org/users/952979/items/FZ2IHRTY"],"uri":["http://zotero.org/users/952979/items/FZ2IHRTY"],"itemData":{"id":1810,"type":"article-journal","title":"Evolution of the innate immune system","container-title":"Immunobiology: The Immune System in Health and Disease. 5th edition","source":"www-ncbi-nlm-nih-gov.sheffield.idm.oclc.org","abstract":"The innate immune system is well developed in the fruit fly Drosophila melanogaster, a favorite model organism for many aspects of biological research, and in many other invertebrates, including the nematode worm, Caenorhabditis elegans. What these organisms share in common with the vertebrates are the genes that encode intracellular signaling pathways leading from the cell surface to the activation of the transcription factor NFκB (see Chapter 6). Each organism has a cassette of genes that encode the proteins of this pathway. That makes us believe that the activation of NFκB is the original and central signaling pathway of activation in innate immunity, leading in turn to the activation of a set of genes that depend on NFκB for their transcription. This pathway is a universal pathway that leads to activation in all host defense systems, as we will learn in this part of the chapter.","URL":"http://www.ncbi.nlm.nih.gov/books/NBK27138/","language":"en","author":[{"family":"Charles A Janeway","given":"Jr"},{"family":"Travers","given":"Paul"},{"family":"Walport","given":"Mark"},{"family":"Shlomchik","given":"Mark J."}],"issued":{"date-parts":[["2001"]]},"accessed":{"date-parts":[["2019",2,4]]}}}],"schema":"https://github.com/citation-style-language/schema/raw/master/csl-citation.json"} </w:instrText>
      </w:r>
      <w:r>
        <w:fldChar w:fldCharType="separate"/>
      </w:r>
      <w:r w:rsidR="004A1963" w:rsidRPr="004A1963">
        <w:rPr>
          <w:rFonts w:ascii="Calibri" w:hAnsi="Calibri"/>
        </w:rPr>
        <w:t>(119,120)</w:t>
      </w:r>
      <w:r>
        <w:fldChar w:fldCharType="end"/>
      </w:r>
      <w:r>
        <w:t xml:space="preserve">. The first component of the innate immune response to develop was most likely phagocytosis, a mechanism observed from human and mice macrophages to insect hemocytes and single celled </w:t>
      </w:r>
      <w:r w:rsidRPr="00267AF4">
        <w:rPr>
          <w:i/>
        </w:rPr>
        <w:t>Dictyostelium</w:t>
      </w:r>
      <w:r>
        <w:t xml:space="preserve"> </w:t>
      </w:r>
      <w:r>
        <w:fldChar w:fldCharType="begin"/>
      </w:r>
      <w:r w:rsidR="000A209C">
        <w:instrText xml:space="preserve"> ADDIN ZOTERO_ITEM CSL_CITATION {"citationID":"76URlCYn","properties":{"formattedCitation":"(121)","plainCitation":"(121)","noteIndex":0},"citationItems":[{"id":1843,"uris":["http://zotero.org/users/952979/items/N5JN3Y42"],"uri":["http://zotero.org/users/952979/items/N5JN3Y42"],"itemData":{"id":1843,"type":"article-journal","title":"Phagocytosis: the convoluted way from nutrition to adaptive immunity","container-title":"Immunological Reviews","page":"158-165","volume":"207","issue":"1","source":"Wiley Online Library","abstract":"Summary: Phagocytosis, the process by which cells internalize large particulate materials from their milieu and sequester them in phagosomes, plays a role in a variety of cell functions ranging from nutrition in ameba to innate and adaptive immunity in mammals. Recent findings revealed unexpected characteristics of phagosomes, highlighting how this complex organelle may have evolved, from Dictyostelium to human, to become a key player in our ability to mount an efficient immune response against a variety of intracellular pathogens.","DOI":"10.1111/j.0105-2896.2005.00319.x","ISSN":"1600-065X","shortTitle":"Phagocytosis","language":"en","author":[{"family":"Desjardins","given":"Michel"},{"family":"Houde","given":"Mathieu"},{"family":"Gagnon","given":"Etienne"}],"issued":{"date-parts":[["2005"]]}}}],"schema":"https://github.com/citation-style-language/schema/raw/master/csl-citation.json"} </w:instrText>
      </w:r>
      <w:r>
        <w:fldChar w:fldCharType="separate"/>
      </w:r>
      <w:r w:rsidR="004A1963" w:rsidRPr="004A1963">
        <w:rPr>
          <w:rFonts w:ascii="Calibri" w:hAnsi="Calibri"/>
        </w:rPr>
        <w:t>(121)</w:t>
      </w:r>
      <w:r>
        <w:fldChar w:fldCharType="end"/>
      </w:r>
      <w:r>
        <w:t xml:space="preserve">. However, this function would have initially evolved as a means of nutrition with the roles in immunity forming later. The major phagocyte is the macrophage, which can be found in almost all multicellular organisms </w:t>
      </w:r>
      <w:r>
        <w:fldChar w:fldCharType="begin"/>
      </w:r>
      <w:r w:rsidR="000A209C">
        <w:instrText xml:space="preserve"> ADDIN ZOTERO_ITEM CSL_CITATION {"citationID":"ZzFWSosT","properties":{"formattedCitation":"(122,123)","plainCitation":"(122,123)","noteIndex":0},"citationItems":[{"id":1840,"uris":["http://zotero.org/users/952979/items/L3E8P5GB"],"uri":["http://zotero.org/users/952979/items/L3E8P5GB"],"itemData":{"id":1840,"type":"article-journal","title":"Evolution of Cell-Autonomous Effector Mechanisms in Macrophages versus Non-Immune Cells","container-title":"Microbiology Spectrum","volume":"4","issue":"6","source":"PubMed","abstract":"Specialized adaptations for killing microbes are synonymous with phagocytic cells including macrophages, monocytes, inflammatory neutrophils, and eosinophils. Recent genome sequencing of extant species, however, reveals that analogous antimicrobial machineries exist in certain non-immune cells and also within species that ostensibly lack a well-defined immune system. Here we probe the evolutionary record for clues about the ancient and diverse phylogenetic origins of macrophage killing mechanisms and how some of their properties are shared with cells outside the traditional bounds of immunity in higher vertebrates such as mammals.","DOI":"10.1128/microbiolspec.MCHD-0050-2016","ISSN":"2165-0497","note":"PMID: 28087931\nPMCID: PMC5244469","journalAbbreviation":"Microbiol Spectr","language":"eng","author":[{"family":"Gaudet","given":"Ryan G."},{"family":"Bradfield","given":"Clinton J."},{"family":"MacMicking","given":"John D."}],"issued":{"date-parts":[["2016"]]}}},{"id":1839,"uris":["http://zotero.org/users/952979/items/HSWA8K83"],"uri":["http://zotero.org/users/952979/items/HSWA8K83"],"itemData":{"id":1839,"type":"article-journal","title":"Characterization of the mononuclear phagocyte system in zebrafish","container-title":"Blood","page":"7126-7135","volume":"117","issue":"26","source":"PubMed","abstract":"The evolutionarily conserved immune system of the zebrafish (Danio rerio), in combination with its genetic tractability, position it as an excellent model system in which to elucidate the origin and function of vertebrate immune cells. We recently reported the existence of antigen-presenting mononuclear phagocytes in zebrafish, namely macrophages and dendritic cells (DCs), but have been impaired in further characterizing the biology of these cells by the lack of a specific transgenic reporter line. Using regulatory elements of a class II major histocompatibility gene, we generated a zebrafish reporter line expressing green fluorescent protein (GFP) in all APCs, macrophages, DCs, and B lymphocytes. Examination of mhc2dab:GFP; cd45:DsRed double-transgenic animals demonstrated that kidney mhc2dab:GFP(hi); cd45:DsRed(hi) cells were exclusively mature monocytes/macrophages and DCs, as revealed by morphologic and molecular analyses. Mononuclear phagocytes were found in all hematolymphoid organs, but were most abundant in the intestine and spleen, where they up-regulate the expression of inflammatory cytokines upon bacterial challenge. Finally, mhc2dab:GFP and cd45:DsRed transgenes mark mutually exclusive cell subsets in the lymphoid fraction, enabling the delineation of the major hematopoietic lineages in the adult zebrafish. These findings suggest that mhc2dab:GFP and cd45:DsRed transgenic lines will be instrumental in elucidating the immune response in the zebrafish.","DOI":"10.1182/blood-2010-11-321448","ISSN":"1528-0020","note":"PMID: 21406720","journalAbbreviation":"Blood","language":"eng","author":[{"family":"Wittamer","given":"Valerie"},{"family":"Bertrand","given":"Julien Y."},{"family":"Gutschow","given":"Patrick W."},{"family":"Traver","given":"David"}],"issued":{"date-parts":[["2011",6,30]]}}}],"schema":"https://github.com/citation-style-language/schema/raw/master/csl-citation.json"} </w:instrText>
      </w:r>
      <w:r>
        <w:fldChar w:fldCharType="separate"/>
      </w:r>
      <w:r w:rsidR="004A1963" w:rsidRPr="004A1963">
        <w:rPr>
          <w:rFonts w:ascii="Calibri" w:hAnsi="Calibri"/>
        </w:rPr>
        <w:t>(122,123)</w:t>
      </w:r>
      <w:r>
        <w:fldChar w:fldCharType="end"/>
      </w:r>
      <w:r>
        <w:t xml:space="preserve">. Polarised macrophage subsets have been reported in humans, mice and fish </w:t>
      </w:r>
      <w:r>
        <w:fldChar w:fldCharType="begin"/>
      </w:r>
      <w:r w:rsidR="000A209C">
        <w:instrText xml:space="preserve"> ADDIN ZOTERO_ITEM CSL_CITATION {"citationID":"aln9euyV","properties":{"formattedCitation":"(124,125)","plainCitation":"(124,125)","noteIndex":0},"citationItems":[{"id":1284,"uris":["http://zotero.org/users/952979/items/N38NZG8H"],"uri":["http://zotero.org/users/952979/items/N38NZG8H"],"itemData":{"id":1284,"type":"article-journal","title":"Polarization of immune responses in fish: The ‘macrophages first’ point of view","container-title":"Molecular Immunology","source":"ScienceDirect","abstract":"In this review, we support taking polarized immune responses in teleost fish from a ‘macrophage first’ point of view, a hypothesis that reverts the dichotomous T helper (TH)1 and TH2 driving forces by building on the idea of conservation of innate immune responses in lower vertebrates. It is plausible that the initial trigger for macrophage polarization into M1 (inflammation) or M2 (healing) could rely only on sensing microbial/parasite infection or other innate danger signals, without the influence of adaptive immunity. Given the long and ongoing debate on the presence/absence of a typical TH1 cytokine environment and, in particular, TH2 cytokine environment in fish immune responses, it stands out that the presence of macrophages with polarized phenotypes, alike M1 and M2, have been relatively easy to demonstrate for fish. We summarize in short present knowledge in teleost fish on those cytokines considered most critical to the dichotomous development of TH1/M1 and TH2/M2 polarization, in particular, but not exclusively, interferon-γ and interleukin (IL)-4/IL-13. We review, in more detail, polarization of fish immune responses taken from the macrophage point of view for which we adopted the simple nomenclature of M1 and M2. We discuss inducible nitric oxide synthase, or NOS-2, as a reliable M1 marker and arginase-2 as a reliable M2 marker for teleost fish and discuss the value of these macrophage markers for the generation of zebrafish reporter lines to study M1/M2 polarization in vivo.","URL":"http://www.sciencedirect.com/science/article/pii/S0161589015300894","DOI":"10.1016/j.molimm.2015.09.026","ISSN":"0161-5890","shortTitle":"Polarization of immune responses in fish","journalAbbreviation":"Molecular Immunology","author":[{"family":"Wiegertjes","given":"Geert F."},{"family":"Wentzel","given":"Annelieke S."},{"family":"Spaink","given":"Herman P."},{"family":"Elks","given":"Philip M."},{"family":"Fink","given":"Inge R."}],"issued":{"date-parts":[["2015"]]},"accessed":{"date-parts":[["2015",11,11]]}}},{"id":1305,"uris":["http://zotero.org/users/952979/items/NKAFRXMP"],"uri":["http://zotero.org/users/952979/items/NKAFRXMP"],"itemData":{"id":1305,"type":"article-journal","title":"Monocyte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R."}],"issued":{"date-parts":[["2005",12]]}}}],"schema":"https://github.com/citation-style-language/schema/raw/master/csl-citation.json"} </w:instrText>
      </w:r>
      <w:r>
        <w:fldChar w:fldCharType="separate"/>
      </w:r>
      <w:r w:rsidR="004A1963" w:rsidRPr="004A1963">
        <w:rPr>
          <w:rFonts w:ascii="Calibri" w:hAnsi="Calibri"/>
        </w:rPr>
        <w:t>(124,125)</w:t>
      </w:r>
      <w:r>
        <w:fldChar w:fldCharType="end"/>
      </w:r>
      <w:r>
        <w:t xml:space="preserve">. </w:t>
      </w:r>
    </w:p>
    <w:p w14:paraId="1A373AB4" w14:textId="77777777" w:rsidR="001D1AB8" w:rsidRDefault="001D1AB8" w:rsidP="001D1AB8">
      <w:pPr>
        <w:pStyle w:val="Thesisnormal"/>
      </w:pPr>
    </w:p>
    <w:p w14:paraId="53D3BC2B" w14:textId="2DC13A9D" w:rsidR="001D1AB8" w:rsidRPr="00971E83" w:rsidRDefault="001D1AB8" w:rsidP="001D1AB8">
      <w:pPr>
        <w:pStyle w:val="Thesisnormal"/>
      </w:pPr>
      <w:r>
        <w:t xml:space="preserve">As already discussed, in humans and mice, M1 macrophages function to remove bacteria by phagocytosis. Similarly, macrophages in </w:t>
      </w:r>
      <w:r w:rsidR="000E45F9">
        <w:t xml:space="preserve">teleost </w:t>
      </w:r>
      <w:r>
        <w:t xml:space="preserve">fish are also capable of phagocytosis using similar mechanisms of toxic intermediate production and ROS </w:t>
      </w:r>
      <w:r>
        <w:fldChar w:fldCharType="begin"/>
      </w:r>
      <w:r w:rsidR="000A209C">
        <w:instrText xml:space="preserve"> ADDIN ZOTERO_ITEM CSL_CITATION {"citationID":"VsnfH5g4","properties":{"formattedCitation":"(126\\uc0\\u8211{}129)","plainCitation":"(126–129)","noteIndex":0},"citationItems":[{"id":1834,"uris":["http://zotero.org/users/952979/items/VDEHXP3R"],"uri":["http://zotero.org/users/952979/items/VDEHXP3R"],"itemData":{"id":1834,"type":"article-journal","title":"Biochemical and functional characterisation of macrophage stimulating factors secreted by mitogen-induced goldfish kidney leucocytes","container-title":"Fish &amp; Shellfish Immunology","page":"167-186","volume":"10","issue":"2","source":"PubMed","abstract":"Mitogen-stimulated goldfish kidney leucocytes secrete a number of different macrophage activation factors (MAF) that induce profound physiological changes in macrophages. MAF produced by goldfish kidney leucocytes was characterised using fast performance liquid chromatography (FPLC) and bioassays that measured MAF-induced respiratory burst (RB) and nitric oxide (NO) responses of activated macrophages. Mitogen-induced fish kidney leucocyte supernatants were fractionated using gel permeation FPLC (GP-FPLC) and the ability of different fractions to induce NO or RB measured. A MAF of M(r) 50 kD, that induced a potent nitric oxide response in both a long-term goldfish macrophage cell line (GMCL) and in in vitro-derived fish kidney macrophages (IVDKM) was identified. The GP-FPLC partially purified 50 kD MAF activity occasionally induced significantly higher nitric oxide production than that of the crude MAF preparations. This increase in the NO-inducing activity was due to segregation of the 50 kD MAF from a novel macrophage deactivating molecule of M(r) 10-12 kD present in crude MAF preparations. This 10-12 kD molecule was shown to inhibit nitric oxide production in cytokine-activated goldfish macrophages. Mitogen-induced fish kidney leucocyte supernatants contained two distinct MAFs that induced the respiratory burst in GMCL and IVDKM: the 50 kD and 30 kD proteins. The partially purified 30 kD MAF primed goldfish macrophage for increased RB activity after only 6 h of treatment, and continued to augment the RB activity after 24 h of stimulation. In contrast, the GP-FPLC partially purified 50 kD molecule also primed the RB after only 6 h of stimulation, but subsequently deprimed the RB after 24 h of stimulation, an effect similar to that observed for crude MAF preparations. The 50 kD MAF activity was further purified using chromatofocusing FPLC (C-FPLC) using basic pH gradients and was shown to consist of two distinct NO-inducing molecules (&gt; pI 9.3). Mitogen-stimulated fish kidney leucocytes secrete several factors that profoundly affect the anti-microbial responses of teleost macrophages and which undoubtedly are responsible for regulating teleost macrophage function in vivo.","DOI":"10.1006/fsim.1999.0236","ISSN":"1050-4648","note":"PMID: 10938732","journalAbbreviation":"Fish Shellfish Immunol.","language":"eng","author":[{"family":"Neumann","given":"N. F."},{"family":"Stafford","given":"J. L."},{"family":"Belosevic","given":"M."}],"issued":{"date-parts":[["2000",2]]}}},{"id":1833,"uris":["http://zotero.org/users/952979/items/HVIZN7EU"],"uri":["http://zotero.org/users/952979/items/HVIZN7EU"],"itemData":{"id":1833,"type":"article-journal","title":"Macrophage activation differentially modulates particle binding, phagocytosis and downstream antimicrobial mechanisms","container-title":"Developmental and Comparative Immunology","page":"1144-1159","volume":"34","issue":"11","source":"PubMed","abstract":"Phagocytosis provides a critical first line of defense against invading pathogens. Engagement of particles through receptor-mediated binding precedes internalization and induction of cellular antimicrobial responses. Phagocytes have the capacity to differentially regulate binding and internalization processes through changes in their receptor profile and modulation of downstream events. This is necessary for the intricate control of phagocytic antimicrobial responses. Several methods are available for evaluation of phagocytosis. Unfortunately, none allow for accurate quantitation of both binding and internalization events. To overcome these limitations, we have developed a novel phagocytosis assay based on a multi-spectral imaging flow cytometry platform. This assay discriminates between internalized and surface-bound particles in a statistically robust manner and allows multi-parametric analysis of phagocytosis and downstream anti-microbial responses. We also devised a novel approach for examination of phagolysosome fusion, which provides an improved capacity for quantitative assessment of phagolysosome fusion in mixed populations of intact cells. Importantly, our approaches are likely amenable to a broad range of comparative model systems based on our examination of murine RAW 264.7 cells and a goldfish primary kidney macrophage (PKM) model system. The latter allowed us to examine the evolutionary conservation of phagocytic antimicrobial responses in a lower vertebrate model. While it has been previously reported that mixed populations of these macrophage cultures are phagocytic, it remained unclear if sub-populations within them contributed differentially to this activity. In accordance with higher vertebrate models, we found that differentiation along the macrophage pathway leads to an increased capacity for phagocytosis in goldfish PKM. Interestingly, cellular activation differentially regulated particle internalization in PKM monocyte and mature macrophage subsets. We also found differential regulation of phagolysosome fusion and downstream production of reactive oxygen intermediates (ROI). The temporal activation of specific phagocytic antimicrobial responses at distinct stages of PKM differentiation suggests specialization within the macrophage compartment early in evolution, geared to meet specific host immunity requirements within specialized niches.","DOI":"10.1016/j.dci.2010.06.006","ISSN":"1879-0089","note":"PMID: 20600280","journalAbbreviation":"Dev. Comp. Immunol.","language":"eng","author":[{"family":"Rieger","given":"Aja M."},{"family":"Hall","given":"Brian E."},{"family":"Barreda","given":"Daniel R."}],"issued":{"date-parts":[["2010",11]]}}},{"id":1832,"uris":["http://zotero.org/users/952979/items/43B78GR8"],"uri":["http://zotero.org/users/952979/items/43B78GR8"],"itemData":{"id":1832,"type":"article-journal","title":"Antimicrobial responses of teleost phagocytes and innate immune evasion strategies of intracellular bacteria","container-title":"Developmental and Comparative Immunology","page":"223-242","volume":"43","issue":"2","source":"PubMed","abstract":"During infection, macrophage lineage cells eliminate infiltrating pathogens through a battery of antimicrobial responses, where the efficacy of these innate immune responses is pivotal to immunological outcomes. Not surprisingly, many intracellular pathogens have evolved mechanisms to overcome macrophage defenses, using these immune cells as residences and dissemination strategies. With pathogenic infections causing increasing detriments to both aquacultural and wild fish populations, it is imperative to garner greater understanding of fish phagocyte antimicrobial responses and the mechanisms by which aquatic pathogens are able to overcome these teleost macrophage barriers. Insights into the regulation of macrophage immunity of bony fish species will lend to the development of more effective aquacultural prophylaxis as well as broadening our understanding of the evolution of these immune processes. Accordingly, this review focuses on recent advances in the understanding of teleost macrophage antimicrobial responses and the strategies by which intracellular fish pathogens are able to avoid being killed by phagocytes, with a focus on Mycobacterium marinum.","DOI":"10.1016/j.dci.2013.08.003","ISSN":"1879-0089","note":"PMID: 23954721","journalAbbreviation":"Dev. Comp. Immunol.","language":"eng","author":[{"family":"Grayfer","given":"Leon"},{"family":"Hodgkinson","given":"Jordan W."},{"family":"Belosevic","given":"Miodrag"}],"issued":{"date-parts":[["2014",4]]}}},{"id":1823,"uris":["http://zotero.org/users/952979/items/UL2Q335W"],"uri":["http://zotero.org/users/952979/items/UL2Q335W"],"itemData":{"id":1823,"type":"article-journal","title":"Mechanisms of Fish Macrophage Antimicrobial Immunity","container-title":"Frontiers in Immunology","volume":"9","source":"PubMed Central","abstract":"Overcrowding conditions and temperatures shifts regularly manifest in large-scale infections of farmed fish, resulting in economic losses for the global aquaculture industries. Increased understanding of the functional mechanisms of fish antimicrobial host defenses is an important step forward in prevention of pathogen-induced morbidity and mortality in aquaculture setting. Like other vertebrates, macrophage-lineage cells are integral to fish immune responses and for this reason, much of the recent fish immunology research has focused on fish macrophage biology. These studies have revealed notable similarities as well as striking differences in the molecular strategies by which fish and higher vertebrates control their respective macrophage polarization and functionality. In this review, we address the current understanding of the biological mechanisms of teleost macrophage functional heterogeneity and immunity, focusing on the key cytokine regulators that control fish macrophage development and their antimicrobial armamentarium.","URL":"https://www.ncbi.nlm.nih.gov/pmc/articles/PMC5985312/","DOI":"10.3389/fimmu.2018.01105","ISSN":"1664-3224","note":"PMID: 29892285\nPMCID: PMC5985312","journalAbbreviation":"Front Immunol","author":[{"family":"Grayfer","given":"Leon"},{"family":"Kerimoglu","given":"Baris"},{"family":"Yaparla","given":"Amulya"},{"family":"Hodgkinson","given":"Jordan W."},{"family":"Xie","given":"Jiasong"},{"family":"Belosevic","given":"Miodrag"}],"issued":{"date-parts":[["2018",5,28]]},"accessed":{"date-parts":[["2019",1,17]]}}}],"schema":"https://github.com/citation-style-language/schema/raw/master/csl-citation.json"} </w:instrText>
      </w:r>
      <w:r>
        <w:fldChar w:fldCharType="separate"/>
      </w:r>
      <w:r w:rsidR="004A1963" w:rsidRPr="004A1963">
        <w:rPr>
          <w:rFonts w:ascii="Calibri" w:hAnsi="Calibri" w:cs="Times New Roman"/>
        </w:rPr>
        <w:t>(126–129)</w:t>
      </w:r>
      <w:r>
        <w:fldChar w:fldCharType="end"/>
      </w:r>
      <w:r>
        <w:t xml:space="preserve">. Production of pro-inflammatory cytokines is an essential feature of M1 macrophages. Multiple groups have </w:t>
      </w:r>
      <w:r>
        <w:lastRenderedPageBreak/>
        <w:t xml:space="preserve">shown that carp interferon-γ (IFN-γ) can induce an M1 cytokine profile with products including iNOS, IL-1β and TNF-α (Tumour necrosis factor α) </w:t>
      </w:r>
      <w:r>
        <w:fldChar w:fldCharType="begin"/>
      </w:r>
      <w:r w:rsidR="000A209C">
        <w:instrText xml:space="preserve"> ADDIN ZOTERO_ITEM CSL_CITATION {"citationID":"IgurMHZk","properties":{"formattedCitation":"(130\\uc0\\u8211{}132)","plainCitation":"(130–132)","noteIndex":0},"citationItems":[{"id":1828,"uris":["http://zotero.org/users/952979/items/8H7XFAS5"],"uri":["http://zotero.org/users/952979/items/8H7XFAS5"],"itemData":{"id":1828,"type":"article-journal","title":"Functional analysis of carp interferon-γ: Evolutionary conservation of classical phagocyte activation","container-title":"Fish &amp; Shellfish Immunology","page":"793-802","volume":"29","issue":"5","source":"ScienceDirect","abstract":"In teleost fish two IFN-γ gene sequences were found for which two phylogenetic clusters can be distinguished. Our previous analysis of expression of these in carp led us to hypothesize that a classical IFN-γ function is associated with the IFN-γ2 cluster. We investigated the evolutionary conservation of the IFN-γ function, inducing classical activation of phagocytes, thus skewing towards a Th1-like profile of immune activation. Recombinant proteins for the carp IFN-γ sequences of both clusters were made and we studied their effects on expression of proinflammatory mediators. Carp IFN-γ2, in contrast to carp IFN-γ1, was powerful in inducing a proinflammatory reaction in phagocytes: a classical synergistic response with lipopolysaccharide was observed for the induction of iNOS expression and NO release, for expression of CXCL9-11-like chemokines and the expression of proinflammatory cytokines IL-1β, TNFα and the IL-12 subunits p35 and p40. In contrast, like in mammals, the CXCL8-like cytokines are LPS but not IFN-γ sensitive. These results corroborate an evolutionary conserved nature of IFN-γ function in lower vertebrates including classical activation of phagocytes.","DOI":"10.1016/j.fsi.2010.07.010","ISSN":"1050-4648","shortTitle":"Functional analysis of carp interferon-γ","journalAbbreviation":"Fish &amp; Shellfish Immunology","author":[{"family":"Arts","given":"J. A. J."},{"family":"Tijhaar","given":"E. J."},{"family":"Chadzinska","given":"M."},{"family":"Savelkoul","given":"H. F. J."},{"family":"Verburg-van Kemenade","given":"B. M. L."}],"issued":{"date-parts":[["2010",11,1]]}}},{"id":1827,"uris":["http://zotero.org/users/952979/items/3MPB32RJ"],"uri":["http://zotero.org/users/952979/items/3MPB32RJ"],"itemData":{"id":1827,"type":"article-journal","title":"IFN-γ-activated lymphocytes boost nitric oxide production in grass carp monocytes/macrophages","container-title":"Fish &amp; Shellfish Immunology","page":"1635-1641","volume":"35","issue":"5","source":"PubMed","abstract":"It is well known that IFN-γ is a prime activator of nitric oxide (NO) production by monocytes/macrophages in mammals and fish. In parallel, whether IFN-γ-activated lymphocytes are associated with NO production remains unclear. In this study, grass carp monocytes/macrophages and lymphocytes from head kidney were isolated and effects of recombinant grass carp IFN-γ (rgcIFN-γ) on NO releases by these two cell populations were determined. Results showed that rgcIFN-γ time- and dose-dependently increased NO production by monocytes/macrophages but not lymphocytes, which are consistent with the findings in mammals. Interestingly, rgcIFN-γ displayed a greater stimulation on NO production in the co-cultures of monocytes/macrophages and lymphocytes when compared with that in the culture of monocytes/macrophages alone. Furthermore, the media harvested from rgcIFN-γ-treated lymphocytes were effective in boosting NO release in monocytes/macrophages. These data suggest that secretions from rgcIFN-γ-treated lymphocytes may be involved in the NO release by monocytes/macrophages. To address this hypothesis, effect of rgcIFN-γ on the gene expression of inflammatory cytokines in grass carp lymphocytes was examined, showing that it consistently stimulated the mRNA expression of grass carp TNF-α and IL-1β but not IFN-γ. Furthermore, treatment of rgcIFN-γ combined with recombinant grass carp IL-1β (rgcIL-1β) induced a NO production by monocytes/macrophages, which was significantly higher than those induced by either cytokine alone. It provides the evidence that the cytokines secreted by the activated lymphocytes may facilitate the NO production by monocytes/macrophages. Taken together, our findings point out a new mechanism for the involvement of IFN-γ-activated lymphocytes in the NO production by monocytes/macrophages in fish. This knowledge not only strengthens the role of IFN-γ in immune system but also provides the evidence for the existence of a close relationship between lymphocytes and monocytes/macrophages in fish.","DOI":"10.1016/j.fsi.2013.09.017","ISSN":"1095-9947","note":"PMID: 24056277","journalAbbreviation":"Fish Shellfish Immunol.","language":"eng","author":[{"family":"Yang","given":"Kun"},{"family":"Zhang","given":"Shengnan"},{"family":"Chen","given":"Danyan"},{"family":"Zhang","given":"Anying"},{"family":"Wang","given":"Xinyan"},{"family":"Zhou","given":"Hong"}],"issued":{"date-parts":[["2013",11]]}}},{"id":1825,"uris":["http://zotero.org/users/952979/items/R6AKFWDU"],"uri":["http://zotero.org/users/952979/items/R6AKFWDU"],"itemData":{"id":1825,"type":"article-journal","title":"Identification and bioactivities of IFN-gamma in rainbow trout Oncorhynchus mykiss: the first Th1-type cytokine characterized functionally in fish","container-title":"Journal of Immunology (Baltimore, Md.: 1950)","page":"2484-2494","volume":"175","issue":"4","source":"PubMed","abstract":"IFN-gamma is one of the key cytokines in defining Th1 immune responses. In this study, an IFN-gamma homologue has been identified in rainbow trout Oncorhynchus mykiss, and its biological activities have been characterized. The trout IFN-gamma cDNA is 1034 bp in length and translates into a 180-aa protein. The first intron of the trout IFN-gamma gene contains highly polymorphic GACA minisatellites and 44-bp DNA repeats, giving rise to at least six alleles. IFN-gamma is structurally conserved among vertebrates, and a signature motif has been identified. A nuclear localization sequence known to be crucial for IFN-gamma biological activities is also present in the C-terminal region of the trout IFN-gamma. The IFN-gamma expression was induced in head kidney leukocytes by stimulation with PHA or poly(I:C) and in kidney and spleen of fish injected with poly(I:C). rIFN-gamma produced in Escherichia coli significantly stimulated gene expression of IFN-gamma-inducible protein 10 (gammaIP-10), MHC class II beta-chain, and STAT1, and enhanced respiratory burst activity in macrophages. Deletion of 29-aa residues from the C terminus containing the nuclear localization sequence motif resulted in loss of activity with respect to induction of gammaIP-10 in RTS-11 cells. Moreover, IFN-gamma-induced gammaIP-10 expression was completely abolished by the protein kinase C inhibitor staurosporine, and partially reduced by U0126, a specific inhibitor for ERKs. Taken together, the present study has demonstrated for the first time a functional IFN-gamma homologue in a fish species, strongly suggesting a conserved Th1 immune response is most likely present in lower vertebrates.","ISSN":"0022-1767","note":"PMID: 16081820","shortTitle":"Identification and bioactivities of IFN-gamma in rainbow trout Oncorhynchus mykiss","journalAbbreviation":"J. Immunol.","language":"eng","author":[{"family":"Zou","given":"Jun"},{"family":"Carrington","given":"Allison"},{"family":"Collet","given":"Bertrand"},{"family":"Dijkstra","given":"Johannes Martinus"},{"family":"Yoshiura","given":"Yasutoshi"},{"family":"Bols","given":"Niels"},{"family":"Secombes","given":"Chris"}],"issued":{"date-parts":[["2005",8,15]]}}}],"schema":"https://github.com/citation-style-language/schema/raw/master/csl-citation.json"} </w:instrText>
      </w:r>
      <w:r>
        <w:fldChar w:fldCharType="separate"/>
      </w:r>
      <w:r w:rsidR="004A1963" w:rsidRPr="004A1963">
        <w:rPr>
          <w:rFonts w:ascii="Calibri" w:hAnsi="Calibri" w:cs="Times New Roman"/>
        </w:rPr>
        <w:t>(130–132)</w:t>
      </w:r>
      <w:r>
        <w:fldChar w:fldCharType="end"/>
      </w:r>
      <w:r>
        <w:t xml:space="preserve">. Another pro-inflammatory cytokine, TNF-α, has been shown to promote pro-inflammatory gene expression and M1-like functions in goldfish macrophages </w:t>
      </w:r>
      <w:r>
        <w:fldChar w:fldCharType="begin"/>
      </w:r>
      <w:r w:rsidR="000A209C">
        <w:instrText xml:space="preserve"> ADDIN ZOTERO_ITEM CSL_CITATION {"citationID":"T7ormTrR","properties":{"formattedCitation":"(133)","plainCitation":"(133)","noteIndex":0},"citationItems":[{"id":1826,"uris":["http://zotero.org/users/952979/items/6Z5YG88E"],"uri":["http://zotero.org/users/952979/items/6Z5YG88E"],"itemData":{"id":1826,"type":"article-journal","title":"Characterization and functional analysis of goldfish (Carassius auratus L.) tumor necrosis factor-alpha","container-title":"Developmental and Comparative Immunology","page":"532-543","volume":"32","issue":"5","source":"PubMed","abstract":"We identified and characterized two isoforms of tumor necrosis factor-alpha (TNFalpha) from the goldfish, TNFalpha-1 and TNFalpha-2. At the protein level, goldfish TNFalpha-1 and TNFalpha-2 were most homologous to carp TNFalpha-1 and TNFalpha-2, respectively. Phylogenetically, the two goldfish isoforms grouped most closely with the carp TNFalpha isoforms and TNF species of other cyprinids. Real-time PCR analysis revealed constitutive expression of goldfish TNFalpha-1 and TNFalpha-2 in all tissues with TNFalpha-2 mRNA levels higher than TNFalpha-1 in all tissues examined. A modest up-regulation in expressions of goldfish TNFalpha-1 and TNFalpha-2 in kidney-derived monocytes and significant increase in expression of both isoforms in mature macrophages were observed in response to activation with macrophage-activating factors. TNFalpha-2 was subsequently expressed using a prokaryotic expression system and the recombinant molecule (rTNFalpha-2) was functionally characterized. The rTNFalpha-2 induced a dose-dependent chemotactic response and enhanced phagocytosis of primary goldfish macrophages. Furthermore, rTNFalpha-2 primed the respiratory burst in monocytes and induced nitric oxide production of primary goldfish macrophages. Our results indicate that goldfish TNFalpha is a central regulatory and effector cytokine of inflammatory and antimicrobial responses of the goldfish.","DOI":"10.1016/j.dci.2007.09.009","ISSN":"0145-305X","note":"PMID: 17988738","journalAbbreviation":"Dev. Comp. Immunol.","language":"eng","author":[{"family":"Grayfer","given":"Leon"},{"family":"Walsh","given":"John G."},{"family":"Belosevic","given":"Miodrag"}],"issued":{"date-parts":[["2008"]]}}}],"schema":"https://github.com/citation-style-language/schema/raw/master/csl-citation.json"} </w:instrText>
      </w:r>
      <w:r>
        <w:fldChar w:fldCharType="separate"/>
      </w:r>
      <w:r w:rsidR="004A1963" w:rsidRPr="004A1963">
        <w:rPr>
          <w:rFonts w:ascii="Calibri" w:hAnsi="Calibri"/>
        </w:rPr>
        <w:t>(133)</w:t>
      </w:r>
      <w:r>
        <w:fldChar w:fldCharType="end"/>
      </w:r>
      <w:r>
        <w:t xml:space="preserve">. Using a TNF-α macrophage reporter line in zebrafish, Nguyen-Chi </w:t>
      </w:r>
      <w:r>
        <w:rPr>
          <w:i/>
        </w:rPr>
        <w:t>et al</w:t>
      </w:r>
      <w:r>
        <w:t xml:space="preserve"> demonstrated that aseptic wounding and exposure to </w:t>
      </w:r>
      <w:r>
        <w:rPr>
          <w:i/>
        </w:rPr>
        <w:t>E. coli</w:t>
      </w:r>
      <w:r>
        <w:t xml:space="preserve"> infection could promote M1-macrophage activation. Furthermore, TNF-α positive and TNF-α negative macrophages expressed M1 and M2 markers respectively </w:t>
      </w:r>
      <w:r>
        <w:fldChar w:fldCharType="begin"/>
      </w:r>
      <w:r w:rsidR="000A209C">
        <w:instrText xml:space="preserve"> ADDIN ZOTERO_ITEM CSL_CITATION {"citationID":"8TqfDvfR","properties":{"formattedCitation":"(134)","plainCitation":"(134)","noteIndex":0},"citationItems":[{"id":1215,"uris":["http://zotero.org/users/952979/items/DITWXU9F"],"uri":["http://zotero.org/users/952979/items/DITWXU9F"],"itemData":{"id":1215,"type":"article-journal","title":"Identification of polarized macrophage subsets in zebrafish","container-title":"eLife","page":"e07288","volume":"4","source":"elifesciences.org","abstract":"The discovery of evolutionarily conserved macrophage subsets in zebrafish paves the way for a comprehensive study of macrophage behaviour and function.","DOI":"10.7554/eLife.07288","ISSN":"2050-084X","note":"PMID: 26154973","language":"en","author":[{"family":"Nguyen-Chi","given":"Mai"},{"family":"Laplace-Builhe","given":"Béryl"},{"family":"Travnickova","given":"Jana"},{"family":"Luz-Crawford","given":"Patricia"},{"family":"Tejedor","given":"Gautier"},{"family":"Phan","given":"Quang Tien"},{"family":"Duroux-Richard","given":"Isabelle"},{"family":"Levraud","given":"Jean-Pierre"},{"family":"Kissa","given":"Karima"},{"family":"Lutfalla","given":"Georges"},{"family":"Jorgensen","given":"Christian"},{"family":"Djouad","given":"Farida"}],"issued":{"date-parts":[["2015",7,8]]}}}],"schema":"https://github.com/citation-style-language/schema/raw/master/csl-citation.json"} </w:instrText>
      </w:r>
      <w:r>
        <w:fldChar w:fldCharType="separate"/>
      </w:r>
      <w:r w:rsidR="004A1963" w:rsidRPr="004A1963">
        <w:rPr>
          <w:rFonts w:ascii="Calibri" w:hAnsi="Calibri"/>
        </w:rPr>
        <w:t>(134)</w:t>
      </w:r>
      <w:r>
        <w:fldChar w:fldCharType="end"/>
      </w:r>
      <w:r>
        <w:t xml:space="preserve">. Through time-lapse imaging with TNF-α and TGF-β reporters, the authors also demonstrated that during the resolution phase of wounding, M1 macrophages switched to an M2 phenotype. </w:t>
      </w:r>
    </w:p>
    <w:p w14:paraId="7CE6A0F9" w14:textId="77777777" w:rsidR="001D1AB8" w:rsidRDefault="001D1AB8" w:rsidP="001D1AB8">
      <w:pPr>
        <w:pStyle w:val="Thesisnormal"/>
      </w:pPr>
    </w:p>
    <w:p w14:paraId="36BA6B1E" w14:textId="3213BFB2" w:rsidR="001D1AB8" w:rsidRDefault="001D1AB8" w:rsidP="001D1AB8">
      <w:pPr>
        <w:pStyle w:val="Thesisnormal"/>
      </w:pPr>
      <w:r>
        <w:t xml:space="preserve">M2 macrophages respond to various immune complexes, such as complement components, IL-10 and TGF-β, all of which have been shown to stimulate tissue repair functions of </w:t>
      </w:r>
      <w:r w:rsidR="000E45F9">
        <w:t xml:space="preserve">teleost </w:t>
      </w:r>
      <w:r>
        <w:t xml:space="preserve">fish macrophages via the up-regulation of M2-macrophage markers </w:t>
      </w:r>
      <w:r>
        <w:fldChar w:fldCharType="begin"/>
      </w:r>
      <w:r w:rsidR="000A209C">
        <w:instrText xml:space="preserve"> ADDIN ZOTERO_ITEM CSL_CITATION {"citationID":"FJ3phbrE","properties":{"formattedCitation":"(135\\uc0\\u8211{}137)","plainCitation":"(135–137)","noteIndex":0},"citationItems":[{"id":1831,"uris":["http://zotero.org/users/952979/items/PLY52HR3"],"uri":["http://zotero.org/users/952979/items/PLY52HR3"],"itemData":{"id":1831,"type":"article-journal","title":"Cortisol modulates the induction of inflammatory gene expression in a rainbow trout macrophage cell line","container-title":"Fish &amp; Shellfish Immunology","page":"215-223","volume":"30","issue":"1","source":"PubMed","abstract":"Glucocorticoid actions on the immune system are diverse and cell type dependent, and little is known about cell type-specific interactions and cross-talk between hormones and cytokines. In this study we have analyzed the gene expression patterns of the rainbow trout macrophage cell line RTS-11 by quantitative PCR, after exposure to combinations of cortisol plus a pro-inflammatory cytokine (e.g. recombinant trout IL-1β, IFN-γ), type I IFN or a PAMP (LPS or poly I:C). Several key genes of the inflammatory process were targetted to assess whether any modulation of their expression occurred due to the addition of cortisol to this cell line. Incubation of macrophages for 3 or 6 h with a physiological concentration of cortisol caused a decrease in expression of IL-6 and IL-8, but no significant changes were observed for the other genes examined. Co-stimulation of cortisol with the inflammatory agents resulted in a general suppression of genes related to the inflammatory response. Cortisol inhibited the up-regulation of IL-8 by all the stimulants after 3 h of co-incubation. Suppression of the up-regulation of IL-6 by rIL-1β, rIFN-γ and poly I:C, of γIP by rIFN-γ or poly I:C, and of Cox-2 by rIL-1β was seen after 6 h. In contrast, cortisol in combination with the pro-inflammatory agents has a synergistic effect on IL-10 expression, an anti-inflammatory molecule, suggesting that the activation of certain macrophage functions that lead to the resolution of inflammation occurs in fish macrophages in response to cortisol treatment.","DOI":"10.1016/j.fsi.2010.10.010","ISSN":"1095-9947","note":"PMID: 20965252","journalAbbreviation":"Fish Shellfish Immunol.","language":"eng","author":[{"family":"Castro","given":"Rosario"},{"family":"Zou","given":"Jun"},{"family":"Secombes","given":"Christopher J."},{"family":"Martin","given":"Samuel A. M."}],"issued":{"date-parts":[["2011",1]]}}},{"id":1830,"uris":["http://zotero.org/users/952979/items/MBEACPU2"],"uri":["http://zotero.org/users/952979/items/MBEACPU2"],"itemData":{"id":1830,"type":"article-journal","title":"Characterization and functional analysis of goldfish (Carassius auratus L.) interleukin-10","container-title":"Molecular Immunology","page":"563-571","volume":"48","issue":"4","source":"PubMed","abstract":"This is the first report of comprehensive functional analysis of an interleukin-10 in bony fish. Quantitative expression analysis of goldfish IL-10 revealed the greatest mRNA levels in the spleen tissues, peripheral blood leukocytes and granulocytes. The stimulation of cells with recombinant goldfish (rg) TNFα2 significantly reduced IL-10 mRNA levels in granulocytes and monocytes of the goldfish. To functionally assess the goldfish IL-10, we generated a recombinant form of the molecule (rgIL-10). The rgIL-10 substantially reduced the expression of TNFα1, TNFα2, IL-1β1, IL-10, CXCL-8, and NADPH oxidase component, p47(phox) in monocytes activated with heat-killed Aeromonas salmonicida and reduced the expression of IFNγ in A. salmonicida-activated splenocytes. Pre-treatment of monocytes with rgIL-10 resulted in substantial reduction of the ROI response of the A. salmonicida or rgIFNγ-primed monocytes. The rgIL-10 bound to goldfish monocytes and induced phosphorylation and nuclear translocation of Stat3. The rgIL-10 also induced rapid and robust increase in the mRNA levels of the goldfish monocyte SOCS-3. Our results indicate that the function of IL-10 is highly conserved through evolution.","DOI":"10.1016/j.molimm.2010.10.013","ISSN":"1872-9142","note":"PMID: 21111485","journalAbbreviation":"Mol. Immunol.","language":"eng","author":[{"family":"Grayfer","given":"Leon"},{"family":"Hodgkinson","given":"Jordan W."},{"family":"Hitchen","given":"Steven J."},{"family":"Belosevic","given":"Miodrag"}],"issued":{"date-parts":[["2011",1]]}}},{"id":1320,"uris":["http://zotero.org/users/952979/items/3759TGNH"],"uri":["http://zotero.org/users/952979/items/3759TGNH"],"itemData":{"id":1320,"type":"article-journal","title":"Differential macrophage polarisation during parasitic infections in common carp (Cyprinus carpio L.)","container-title":"Fish &amp; Shellfish Immunology","page":"561-571","volume":"21","issue":"5","source":"ScienceDirect","abstract":"In many parasitic infections both classically activated macrophages (caMF) and alternatively activated macrophages (aaMF) play a pivotal role. To investigate if both types of macrophages also play an important role during parasitic infections in fish, we infected carp with either Trypanoplasma borreli or Trypanosoma carassii and determined the activation state of the head kidney leukocytes (HKL). Nitrite production was used as read-out for caMF and arginase activity as read-out for aaMF. Basal nitrite production and arginase activity of HKL were moderately different between the two infections. Differences were observed, however, after ex vivo re-stimulation of HKL. Re-stimulation with LPS and T. borreli lysates increased nitrite production by HKL of T. borreli-infected fish. Re-stimulation with cAMP increased arginase activity in HKL of T. carassii-infected fish. Our results indicate that T. borreli-infected carp are more prone to increase nitrite production by caMF while T. carassii-infected fish are more prone to increase arginase activity by aaMF.","DOI":"10.1016/j.fsi.2006.03.006","ISSN":"1050-4648","journalAbbreviation":"Fish &amp; Shellfish Immunology","author":[{"family":"Joerink","given":"Maaike"},{"family":"Forlenza","given":"Maria"},{"family":"Ribeiro","given":"Carla M. S."},{"family":"Vries","given":"Beitske J.","non-dropping-particle":"de"},{"family":"Savelkoul","given":"Huub F. J."},{"family":"Wiegertjes","given":"Geert F."}],"issued":{"date-parts":[["2006",11]]}}}],"schema":"https://github.com/citation-style-language/schema/raw/master/csl-citation.json"} </w:instrText>
      </w:r>
      <w:r>
        <w:fldChar w:fldCharType="separate"/>
      </w:r>
      <w:r w:rsidR="004A1963" w:rsidRPr="004A1963">
        <w:rPr>
          <w:rFonts w:ascii="Calibri" w:hAnsi="Calibri" w:cs="Times New Roman"/>
        </w:rPr>
        <w:t>(135–137)</w:t>
      </w:r>
      <w:r>
        <w:fldChar w:fldCharType="end"/>
      </w:r>
      <w:r>
        <w:t xml:space="preserve">. This further demonstrates the conserved nature of such signalling. TGF-β signalling can attenuate LPS-stimulated inflammatory gene expression in carp macrophages </w:t>
      </w:r>
      <w:r>
        <w:fldChar w:fldCharType="begin"/>
      </w:r>
      <w:r w:rsidR="000A209C">
        <w:instrText xml:space="preserve"> ADDIN ZOTERO_ITEM CSL_CITATION {"citationID":"1J2D57yx","properties":{"formattedCitation":"(138)","plainCitation":"(138)","noteIndex":0},"citationItems":[{"id":1817,"uris":["http://zotero.org/users/952979/items/58EJDG6B"],"uri":["http://zotero.org/users/952979/items/58EJDG6B"],"itemData":{"id":1817,"type":"article-journal","title":"Dual-parallel inhibition of IL-10 and TGF-β1 controls LPS-induced inflammatory response via NF-κB signaling in grass carp monocytes/macrophages","container-title":"Fish &amp; Shellfish Immunology","page":"445-452","volume":"44","issue":"2","source":"ScienceDirect","abstract":"In fish, the knowledge on the regulation of inflammatory responses is limited. In the present study, LPS rapidly increased the mRNA levels of grass carp pro-inflammatory factors, including tumor necrosis factor α (TNF-α), interleukin-1β (IL-1β), inducible nitric oxides synthase (iNOS) and IL-8 in monocytes/macrophages, indicating the occurrence of innate inflammatory responses in fish as seen in mammals. Intriguingly, the gene expression and protein secretion of grass carp IL-10 (gcIL-10) and TGF-β1 (gcTGF-β1) were induced by LPS in the same cell model, promoting us to clarify their roles in regulating inflammatory response. Results revealed that grass carp IL-10 polyclonal antibody (anti-gcIL-10 pAb) and grass carp TGF-β1 monoclonal antibody (anti-gcTGF-β1 mAb) could amplify the stimulation of LPS on the mRNA levels of tnfα, il1β, inos and il8, suggesting the inhibitory tone of endogenous IL-10 and TGF-β1 in LPS-challenged immune responses. This notion was further supported by the fact that recombinant grass carp IL-10 (rgcIL-10) and recombinant grass carp TGF-β1 (rgcTGF-β1) attenuated LPS-stimulated tnfα, il1β, inos and il8 gene expression in monocytes/macrophages. Further study revealed that rgcIL-10 and rgcTGF-β1 impaired NF-κB activation by blocking LPS-induced grass carp IκBα (gcIκBα) protein degradation in the cells. In addition, the correlation between gcIL-10 and gcTGF-β1 in this regulation was examined by immunoneutralization, unveiling that anti-gcTGF-β1 mAb and anti-gcIL-10 pAb were unable to alter the inhibitory effects of rgcIL-10 and rgcTGF-β1 on pro-inflammatory factors expression in grass carp monocytes/macrophages, respectively. This dual and parallel effect of gcIL-10 and gcTGF-β1 strengthened their importance in controlling inflammatory responses. Taken together, our findings shed a light on the functional role, regulatory mechanism and relationship of fish IL-10 and TGF-β1 in regulating inflammatory response.","DOI":"10.1016/j.fsi.2015.03.023","ISSN":"1050-4648","journalAbbreviation":"Fish &amp; Shellfish Immunology","author":[{"family":"Wei","given":"He"},{"family":"Yin","given":"Licheng"},{"family":"Feng","given":"Shiyu"},{"family":"Wang","given":"Xinyan"},{"family":"Yang","given":"Kun"},{"family":"Zhang","given":"Anying"},{"family":"Zhou","given":"Hong"}],"issued":{"date-parts":[["2015",6,1]]}}}],"schema":"https://github.com/citation-style-language/schema/raw/master/csl-citation.json"} </w:instrText>
      </w:r>
      <w:r>
        <w:fldChar w:fldCharType="separate"/>
      </w:r>
      <w:r w:rsidR="004A1963" w:rsidRPr="004A1963">
        <w:rPr>
          <w:rFonts w:ascii="Calibri" w:hAnsi="Calibri"/>
        </w:rPr>
        <w:t>(138)</w:t>
      </w:r>
      <w:r>
        <w:fldChar w:fldCharType="end"/>
      </w:r>
      <w:r>
        <w:t xml:space="preserve">. As </w:t>
      </w:r>
      <w:r w:rsidR="000E45F9">
        <w:t xml:space="preserve">teleost </w:t>
      </w:r>
      <w:r>
        <w:t xml:space="preserve">fish lack receptors that have strong homology to IL-4R, there are fewer investigations into M2-like functions of macrophages in these species </w:t>
      </w:r>
      <w:r>
        <w:fldChar w:fldCharType="begin"/>
      </w:r>
      <w:r w:rsidR="000A209C">
        <w:instrText xml:space="preserve"> ADDIN ZOTERO_ITEM CSL_CITATION {"citationID":"v9eEoWwq","properties":{"formattedCitation":"(124,139)","plainCitation":"(124,139)","noteIndex":0},"citationItems":[{"id":1284,"uris":["http://zotero.org/users/952979/items/N38NZG8H"],"uri":["http://zotero.org/users/952979/items/N38NZG8H"],"itemData":{"id":1284,"type":"article-journal","title":"Polarization of immune responses in fish: The ‘macrophages first’ point of view","container-title":"Molecular Immunology","source":"ScienceDirect","abstract":"In this review, we support taking polarized immune responses in teleost fish from a ‘macrophage first’ point of view, a hypothesis that reverts the dichotomous T helper (TH)1 and TH2 driving forces by building on the idea of conservation of innate immune responses in lower vertebrates. It is plausible that the initial trigger for macrophage polarization into M1 (inflammation) or M2 (healing) could rely only on sensing microbial/parasite infection or other innate danger signals, without the influence of adaptive immunity. Given the long and ongoing debate on the presence/absence of a typical TH1 cytokine environment and, in particular, TH2 cytokine environment in fish immune responses, it stands out that the presence of macrophages with polarized phenotypes, alike M1 and M2, have been relatively easy to demonstrate for fish. We summarize in short present knowledge in teleost fish on those cytokines considered most critical to the dichotomous development of TH1/M1 and TH2/M2 polarization, in particular, but not exclusively, interferon-γ and interleukin (IL)-4/IL-13. We review, in more detail, polarization of fish immune responses taken from the macrophage point of view for which we adopted the simple nomenclature of M1 and M2. We discuss inducible nitric oxide synthase, or NOS-2, as a reliable M1 marker and arginase-2 as a reliable M2 marker for teleost fish and discuss the value of these macrophage markers for the generation of zebrafish reporter lines to study M1/M2 polarization in vivo.","URL":"http://www.sciencedirect.com/science/article/pii/S0161589015300894","DOI":"10.1016/j.molimm.2015.09.026","ISSN":"0161-5890","shortTitle":"Polarization of immune responses in fish","journalAbbreviation":"Molecular Immunology","author":[{"family":"Wiegertjes","given":"Geert F."},{"family":"Wentzel","given":"Annelieke S."},{"family":"Spaink","given":"Herman P."},{"family":"Elks","given":"Philip M."},{"family":"Fink","given":"Inge R."}],"issued":{"date-parts":[["2015"]]},"accessed":{"date-parts":[["2015",11,11]]}}},{"id":1182,"uris":["http://zotero.org/users/952979/items/T5UZNKP7"],"uri":["http://zotero.org/users/952979/items/T5UZNKP7"],"itemData":{"id":1182,"type":"article-journal","title":"Biology of Bony Fish Macrophages","container-title":"Biology","page":"881-906","volume":"4","issue":"4","source":"PubMed","abstract":"Macrophages are found across all vertebrate species, reside in virtually all animal tissues, and play critical roles in host protection and homeostasis. Various mechanisms determine and regulate the highly plastic functional phenotypes of macrophages, including antimicrobial host defenses (pro-inflammatory, M1-type), and resolution and repair functions (anti-inflammatory/regulatory, M2-type). The study of inflammatory macrophages in immune defense of teleosts has garnered much attention, and antimicrobial mechanisms of these cells have been extensively studied in various fish models. Intriguingly, both similarities and differences have been documented for the regulation of lower vertebrate macrophage antimicrobial defenses, as compared to what has been described in mammals. Advances in our understanding of the teleost macrophage M2 phenotypes likewise suggest functional conservation through similar and distinct regulatory strategies, compared to their mammalian counterparts. In this review, we discuss the current understanding of the molecular mechanisms governing teleost macrophage functional heterogeneity, including monopoetic development, classical macrophage inflammatory and antimicrobial responses as well as alternative macrophage polarization towards tissues repair and resolution of inflammation.","DOI":"10.3390/biology4040881","note":"PMID: 26633534\nPMCID: PMC4690021","journalAbbreviation":"Biology (Basel)","language":"eng","author":[{"family":"Hodgkinson","given":"Jordan W."},{"family":"Grayfer","given":"Leon"},{"family":"Belosevic","given":"Miodrag"}],"issued":{"date-parts":[["2015",11,30]]}}}],"schema":"https://github.com/citation-style-language/schema/raw/master/csl-citation.json"} </w:instrText>
      </w:r>
      <w:r>
        <w:fldChar w:fldCharType="separate"/>
      </w:r>
      <w:r w:rsidR="004A1963" w:rsidRPr="004A1963">
        <w:rPr>
          <w:rFonts w:ascii="Calibri" w:hAnsi="Calibri"/>
        </w:rPr>
        <w:t>(124,139)</w:t>
      </w:r>
      <w:r>
        <w:fldChar w:fldCharType="end"/>
      </w:r>
      <w:r>
        <w:t xml:space="preserve">. It appears that a large amount of the literature regarding </w:t>
      </w:r>
      <w:r w:rsidR="000E45F9">
        <w:t xml:space="preserve">teleost </w:t>
      </w:r>
      <w:r>
        <w:t xml:space="preserve">fish M2-responses is based upon arginase. For example, carp macrophages stimulated with cyclic AMP (cAMP) increase the expression of arginase, which can be inhibited by NOS-inhibition, similar to the antagonistic functions of NOS and arginase in humans and mice </w:t>
      </w:r>
      <w:r>
        <w:fldChar w:fldCharType="begin"/>
      </w:r>
      <w:r w:rsidR="000A209C">
        <w:instrText xml:space="preserve"> ADDIN ZOTERO_ITEM CSL_CITATION {"citationID":"eKYF71Yv","properties":{"formattedCitation":"(140)","plainCitation":"(140)","noteIndex":0},"citationItems":[{"id":1822,"uris":["http://zotero.org/users/952979/items/DHY6ZMZA"],"uri":["http://zotero.org/users/952979/items/DHY6ZMZA"],"itemData":{"id":1822,"type":"article-journal","title":"Evolutionary conservation of alternative activation of macrophages: Structural and functional characterization of arginase 1 and 2 in carp (Cyprinus carpio L.)","container-title":"Molecular Immunology","page":"1116-1128","volume":"43","issue":"8","source":"ScienceDirect","abstract":"Classically activated macrophages (caMF) play an important role in type-I immune responses and alternatively activated macrophages (aaMF) function in type-II immune responses. While the classical activation of fish macrophages has been well described, the existence of aaMF has not yet been described for teleosts. Arginase is the characteristic enzyme in aaMF and two isoforms have been described for mammals. To study the presence of aaMF in a primitive vertebrate species we cloned arginase 1 and 2 cDNA of common carp. Carp arginase 1 is a 340 aa protein with 63% aa sequence identity to human arginase 1. Carp arginase 2 is a 347 aa protein with 63% aa sequence identity to human arginase 2. Three highly homologous arginase 2 genes were found, each showing only single non-synonymous substitutions. Basal arginase 1 expression is mainly found in carp mid kidney. In contrast, arginase 2 was expressed in all organs examined with the highest basal gene expression in liver. Cultured carp head kidney-derived macrophages were used to study aaMF in vitro. Carp macrophages showed significant arginase activity which could be induced by dibutyryl cyclic adenosine mono phosphate (cAMP) and specifically inhibited by NG-hydroxy-l-arginine (NOHA). At the gene level, arginase 2 gene expression was upregulated by cAMP stimulation, while arginase 1 gene expression was not influenced. LPS stimulation did not alter the arginase 1 or 2 expression, inducible nitric oxide synthase (iNOS) expression was, however, upregulated. This expression of iNOS was used as a measure of classical activation of carp macrophages. Thus, in contrast to mammals, fish arginase 2 and not arginase 1 is differentially regulated and likely involved in the alternative activation of fish macrophages. Our data suggest there may be an evolutionary conservation of the presence of aaMF down to teleost fish.","DOI":"10.1016/j.molimm.2005.07.022","ISSN":"0161-5890","shortTitle":"Evolutionary conservation of alternative activation of macrophages","journalAbbreviation":"Molecular Immunology","author":[{"family":"Joerink","given":"Maaike"},{"family":"Savelkoul","given":"Huub F. J."},{"family":"Wiegertjes","given":"Geert F."}],"issued":{"date-parts":[["2006",3,1]]}}}],"schema":"https://github.com/citation-style-language/schema/raw/master/csl-citation.json"} </w:instrText>
      </w:r>
      <w:r>
        <w:fldChar w:fldCharType="separate"/>
      </w:r>
      <w:r w:rsidR="004A1963" w:rsidRPr="004A1963">
        <w:rPr>
          <w:rFonts w:ascii="Calibri" w:hAnsi="Calibri"/>
        </w:rPr>
        <w:t>(140)</w:t>
      </w:r>
      <w:r>
        <w:fldChar w:fldCharType="end"/>
      </w:r>
      <w:r>
        <w:t xml:space="preserve">. Infection of carp with </w:t>
      </w:r>
      <w:r w:rsidRPr="00E95BE4">
        <w:rPr>
          <w:i/>
        </w:rPr>
        <w:t>Trypanosoma</w:t>
      </w:r>
      <w:r w:rsidRPr="00E95BE4">
        <w:t xml:space="preserve"> </w:t>
      </w:r>
      <w:r w:rsidRPr="00E95BE4">
        <w:rPr>
          <w:i/>
        </w:rPr>
        <w:t>carassii</w:t>
      </w:r>
      <w:r>
        <w:t xml:space="preserve"> results in increased expression of arginase </w:t>
      </w:r>
      <w:r>
        <w:fldChar w:fldCharType="begin"/>
      </w:r>
      <w:r w:rsidR="000A209C">
        <w:instrText xml:space="preserve"> ADDIN ZOTERO_ITEM CSL_CITATION {"citationID":"kIqDUrak","properties":{"formattedCitation":"(137)","plainCitation":"(137)","noteIndex":0},"citationItems":[{"id":1320,"uris":["http://zotero.org/users/952979/items/3759TGNH"],"uri":["http://zotero.org/users/952979/items/3759TGNH"],"itemData":{"id":1320,"type":"article-journal","title":"Differential macrophage polarisation during parasitic infections in common carp (Cyprinus carpio L.)","container-title":"Fish &amp; Shellfish Immunology","page":"561-571","volume":"21","issue":"5","source":"ScienceDirect","abstract":"In many parasitic infections both classically activated macrophages (caMF) and alternatively activated macrophages (aaMF) play a pivotal role. To investigate if both types of macrophages also play an important role during parasitic infections in fish, we infected carp with either Trypanoplasma borreli or Trypanosoma carassii and determined the activation state of the head kidney leukocytes (HKL). Nitrite production was used as read-out for caMF and arginase activity as read-out for aaMF. Basal nitrite production and arginase activity of HKL were moderately different between the two infections. Differences were observed, however, after ex vivo re-stimulation of HKL. Re-stimulation with LPS and T. borreli lysates increased nitrite production by HKL of T. borreli-infected fish. Re-stimulation with cAMP increased arginase activity in HKL of T. carassii-infected fish. Our results indicate that T. borreli-infected carp are more prone to increase nitrite production by caMF while T. carassii-infected fish are more prone to increase arginase activity by aaMF.","DOI":"10.1016/j.fsi.2006.03.006","ISSN":"1050-4648","journalAbbreviation":"Fish &amp; Shellfish Immunology","author":[{"family":"Joerink","given":"Maaike"},{"family":"Forlenza","given":"Maria"},{"family":"Ribeiro","given":"Carla M. S."},{"family":"Vries","given":"Beitske J.","non-dropping-particle":"de"},{"family":"Savelkoul","given":"Huub F. J."},{"family":"Wiegertjes","given":"Geert F."}],"issued":{"date-parts":[["2006",11]]}}}],"schema":"https://github.com/citation-style-language/schema/raw/master/csl-citation.json"} </w:instrText>
      </w:r>
      <w:r>
        <w:fldChar w:fldCharType="separate"/>
      </w:r>
      <w:r w:rsidR="004A1963" w:rsidRPr="004A1963">
        <w:rPr>
          <w:rFonts w:ascii="Calibri" w:hAnsi="Calibri"/>
        </w:rPr>
        <w:t>(137)</w:t>
      </w:r>
      <w:r>
        <w:fldChar w:fldCharType="end"/>
      </w:r>
      <w:r>
        <w:t>. T</w:t>
      </w:r>
      <w:r w:rsidRPr="00B9075A">
        <w:t xml:space="preserve">here is evidence that </w:t>
      </w:r>
      <w:r>
        <w:t xml:space="preserve">alterations in </w:t>
      </w:r>
      <w:r w:rsidRPr="00B9075A">
        <w:t xml:space="preserve">arginase </w:t>
      </w:r>
      <w:r>
        <w:t xml:space="preserve">is associated with shifting behaviours during </w:t>
      </w:r>
      <w:r w:rsidRPr="00B9075A">
        <w:t xml:space="preserve">immune </w:t>
      </w:r>
      <w:r>
        <w:t>responses</w:t>
      </w:r>
      <w:r w:rsidRPr="00B9075A">
        <w:t xml:space="preserve"> </w:t>
      </w:r>
      <w:r>
        <w:t xml:space="preserve">in </w:t>
      </w:r>
      <w:r w:rsidRPr="00B9075A">
        <w:t xml:space="preserve">humans, mice and </w:t>
      </w:r>
      <w:r w:rsidRPr="00B9075A">
        <w:rPr>
          <w:i/>
        </w:rPr>
        <w:t>Drosophila</w:t>
      </w:r>
      <w:r w:rsidRPr="00B9075A">
        <w:t xml:space="preserve"> </w:t>
      </w:r>
      <w:r w:rsidRPr="00B9075A">
        <w:fldChar w:fldCharType="begin"/>
      </w:r>
      <w:r w:rsidR="000A209C">
        <w:instrText xml:space="preserve"> ADDIN ZOTERO_ITEM CSL_CITATION {"citationID":"V8Sws7iq","properties":{"formattedCitation":"(20,22,141)","plainCitation":"(20,22,141)","noteIndex":0},"citationItems":[{"id":1312,"uris":["http://zotero.org/users/952979/items/2DRD5T5T"],"uri":["http://zotero.org/users/952979/items/2DRD5T5T"],"itemData":{"id":1312,"type":"article-journal","title":"M-1/M-2 macrophages and the Th1/Th2 paradigm","container-title":"Journal of Immunology (Baltimore, Md.: 1950)","page":"6166-6173","volume":"164","issue":"12","source":"PubMed","abstract":"Evidence is provided that macrophages can make M-1 or M-2 responses. The concept of M-1/M-2 fomented from observations that macrophages from prototypical Th1 strains (C57BL/6, B10D2) are more easily activated to produce NO with either IFN-gamma or LPS than macrophages from Th2 strains (BALB/c, DBA/2). In marked contrast, LPS stimulates Th2, but not Th1, macrophages to increase arginine metabolism to ornithine. Thus, M-1/M-2 does not simply describe activated or unactivated macrophages, but cells expressing distinct metabolic programs. Because NO inhibits cell division, while ornithine can stimulate cell division (via polyamines), these results also indicate that M-1 and M-2 responses can influence inflammatory reactions in opposite ways. Macrophage TGF-beta1, which inhibits inducible NO synthase and stimulates arginase, appears to play an important role in regulating the balance between M-1 and M-2. M-1/M-2 phenotypes are independent of T or B lymphocytes because C57BL/6 and BALB/c NUDE or SCID macrophages also exhibit M-1/M-2. Indeed, M-1/M-2 proclivities are magnified in NUDE and SCID mice. Finally, C57BL/6 SCID macrophages cause CB6F1 lymphocytes to increase IFN-gamma production, while BALB/c SCID macrophages increase TGF-beta production. Together, the results indicate that M-1- or M-2-dominant macrophage responses can influence whether Th1/Th2 or other types of inflammatory responses occur.","ISSN":"0022-1767","note":"PMID: 10843666","journalAbbreviation":"J. Immunol.","language":"eng","author":[{"family":"Mills","given":"C. D."},{"family":"Kincaid","given":"K."},{"family":"Alt","given":"J. M."},{"family":"Heilman","given":"M. J."},{"family":"Hill","given":"A. M."}],"issued":{"date-parts":[["2000",6,15]]}}},{"id":1581,"uris":["http://zotero.org/users/952979/items/4EKM3DDA"],"uri":["http://zotero.org/users/952979/items/4EKM3DDA"],"itemData":{"id":1581,"type":"article-journal","title":"Temporal expression of different pathways of 1-arginine metabolism in healing wounds","container-title":"Journal of Immunology (Baltimore, Md.: 1950)","page":"3877-3880","volume":"144","issue":"10","source":"PubMed","abstract":"Arginine can be metabolized by inflammatory cells through at least two pathways. One is an oxidative l-arginine deiminase (OAD) that results in the formation of citrulline and reactive nitrogen intermediates. The other is arginase, which determines the production of ornithine and urea. The temporal expression of these pathways in an experimental wound model (s.c. implanted polyvinyl alcohol sponges in the rat) was investigated by examining the concentrations of amino acids and of nitrite in fluids obtained from the sponges 6 h to 15 day after implantation. These analyses revealed two distinct periods during which the arginine concentration in the fluids was markedly below plasma levels. During the early period (less than 3 days after sponge implantation) wound fluid contained more citrulline and nitrite than at any other time, suggesting OAD activity. In contrast, ornithine accumulated in the fluids during the late decrease in arginine concentration that extended beyond day 3, during which time the wound fluid also contained a high arginase activity. This time-dependent expression of different pathways of arginine metabolism in wounds was confirmed in sponge cultures containing [guanido-14C]-l-arginine. Cells contained in sponges harvested less than 48 h after implantation metabolized labeled arginine mainly to labeled citrulline, whereas labeled urea was produced during culture of sponges harvested after this time. The low arginine content of wound fluid did not appear to be rate limiting for the expression of OAD in late sponges because no OAD activity was evidenced when 4 mM arginine was added to the cultures. These results indicate that the OAD pathway is expressed in this model predominantly during the early, polymorphonuclear leukocyte-predominant, phase of repair. At this time, the reactive nitrogen intermediates resulting from the metabolism of arginine may mediate some of the events characteristic of early inflammation, including microbiostasis, vasodilation, and inhibition/reversal of platelet aggregation. In turn, the late suppression of this pathway and the catabolism of arginine through arginase may promote macrophage function within wounds.","ISSN":"0022-1767","note":"PMID: 2332635","journalAbbreviation":"J. Immunol.","language":"eng","author":[{"family":"Albina","given":"J. E."},{"family":"Mills","given":"C. D."},{"family":"Henry","given":"W. L."},{"family":"Caldwell","given":"M. D."}],"issued":{"date-parts":[["1990",5,15]]}}},{"id":1227,"uris":["http://zotero.org/users/952979/items/SP5P3KKQ"],"uri":["http://zotero.org/users/952979/items/SP5P3KKQ"],"itemData":{"id":1227,"type":"article-journal","title":"Immune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rsidRPr="00B9075A">
        <w:fldChar w:fldCharType="separate"/>
      </w:r>
      <w:r w:rsidR="004A1963" w:rsidRPr="004A1963">
        <w:rPr>
          <w:rFonts w:ascii="Calibri" w:hAnsi="Calibri"/>
        </w:rPr>
        <w:t>(20,22,141)</w:t>
      </w:r>
      <w:r w:rsidRPr="00B9075A">
        <w:fldChar w:fldCharType="end"/>
      </w:r>
      <w:r w:rsidRPr="00B9075A">
        <w:t>.</w:t>
      </w:r>
      <w:r>
        <w:t xml:space="preserve"> One study stimulated mice macrophages and </w:t>
      </w:r>
      <w:r>
        <w:rPr>
          <w:i/>
        </w:rPr>
        <w:t xml:space="preserve">Drosophila </w:t>
      </w:r>
      <w:r>
        <w:t xml:space="preserve">hemocytes with Mesencephalic Astrocyte-derived Neurotrophic Factor (MANF) and found increased levels of arginase and M2-like (pro-repair) functions. However, care should be taken when using arginase as a macrophage phenotype marker, since macrophages lacking arginine are still capable of repair functions </w:t>
      </w:r>
      <w:r>
        <w:fldChar w:fldCharType="begin"/>
      </w:r>
      <w:r w:rsidR="000A209C">
        <w:instrText xml:space="preserve"> ADDIN ZOTERO_ITEM CSL_CITATION {"citationID":"wr1z27c8","properties":{"formattedCitation":"(93)","plainCitation":"(93)","noteIndex":0},"citationItems":[{"id":1872,"uris":["http://zotero.org/users/952979/items/VBIC35N4"],"uri":["http://zotero.org/users/952979/items/VBIC35N4"],"itemData":{"id":1872,"type":"article-journal","title":"Local arginase 1 activity is required for cutaneous wound healing","container-title":"The Journal of Investigative Dermatology","page":"2461-2470","volume":"133","issue":"10","source":"PubMed","abstract":"Chronic nonhealing wounds in the elderly population are associated with a prolonged and excessive inflammatory response, which is widely hypothesized to impede healing. Previous studies have linked alterations in local L-arginine metabolism, principally mediated by the enzymes arginase (Arg) and inducible nitric oxide synthase (iNOS), to pathological wound healing. Over subsequent years, interest in Arg/iNOS has focused on the classical versus alternatively activated (M1/M2) macrophage paradigm. Although the role of iNOS during healing has been studied, Arg contribution to healing remains unclear. Here, we report that Arg is dynamically regulated during acute wound healing. Pharmacological inhibition of local Arg activity directly perturbed healing, as did Tie2-cre-mediated deletion of Arg1, revealing the importance of Arg1 during healing. Inhibition or depletion of Arg did not alter alternatively activated macrophage numbers but instead was associated with increased inflammation, including increased influx of iNOS(+) cells and defects in matrix deposition. Finally, we reveal that in preclinical murine models reduced Arg expression directly correlates with delayed healing, and as such may represent an important future therapeutic target.","DOI":"10.1038/jid.2013.164","ISSN":"1523-1747","note":"PMID: 23552798\nPMCID: PMC3778883","journalAbbreviation":"J. Invest. Dermatol.","language":"eng","author":[{"family":"Campbell","given":"Laura"},{"family":"Saville","given":"Charis R."},{"family":"Murray","given":"Peter J."},{"family":"Cruickshank","given":"Sheena M."},{"family":"Hardman","given":"Matthew J."}],"issued":{"date-parts":[["2013",10]]}}}],"schema":"https://github.com/citation-style-language/schema/raw/master/csl-citation.json"} </w:instrText>
      </w:r>
      <w:r>
        <w:fldChar w:fldCharType="separate"/>
      </w:r>
      <w:r w:rsidR="004A1963" w:rsidRPr="004A1963">
        <w:rPr>
          <w:rFonts w:ascii="Calibri" w:hAnsi="Calibri"/>
        </w:rPr>
        <w:t>(93)</w:t>
      </w:r>
      <w:r>
        <w:fldChar w:fldCharType="end"/>
      </w:r>
      <w:r>
        <w:t xml:space="preserve">. </w:t>
      </w:r>
      <w:r w:rsidRPr="008E40EC">
        <w:t>Macrophage colony-stimulating factor (M-CSF</w:t>
      </w:r>
      <w:r>
        <w:t xml:space="preserve">) is a M2 stimulating factor </w:t>
      </w:r>
      <w:r>
        <w:fldChar w:fldCharType="begin"/>
      </w:r>
      <w:r w:rsidR="000A209C">
        <w:instrText xml:space="preserve"> ADDIN ZOTERO_ITEM CSL_CITATION {"citationID":"wLe8y20k","properties":{"formattedCitation":"(26)","plainCitation":"(26)","noteIndex":0},"citationItems":[{"id":1369,"uris":["http://zotero.org/users/952979/items/MIAUSN3M"],"uri":["http://zotero.org/users/952979/items/MIAUSN3M"],"itemData":{"id":1369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fldChar w:fldCharType="separate"/>
      </w:r>
      <w:r w:rsidR="004A1963" w:rsidRPr="004A1963">
        <w:rPr>
          <w:rFonts w:ascii="Calibri" w:hAnsi="Calibri"/>
        </w:rPr>
        <w:t>(26)</w:t>
      </w:r>
      <w:r>
        <w:fldChar w:fldCharType="end"/>
      </w:r>
      <w:r>
        <w:t xml:space="preserve"> with CSF-1 its homolog in </w:t>
      </w:r>
      <w:r w:rsidR="000E45F9">
        <w:t xml:space="preserve">teleost </w:t>
      </w:r>
      <w:r>
        <w:t xml:space="preserve">fish </w:t>
      </w:r>
      <w:r>
        <w:fldChar w:fldCharType="begin"/>
      </w:r>
      <w:r w:rsidR="000A209C">
        <w:instrText xml:space="preserve"> ADDIN ZOTERO_ITEM CSL_CITATION {"citationID":"NSSbZtkt","properties":{"formattedCitation":"(142)","plainCitation":"(142)","noteIndex":0},"citationItems":[{"id":1821,"uris":["http://zotero.org/users/952979/items/GYQ2VPNM"],"uri":["http://zotero.org/users/952979/items/GYQ2VPNM"],"itemData":{"id":1821,"type":"article-journal","title":"Two Macrophage Colony-Stimulating Factor Genes Exist in Fish That Differ in Gene Organization and Are Differentially Expressed","container-title":"The Journal of Immunology","page":"3310-3322","volume":"181","issue":"5","source":"www.jimmunol.org","abstract":"Mammalian macrophage CSF (MCSF; CSF-1) is the primary regulator of the mononuclear phagocyte lineage. We, for the first time, report the complete sequencing of five MCSF cDNAs from three fish species, rainbow trout, zebrafish, and goldfish. Despite the difference in the lengths of the MCSF transcripts, all of the fish MCSF molecules encode a signal peptide, a CSF-1 domain, a transmembrane domain, and an intracellular region. Each fish MCSF gene has a unique exon/intron structure. The primordial MCSF gene may have had a nine exon/eight intron structure. In this model, insertion of an intron in exon 6 in primitive fish created the fish type I MCSF, while the loss of this exon or part of the original exon 6 created the fish type II MCSF. Investigation of alternative splicing variants in trout suggests that no mammalian equivalent splice variants exist. The two trout MCSF genes are differentially expressed in vivo and contributed differently to the high-level expression of MCSF in spleen and head kidney. In contrast to the up-regulation of MCSF by PMA in mammals, in trout MCSF1 expression is down-regulated by PMA treatment. As in mammals, recombinant trout MCSF1 can promote the growth of head kidney leukocytes, and it up-regulates the expression of CXCR3 in head kidney macrophages, with the latter suggesting a role of MCSF in the trafficking of macrophages to sites of inflammation or injury where the CXCR3 ligands are expressed. Thus MCSF has an important role in the immune system of fish as in mammals.","DOI":"10.4049/jimmunol.181.5.3310","ISSN":"0022-1767, 1550-6606","note":"PMID: 18714003","language":"en","author":[{"family":"Wang","given":"Tiehui"},{"family":"Hanington","given":"Patrick C."},{"family":"Belosevic","given":"Miodrag"},{"family":"Secombes","given":"Christopher J."}],"issued":{"date-parts":[["2008",9,1]]}}}],"schema":"https://github.com/citation-style-language/schema/raw/master/csl-citation.json"} </w:instrText>
      </w:r>
      <w:r>
        <w:fldChar w:fldCharType="separate"/>
      </w:r>
      <w:r w:rsidR="004A1963" w:rsidRPr="004A1963">
        <w:rPr>
          <w:rFonts w:ascii="Calibri" w:hAnsi="Calibri"/>
        </w:rPr>
        <w:t>(142)</w:t>
      </w:r>
      <w:r>
        <w:fldChar w:fldCharType="end"/>
      </w:r>
      <w:r>
        <w:t xml:space="preserve">. However, in </w:t>
      </w:r>
      <w:r w:rsidR="000E45F9">
        <w:t xml:space="preserve">teleost </w:t>
      </w:r>
      <w:r>
        <w:t xml:space="preserve">fish this appears to promote M1 macrophage phenotypes </w:t>
      </w:r>
      <w:r>
        <w:fldChar w:fldCharType="begin"/>
      </w:r>
      <w:r w:rsidR="000A209C">
        <w:instrText xml:space="preserve"> ADDIN ZOTERO_ITEM CSL_CITATION {"citationID":"EMB1LI7W","properties":{"formattedCitation":"(143\\uc0\\u8211{}145)","plainCitation":"(143–145)","noteIndex":0},"citationItems":[{"id":1820,"uris":["http://zotero.org/users/952979/items/IN9BF3AZ"],"uri":["http://zotero.org/users/952979/items/IN9BF3AZ"],"itemData":{"id":1820,"type":"article-journal","title":"Macrophage colony-stimulating factor (CSF-1) induces pro-inflammatory gene expression and enhances antimicrobial responses of goldfish (Carassius auratus L.) macrophages","container-title":"Fish &amp; Shellfish Immunology","page":"406-413","volume":"26","issue":"3","source":"ScienceDirect","abstract":"We report on the regulation of pro-inflammatory functions of goldfish macrophages and induction of gene expression by recombinant goldfish CSF-1 (rgCSF-1). Recombinant goldfish TNFα-2 (rg TNFα-2), rgIFNγ but not rgTGFβ induced time-dependent increase of CSF-1 expression in macrophages. Treatment of goldfish macrophages with rgCSF-1 increased expression of several immune genes including CXCL-8 (=IL-8), CCL-1, TNFα-1, TNFα-2, IL-1β-1, IL-1β-2, IL-12-p35, IL-12-p40, IFN, IL-10 and iNOS A and B. The rgCSF-1 treatment did not significantly alter the mRNA levels of TGFβ and NRAMP in macrophages up to 48h post treatment. However, at 72h post treatment, the expression of TGFβ increased whereas that of NRAMP decreased. The treatment of macrophages with rgCSF-1 enhanced their respiratory burst and nitric oxide responses that were abrogated after addition of soluble CSF-1 receptor (sCSF-1R) to cell cultures. Macrophages exhibited a concentration-dependent chemotactic response toward rgCSF-1 as well as an increase in phagocytic activity that was abrogated after addition of sCSF-1R to cell cultures. Our results indicate that in addition to being an important growth factor of goldfish macrophages, rgCSF-1 also plays a central role in the regulation of their pro-inflammatory responses.","DOI":"10.1016/j.fsi.2008.12.001","ISSN":"1050-4648","journalAbbreviation":"Fish &amp; Shellfish Immunology","author":[{"family":"Grayfer","given":"Leon"},{"family":"Hanington","given":"Patrick C."},{"family":"Belosevic","given":"Miodrag"}],"issued":{"date-parts":[["2009",3,1]]}}},{"id":1819,"uris":["http://zotero.org/users/952979/items/D2UEX62V"],"uri":["http://zotero.org/users/952979/items/D2UEX62V"],"itemData":{"id":1819,"type":"article-journal","title":"Control of CSF-1 induced inflammation in teleost fish by a soluble form of the CSF-1 receptor","container-title":"Fish &amp; Shellfish Immunology","collection-title":"Special Issue: ISFSI 2013 review","page":"45-51","volume":"41","issue":"1","source":"ScienceDirect","abstract":"The colony-stimulating factor-1 (CSF-1) is the principal regulator of the survival, proliferation, differentiation, and function of macrophages and their precursors, and has been shown to play a role in the etiology of inflammation. We recently identified a novel mechanism for the control of CSF-1 activity in teleost fish, through the production of an inhibitory soluble form of the CSF-1 receptor (sCSF-1R). Primary goldfish kidney macrophages selectively expressed sCSF-1R during the senescence phase, which corresponds to a defined stage of in vitro culture development where inhibition of macrophage proliferation and apoptotic cell death are prominent. In contrast, primary macrophage cultures undergoing active proliferation displayed low levels of sCSF-1R expression. Addition of purified recombinant sCSF-1R to developing primary macrophage cultures leads to a dose-dependent decrease in macrophage proliferation and inhibits macrophage antimicrobial functions including chemotaxis, phagocytosis, and production of reactive oxygen intermediates. Using a goldfish in vivo model of self-resolving peritonitis, we found that sCSF-1R plays a role in the inhibition of inflammation, following an initial acute phase of antimicrobial responses within an inflammatory site. Soluble CSF-1R inhibits pro-inflammatory cytokine production, inhibits leukocyte recruitment to the inflammatory site and decreases ROS production in a dose-dependent manner. This sCSF-1R-dependent regulation of inflammation appears to be an elegant mechanism for the control of macrophage numbers at inflammatory sites of lower vertebrates. Overall, our results provide new insights into the evolutionary origins of the CSF-1 immune regulatory axis.","DOI":"10.1016/j.fsi.2014.03.035","ISSN":"1050-4648","journalAbbreviation":"Fish &amp; Shellfish Immunology","author":[{"family":"Rieger","given":"Aja M."},{"family":"Hanington","given":"Patrick C."},{"family":"Belosevic","given":"Miodrag"},{"family":"Barreda","given":"Daniel R."}],"issued":{"date-parts":[["2014",11,1]]}}},{"id":1818,"uris":["http://zotero.org/users/952979/items/PPFMLH8B"],"uri":["http://zotero.org/users/952979/items/PPFMLH8B"],"itemData":{"id":1818,"type":"article-journal","title":"Teleost soluble CSF-1R modulates cytokine profiles at an inflammatory site, and inhibits neutrophil chemotaxis, phagocytosis, and bacterial killing","container-title":"Developmental &amp; Comparative Immunology","page":"259-266","volume":"49","issue":"2","source":"ScienceDirect","abstract":"Soluble colony stimulating factor-1 receptor (sCSF-1R) is a novel bony fish protein that contributes to the regulation of macrophage proliferation. We recently showed that this soluble receptor is highly upregulated by teleost macrophages in the presence of apoptotic cells. Further, recombinant sCSF-1R inhibited leukocyte infiltration into a challenge site in vivo. Herein, we characterized the mechanisms underlying these changes as a platform to better understand the evolutionary origins of the CSF-1 immune-regulatory axis and inflammation control in teleosts. Using an in vivo model of self-resolving peritonitis, we show that sCSF-1R downregulates chemokine expression and inhibits neutrophil chemotaxis. Soluble CSF-1R also inhibited gene expression of several pro-inflammatory cytokines and promoted the expression of an anti-inflammatory mediator, IL-10. Finally, the phenotype of infiltrating neutrophils changed significantly in the presence of sCSF-1R. Both a reduced capacity for phagocytosis and pathogen killing were observed. Overall, our results implicate sCSF-1R as an important regulator of neutrophil responses in teleosts. It remains unclear whether this represents an inflammation regulatory factor that is unique to this animal group or one that may be evolutionarily conserved and continues to contribute to the regulation of antimicrobial processes at inflammatory sites in higher vertebrates.","DOI":"10.1016/j.dci.2014.12.003","ISSN":"0145-305X","journalAbbreviation":"Developmental &amp; Comparative Immunology","author":[{"family":"Rieger","given":"Aja M."},{"family":"Havixbeck","given":"Jeffrey J."},{"family":"Belosevic","given":"Miodrag"},{"family":"Barreda","given":"Daniel R."}],"issued":{"date-parts":[["2015",4,1]]}}}],"schema":"https://github.com/citation-style-language/schema/raw/master/csl-citation.json"} </w:instrText>
      </w:r>
      <w:r>
        <w:fldChar w:fldCharType="separate"/>
      </w:r>
      <w:r w:rsidR="004A1963" w:rsidRPr="004A1963">
        <w:rPr>
          <w:rFonts w:ascii="Calibri" w:hAnsi="Calibri" w:cs="Times New Roman"/>
        </w:rPr>
        <w:t>(143–145)</w:t>
      </w:r>
      <w:r>
        <w:fldChar w:fldCharType="end"/>
      </w:r>
      <w:r>
        <w:t xml:space="preserve">, illustrating the complexity of the dichotomous view of macrophage polarisation across species. </w:t>
      </w:r>
    </w:p>
    <w:p w14:paraId="28AC1EB7" w14:textId="77777777" w:rsidR="001D1AB8" w:rsidRDefault="001D1AB8" w:rsidP="001D1AB8">
      <w:pPr>
        <w:pStyle w:val="Thesisnormal"/>
      </w:pPr>
    </w:p>
    <w:p w14:paraId="6E230A86" w14:textId="38E598AB" w:rsidR="001D1AB8" w:rsidRDefault="001D1AB8" w:rsidP="001D1AB8">
      <w:pPr>
        <w:pStyle w:val="Thesisnormal"/>
      </w:pPr>
      <w:r>
        <w:lastRenderedPageBreak/>
        <w:t xml:space="preserve">In humans and mice, macrophages colonise all tissues where they form resident populations </w:t>
      </w:r>
      <w:r>
        <w:fldChar w:fldCharType="begin"/>
      </w:r>
      <w:r w:rsidR="000A209C">
        <w:instrText xml:space="preserve"> ADDIN ZOTERO_ITEM CSL_CITATION {"citationID":"VsyY3YmO","properties":{"formattedCitation":"(49)","plainCitation":"(49)","noteIndex":0},"citationItems":[{"id":1273,"uris":["http://zotero.org/users/952979/items/8W9NN5MZ"],"uri":["http://zotero.org/users/952979/items/8W9NN5MZ"],"itemData":{"id":1273,"type":"article-journal","title":"Tissue biology perspective on macrophages","container-title":"Nature Immunology","page":"9-17","volume":"17","issue":"1","source":"www.nature.com","abstract":"Macrophages are essential components of mammalian tissues. Although historically known mainly for their function in host defense and the clearance of apoptotic cells, macrophages are now increasingly recognized as serving many roles in tissue development, homeostasis and repair. In addition, tissue-resident macrophages have many tissue-specific functional characteristics, which are a reflection of distinct gene-expression programs. Here we discuss the emerging views of macrophage biology from evolutionary, developmental and homeostatic perspectives.\nView full text","DOI":"10.1038/ni.3320","ISSN":"1529-2908","journalAbbreviation":"Nat Immunol","language":"en","author":[{"family":"Okabe","given":"Yasutaka"},{"family":"Medzhitov","given":"Ruslan"}],"issued":{"date-parts":[["2016",1]]}}}],"schema":"https://github.com/citation-style-language/schema/raw/master/csl-citation.json"} </w:instrText>
      </w:r>
      <w:r>
        <w:fldChar w:fldCharType="separate"/>
      </w:r>
      <w:r w:rsidR="004A1963" w:rsidRPr="004A1963">
        <w:rPr>
          <w:rFonts w:ascii="Calibri" w:hAnsi="Calibri"/>
        </w:rPr>
        <w:t>(49)</w:t>
      </w:r>
      <w:r>
        <w:fldChar w:fldCharType="end"/>
      </w:r>
      <w:r>
        <w:t xml:space="preserve">. In characterising the mononuclear phagocyte system in zebrafish, macrophages were found in all hematolymphoid organs including the spleen and liver </w:t>
      </w:r>
      <w:r>
        <w:fldChar w:fldCharType="begin"/>
      </w:r>
      <w:r w:rsidR="000A209C">
        <w:instrText xml:space="preserve"> ADDIN ZOTERO_ITEM CSL_CITATION {"citationID":"t1ck57dF","properties":{"formattedCitation":"(123)","plainCitation":"(123)","noteIndex":0},"citationItems":[{"id":1839,"uris":["http://zotero.org/users/952979/items/HSWA8K83"],"uri":["http://zotero.org/users/952979/items/HSWA8K83"],"itemData":{"id":1839,"type":"article-journal","title":"Characterization of the mononuclear phagocyte system in zebrafish","container-title":"Blood","page":"7126-7135","volume":"117","issue":"26","source":"PubMed","abstract":"The evolutionarily conserved immune system of the zebrafish (Danio rerio), in combination with its genetic tractability, position it as an excellent model system in which to elucidate the origin and function of vertebrate immune cells. We recently reported the existence of antigen-presenting mononuclear phagocytes in zebrafish, namely macrophages and dendritic cells (DCs), but have been impaired in further characterizing the biology of these cells by the lack of a specific transgenic reporter line. Using regulatory elements of a class II major histocompatibility gene, we generated a zebrafish reporter line expressing green fluorescent protein (GFP) in all APCs, macrophages, DCs, and B lymphocytes. Examination of mhc2dab:GFP; cd45:DsRed double-transgenic animals demonstrated that kidney mhc2dab:GFP(hi); cd45:DsRed(hi) cells were exclusively mature monocytes/macrophages and DCs, as revealed by morphologic and molecular analyses. Mononuclear phagocytes were found in all hematolymphoid organs, but were most abundant in the intestine and spleen, where they up-regulate the expression of inflammatory cytokines upon bacterial challenge. Finally, mhc2dab:GFP and cd45:DsRed transgenes mark mutually exclusive cell subsets in the lymphoid fraction, enabling the delineation of the major hematopoietic lineages in the adult zebrafish. These findings suggest that mhc2dab:GFP and cd45:DsRed transgenic lines will be instrumental in elucidating the immune response in the zebrafish.","DOI":"10.1182/blood-2010-11-321448","ISSN":"1528-0020","note":"PMID: 21406720","journalAbbreviation":"Blood","language":"eng","author":[{"family":"Wittamer","given":"Valerie"},{"family":"Bertrand","given":"Julien Y."},{"family":"Gutschow","given":"Patrick W."},{"family":"Traver","given":"David"}],"issued":{"date-parts":[["2011",6,30]]}}}],"schema":"https://github.com/citation-style-language/schema/raw/master/csl-citation.json"} </w:instrText>
      </w:r>
      <w:r>
        <w:fldChar w:fldCharType="separate"/>
      </w:r>
      <w:r w:rsidR="004A1963" w:rsidRPr="004A1963">
        <w:rPr>
          <w:rFonts w:ascii="Calibri" w:hAnsi="Calibri"/>
        </w:rPr>
        <w:t>(123)</w:t>
      </w:r>
      <w:r>
        <w:fldChar w:fldCharType="end"/>
      </w:r>
      <w:r>
        <w:t xml:space="preserve">. Further studies have demonstrated that the skin, heart, gut and brain all contain tissue resident macrophages in zebrafish </w:t>
      </w:r>
      <w:r>
        <w:fldChar w:fldCharType="begin"/>
      </w:r>
      <w:r w:rsidR="000A209C">
        <w:instrText xml:space="preserve"> ADDIN ZOTERO_ITEM CSL_CITATION {"citationID":"BCa2z0rK","properties":{"formattedCitation":"(146)","plainCitation":"(146)","noteIndex":0},"citationItems":[{"id":1837,"uris":["http://zotero.org/users/952979/items/UBV4F8P9"],"uri":["http://zotero.org/users/952979/items/UBV4F8P9"],"itemData":{"id":1837,"type":"article-journal","title":"Adult zebrafish Langerhans cells arise from hematopoietic stem/progenitor cells","container-title":"eLife","page":"e36131","volume":"7","source":"eLife","abstract":"The origin of Langerhans cells (LCs), which are skin epidermis-resident macrophages, remains unclear. Current lineage tracing of LCs largely relies on the promoter-Cre-LoxP system, which often gives rise to contradictory conclusions with different promoters. Thus, reinvestigation with an improved tracing method is necessary. Here, using a laser-mediated temporal-spatial resolved cell labeling method, we demonstrated that most adult LCs originated from the ventral wall of the dorsal aorta (VDA), an equivalent to the mouse aorta, gonads, and mesonephros (AGM), where both hematopoietic stem cells (HSCs) and non-HSC progenitors are generated. Further fine-fate mapping analysis revealed that the appearance of LCs in adult zebrafish was correlated with the development of HSCs, but not T cell progenitors. Finally, we showed that the appearance of tissue-resident macrophages in the brain, liver, heart, and gut of adult zebrafish was also correlated with HSCs. Thus, the results of our study challenged the EMP-origin theory for LCs.","DOI":"10.7554/eLife.36131","ISSN":"2050-084X","author":[{"family":"He","given":"Sicong"},{"family":"Chen","given":"Jiahao"},{"family":"Jiang","given":"Yunyun"},{"family":"Wu","given":"Yi"},{"family":"Zhu","given":"Lu"},{"family":"Jin","given":"Wan"},{"family":"Zhao","given":"Changlong"},{"family":"Yu","given":"Tao"},{"family":"Wang","given":"Tienan"},{"family":"Wu","given":"Shuting"},{"family":"Lin","given":"Xi"},{"family":"Qu","given":"Jianan Y"},{"family":"Wen","given":"Zilong"},{"family":"Zhang","given":"Wenqing"},{"family":"Xu","given":"Jin"}],"editor":[{"family":"Zon","given":"Leonard I"}],"issued":{"date-parts":[["2018",6,15]]}}}],"schema":"https://github.com/citation-style-language/schema/raw/master/csl-citation.json"} </w:instrText>
      </w:r>
      <w:r>
        <w:fldChar w:fldCharType="separate"/>
      </w:r>
      <w:r w:rsidR="004A1963" w:rsidRPr="004A1963">
        <w:rPr>
          <w:rFonts w:ascii="Calibri" w:hAnsi="Calibri"/>
        </w:rPr>
        <w:t>(146)</w:t>
      </w:r>
      <w:r>
        <w:fldChar w:fldCharType="end"/>
      </w:r>
      <w:r>
        <w:t xml:space="preserve">. However, the extent of true tissue resident macrophages in </w:t>
      </w:r>
      <w:r w:rsidR="000E45F9">
        <w:t xml:space="preserve">teleost </w:t>
      </w:r>
      <w:r>
        <w:t xml:space="preserve">fish remains to be investigated, especially in relation to macrophage ontogeny. Importantly, this limited data suggests that tissue resident macrophages are not just a feature of mice and humans. </w:t>
      </w:r>
    </w:p>
    <w:p w14:paraId="5157B1C9" w14:textId="77777777" w:rsidR="001D1AB8" w:rsidRDefault="001D1AB8" w:rsidP="001D1AB8">
      <w:pPr>
        <w:pStyle w:val="Thesisnormal"/>
      </w:pPr>
    </w:p>
    <w:p w14:paraId="2C4C56A5" w14:textId="3507C252" w:rsidR="001D1AB8" w:rsidRPr="00B9075A" w:rsidRDefault="001D1AB8" w:rsidP="001D1AB8">
      <w:pPr>
        <w:pStyle w:val="Thesisnormal"/>
      </w:pPr>
      <w:r>
        <w:t xml:space="preserve">As evolution progresses, the variety of immune responses available to an organism increases, for example in bony fish, there exists a wide array of immune cells including mast cells and eosinophils </w:t>
      </w:r>
      <w:r>
        <w:fldChar w:fldCharType="begin"/>
      </w:r>
      <w:r w:rsidR="000A209C">
        <w:instrText xml:space="preserve"> ADDIN ZOTERO_ITEM CSL_CITATION {"citationID":"d1NIrTuw","properties":{"formattedCitation":"(147)","plainCitation":"(147)","noteIndex":0},"citationItems":[{"id":1838,"uris":["http://zotero.org/users/952979/items/XXW3JHCV"],"uri":["http://zotero.org/users/952979/items/XXW3JHCV"],"itemData":{"id":1838,"type":"article-journal","title":"Inflammatory cells of teleostean fish: a review focusing on mast cells/eosinophilic granule cells and rodlet cells","container-title":"Fish &amp; Shellfish Immunology","page":"192-208","volume":"20","issue":"2","source":"PubMed","abstract":"In contrast to the roles played by monocytes/macrophages, neutrophils and lymphocytes, the presence and functions of basophils, mast cells/eosinophilic granule cells, eosinophils and rodlet cells in teleosts are areas of controversy. The tissue distribution of mast cells/eosinophilic granule cells in species from a certain genus shows a characteristic pattern, and this pattern is usually also present at the family level. Functionally, the mast cells/eosinophilic granule cells of teleosts show close similarity to the mast cells of mammals. Acute tissue damage is causing mast cell/eosinophilic granule cell degranulation and release of mediators of inflammation, whereas an increase in the number of these cells is often found in chronically inflamed tissues. The mast cells/eosinophilic granule cells of teleosts show marked diversity in their staining properties, with both basophilic and acidophilic components in their granules. In some fish families, e.g. the labrids, the eosinophilic component is dominating, whereas in the pike the granules are strongly basophilic and show the metachromatic staining characteristics found in the granules of mast cells, but being more akin to the granules of the mucosal than to those of the connective tissue type of mast cells of mammals. With respect to rodlet cells, a cell type hitherto clearly demonstrated only in teleosts, a characteristic distribution pattern seems to be established in certain families. In other families rodlet cells are absent in some individuals and present in different tissues in others. However, there is a close relation between the presence of helminths or other noxious agents and the presence of rodlet cells. Massive aggregations of such cells can be seen in affected epithelia of gills or the intestinal tract, and in individuals of species from some fish families they also occur in association with mesothelial and endothelial tissues. The rodlet cell may represent a type of eosinophilic granulocyte that populates the tissues at its immature stage and mature in response to the appropriate stimuli, in a way similar to that of mast cell precursors. Present evidence points to a functional role for the rodlet cells of teleosts in host defence against parasites.","DOI":"10.1016/j.fsi.2005.01.012","ISSN":"1050-4648","note":"PMID: 15978838","shortTitle":"Inflammatory cells of teleostean fish","journalAbbreviation":"Fish Shellfish Immunol.","language":"eng","author":[{"family":"Reite","given":"Ola B."},{"family":"Evensen","given":"Oystein"}],"issued":{"date-parts":[["2006",2]]}}}],"schema":"https://github.com/citation-style-language/schema/raw/master/csl-citation.json"} </w:instrText>
      </w:r>
      <w:r>
        <w:fldChar w:fldCharType="separate"/>
      </w:r>
      <w:r w:rsidR="004A1963" w:rsidRPr="004A1963">
        <w:rPr>
          <w:rFonts w:ascii="Calibri" w:hAnsi="Calibri"/>
        </w:rPr>
        <w:t>(147)</w:t>
      </w:r>
      <w:r>
        <w:fldChar w:fldCharType="end"/>
      </w:r>
      <w:r>
        <w:t xml:space="preserve">. Indeed, the adaptive immune response developed with the emergence of bony fish </w:t>
      </w:r>
      <w:r>
        <w:fldChar w:fldCharType="begin"/>
      </w:r>
      <w:r w:rsidR="000A209C">
        <w:instrText xml:space="preserve"> ADDIN ZOTERO_ITEM CSL_CITATION {"citationID":"JUfIiRyk","properties":{"formattedCitation":"(148)","plainCitation":"(148)","noteIndex":0},"citationItems":[{"id":1876,"uris":["http://zotero.org/users/952979/items/E68TYFMH"],"uri":["http://zotero.org/users/952979/items/E68TYFMH"],"itemData":{"id":1876,"type":"article-journal","title":"Evolution of Innate Immunity: Clues from Invertebrates via Fish to Mammals","container-title":"Frontiers in Immunology","page":"459","volume":"5","source":"PubMed","abstract":"Host responses against invading pathogens are basic physiological reactions of all living organisms. Since the appearance of the first eukaryotic cells, a series of defense mechanisms have evolved in order to secure cellular integrity, homeostasis, and survival of the host. Invertebrates, ranging from protozoans to metazoans, possess cellular receptors, which bind to foreign elements and differentiate self from non-self. This ability is in multicellular animals associated with presence of phagocytes, bearing different names (amebocytes, hemocytes, coelomocytes) in various groups including animal sponges, worms, cnidarians, mollusks, crustaceans, chelicerates, insects, and echinoderms (sea stars and urchins). Basically, these cells have a macrophage-like appearance and function and the repair and/or fight functions associated with these cells are prominent even at the earliest evolutionary stage. The cells possess pathogen recognition receptors recognizing pathogen-associated molecular patterns, which are well-conserved molecular structures expressed by various pathogens (virus, bacteria, fungi, protozoans, helminths). Scavenger receptors, Toll-like receptors, and Nod-like receptors (NLRs) are prominent representatives within this group of host receptors. Following receptor-ligand binding, signal transduction initiates a complex cascade of cellular reactions, which lead to production of one or more of a wide array of effector molecules. Cytokines take part in this orchestration of responses even in lower invertebrates, which eventually may result in elimination or inactivation of the intruder. Important innate effector molecules are oxygen and nitrogen species, antimicrobial peptides, lectins, fibrinogen-related peptides, leucine rich repeats (LRRs), pentraxins, and complement-related proteins. Echinoderms represent the most developed invertebrates and the bridge leading to the primitive chordates, cephalochordates, and urochordates, in which many autologous genes and functions from their ancestors can be found. They exhibit numerous variants of innate recognition and effector molecules, which allow fast and innate responses toward diverse pathogens despite lack of adaptive responses. The primitive vertebrates (agnathans also termed jawless fish) were the first to supplement innate responses with adaptive elements. Thus hagfish and lampreys use LRRs as variable lymphocyte receptors, whereas higher vertebrates [cartilaginous and bony fishes (jawed fish), amphibians, reptiles, birds, and mammals] developed the major histocompatibility complex, T-cell receptors, and B-cell receptors (immunoglobulins) as additional adaptive weaponry to assist innate responses. Extensive cytokine networks are recognized in fish, but related signal molecules can be traced among invertebrates. The high specificity, antibody maturation, immunological memory, and secondary responses of adaptive immunity were so successful that it allowed higher vertebrates to reduce the number of variants of the innate molecules originating from both invertebrates and lower vertebrates. Nonetheless, vertebrates combine the two arms in an intricate inter-dependent network. Organisms at all developmental stages have, in order to survive, applied available genes and functions of which some may have been lost or may have changed function through evolution. The molecular mechanisms involved in evolution of immune molecules, might apart from simple base substitutions be as diverse as gene duplication, deletions, alternative splicing, gene recombination, domain shuffling, retrotransposition, and gene conversion. Further, variable regulation of gene expression may have played a role.","DOI":"10.3389/fimmu.2014.00459","ISSN":"1664-3224","note":"PMID: 25295041\nPMCID: PMC4172062","shortTitle":"Evolution of Innate Immunity","journalAbbreviation":"Front Immunol","language":"eng","author":[{"family":"Buchmann","given":"Kurt"}],"issued":{"date-parts":[["2014"]]}}}],"schema":"https://github.com/citation-style-language/schema/raw/master/csl-citation.json"} </w:instrText>
      </w:r>
      <w:r>
        <w:fldChar w:fldCharType="separate"/>
      </w:r>
      <w:r w:rsidR="004A1963" w:rsidRPr="004A1963">
        <w:rPr>
          <w:rFonts w:ascii="Calibri" w:hAnsi="Calibri"/>
        </w:rPr>
        <w:t>(148)</w:t>
      </w:r>
      <w:r>
        <w:fldChar w:fldCharType="end"/>
      </w:r>
      <w:r>
        <w:t>. As immune responses increase in complexity, the difference between species also increases; for example, a</w:t>
      </w:r>
      <w:r w:rsidRPr="00610EFD">
        <w:t xml:space="preserve">lthough mice represent a good model system for studying immunity, there are </w:t>
      </w:r>
      <w:r>
        <w:t xml:space="preserve">significant </w:t>
      </w:r>
      <w:r w:rsidRPr="00610EFD">
        <w:t>differences between mice and human</w:t>
      </w:r>
      <w:r>
        <w:t>s</w:t>
      </w:r>
      <w:r w:rsidRPr="00610EFD">
        <w:t xml:space="preserve"> in the composition </w:t>
      </w:r>
      <w:r>
        <w:t xml:space="preserve">of the immune system and blood </w:t>
      </w:r>
      <w:r>
        <w:fldChar w:fldCharType="begin"/>
      </w:r>
      <w:r w:rsidR="000A209C">
        <w:instrText xml:space="preserve"> ADDIN ZOTERO_ITEM CSL_CITATION {"citationID":"VwYmCchh","properties":{"formattedCitation":"(149)","plainCitation":"(149)","noteIndex":0},"citationItems":[{"id":1681,"uris":["http://zotero.org/users/952979/items/ZIS9MQGB"],"uri":["http://zotero.org/users/952979/items/ZIS9MQGB"],"itemData":{"id":1681,"type":"article-journal","title":"Of Mice and Not Men: Differences between Mouse and Human Immunology","container-title":"The Journal of Immunology","page":"2731-2738","volume":"172","issue":"5","source":"www.jimmunol.org","abstract":"Mice are the experimental tool of choice for the majority of immunologists and the study of their immune responses has yielded tremendous insight into the workings of the human immune system. However, as 65 million years of evolution might suggest, there are significant differences. Here we outline known discrepancies in both innate and adaptive immunity, including: balance of leukocyte subsets, defensins, Toll receptors, inducible NO synthase, the NK inhibitory receptor families Ly49 and KIR, FcR, Ig subsets, the B cell (BLNK, Btk, and λ5) and T cell (ZAP70 and common γ-chain) signaling pathway components, Thy-1, γδ T cells, cytokines and cytokine receptors, Th1/Th2 differentiation, costimulatory molecule expression and function, Ag-presenting function of endothelial cells, and chemokine and chemokine receptor expression. We also provide examples, such as multiple sclerosis and delayed-type hypersensitivity, where complex multicomponent processes differ. Such differences should be taken into account when using mice as preclinical models of human disease.","DOI":"10.4049/jimmunol.172.5.2731","ISSN":"0022-1767, 1550-6606","note":"PMID: 14978070","shortTitle":"Of Mice and Not Men","language":"en","author":[{"family":"Mestas","given":"Javier"},{"family":"Hughes","given":"Christopher C. W."}],"issued":{"date-parts":[["2004",3,1]]}}}],"schema":"https://github.com/citation-style-language/schema/raw/master/csl-citation.json"} </w:instrText>
      </w:r>
      <w:r>
        <w:fldChar w:fldCharType="separate"/>
      </w:r>
      <w:r w:rsidR="004A1963" w:rsidRPr="004A1963">
        <w:rPr>
          <w:rFonts w:ascii="Calibri" w:hAnsi="Calibri"/>
        </w:rPr>
        <w:t>(149)</w:t>
      </w:r>
      <w:r>
        <w:fldChar w:fldCharType="end"/>
      </w:r>
      <w:r w:rsidRPr="00610EFD">
        <w:t>.</w:t>
      </w:r>
      <w:r>
        <w:t xml:space="preserve"> </w:t>
      </w:r>
      <w:r w:rsidRPr="00610EFD">
        <w:t xml:space="preserve">Further study is required to determine if this different composition has functional relevance when extrapolating results to humans. </w:t>
      </w:r>
      <w:r>
        <w:t xml:space="preserve">Moreover, macrophages in different species may have species-specific functions such as the role of macrophages in choreographing the patterning of pigment cells in zebrafish </w:t>
      </w:r>
      <w:r>
        <w:fldChar w:fldCharType="begin"/>
      </w:r>
      <w:r w:rsidR="000A209C">
        <w:instrText xml:space="preserve"> ADDIN ZOTERO_ITEM CSL_CITATION {"citationID":"4dthwmnV","properties":{"formattedCitation":"(150)","plainCitation":"(150)","noteIndex":0},"citationItems":[{"id":1836,"uris":["http://zotero.org/users/952979/items/82YD8CV5"],"uri":["http://zotero.org/users/952979/items/82YD8CV5"],"itemData":{"id":1836,"type":"article-journal","title":"A macrophage relay for long-distance signaling during postembryonic tissue remodeling","container-title":"Science","page":"1317-1320","volume":"355","issue":"6331","source":"science.sciencemag.org.sheffield.idm.oclc.org","abstract":"Cell projections set up pigment pattern\nMacrophages eliminate dead or dying cells and identify and destroy invading microbes. However, they also exhibit nonimmune functions in development and homeostasis. Eom and Parichy show that macrophages are essential for postembryonic remodeling during adult pigment stripe formation in zebrafish (see the Perspective by Guilliams). Pigment cells relay signal-containing vesicles via cellular projections from one class of cell to another. Without macrophages, this signal relay fails, and adult stripes are disorganized.\nScience, this issue p. 1317; see also p. 1258\nMacrophages have diverse functions in immunity as well as in development and homeostasis. We identified a function for these cells in long-distance communication during postembryonic tissue remodeling. Ablation of macrophages in zebrafish prevented melanophores from coalescing into adult pigment stripes. Melanophore organization depends on signals provided by cells of the yellow xanthophore lineage via airinemes, long filamentous projections with vesicles at their tips. We show that airineme extension from originating cells, as well as vesicle deposition on target cells, depend on interactions with macrophages. These findings identify a role for macrophages in relaying long-range signals between nonimmune cells. This signaling modality may function in the remodeling and homeostasis of other tissues during normal development and disease.\nMacrophage projections participate in long-range signaling between pigment cells during zebrafish stripe formation.\nMacrophage projections participate in long-range signaling between pigment cells during zebrafish stripe formation.","DOI":"10.1126/science.aal2745","ISSN":"0036-8075, 1095-9203","note":"PMID: 28209639","language":"en","author":[{"family":"Eom","given":"Dae Seok"},{"family":"Parichy","given":"David M."}],"issued":{"date-parts":[["2017",3,24]]}}}],"schema":"https://github.com/citation-style-language/schema/raw/master/csl-citation.json"} </w:instrText>
      </w:r>
      <w:r>
        <w:fldChar w:fldCharType="separate"/>
      </w:r>
      <w:r w:rsidR="004A1963" w:rsidRPr="004A1963">
        <w:rPr>
          <w:rFonts w:ascii="Calibri" w:hAnsi="Calibri"/>
        </w:rPr>
        <w:t>(150)</w:t>
      </w:r>
      <w:r>
        <w:fldChar w:fldCharType="end"/>
      </w:r>
      <w:r>
        <w:t xml:space="preserve">. Despite this, there does appear to be high levels of conservation for essential immune functions across species. </w:t>
      </w:r>
      <w:r w:rsidRPr="00B9075A">
        <w:t xml:space="preserve">For example, the earliest known wound signals are conserved from </w:t>
      </w:r>
      <w:r w:rsidRPr="00B9075A">
        <w:rPr>
          <w:i/>
        </w:rPr>
        <w:t>Drosophila</w:t>
      </w:r>
      <w:r w:rsidRPr="00B9075A">
        <w:t xml:space="preserve"> </w:t>
      </w:r>
      <w:r>
        <w:t xml:space="preserve">to </w:t>
      </w:r>
      <w:r w:rsidR="000E45F9">
        <w:t xml:space="preserve">teleost </w:t>
      </w:r>
      <w:r>
        <w:t xml:space="preserve">fish and humans </w:t>
      </w:r>
      <w:r w:rsidRPr="00B9075A">
        <w:fldChar w:fldCharType="begin"/>
      </w:r>
      <w:r w:rsidR="000A209C">
        <w:instrText xml:space="preserve"> ADDIN ZOTERO_ITEM CSL_CITATION {"citationID":"sHUh9iD9","properties":{"formattedCitation":"(151,152)","plainCitation":"(151,152)","noteIndex":0},"citationItems":[{"id":1230,"uris":["http://zotero.org/users/952979/items/9G59Q34B"],"uri":["http://zotero.org/users/952979/items/9G59Q34B"],"itemData":{"id":1230,"type":"article-journal","title":"The early wound signals","container-title":"Current Opinion in Genetics &amp; Development","collection-title":"Cell reprogramming, regeneration and repair","page":"17-22","volume":"40","source":"ScienceDirect","abstract":"Wounding of tissue barriers, such as epithelia, disrupts homeostasis and allows infection. Within minutes, animals detect injury and respond to it by recruitment of phagocytes and barrier breach closure. The signals that activate these first events are scarcely known. Commonly considered are cytoplasmic factors released into the extracellular space by lysing cells (Damage Associated Molecular Patterns, DAMPs). DAMPs activate inflammatory gene transcription through pattern recognition receptors. But the promptness of wound responses is difficult to explain by transcriptional mechanisms alone. This review highlights the emerging role of nonlytic stress signals in the rapid detection of wounds.","DOI":"10.1016/j.gde.2016.05.001","ISSN":"0959-437X","journalAbbreviation":"Current Opinion in Genetics &amp; Development","author":[{"family":"Niethammer","given":"Philipp"}],"issued":{"date-parts":[["2016",10]]}}},{"id":1448,"uris":["http://zotero.org/users/952979/items/INVXV64F"],"uri":["http://zotero.org/users/952979/items/INVXV64F"],"itemData":{"id":1448,"type":"article-journal","title":"A tissue-scale gradient of hydrogen peroxide mediates rapid wound detection in zebrafish","container-title":"Nature","page":"996-999","volume":"459","issue":"7249","source":"PubMed","abstract":"Barrier structures (for example, epithelia around tissues and plasma membranes around cells) are required for internal homeostasis and protection from pathogens. Wound detection and healing represent a dormant morphogenetic program that can be rapidly executed to restore barrier integrity and tissue homeostasis. In animals, initial steps include recruitment of leukocytes to the site of injury across distances of hundreds of micrometres within minutes of wounding. The spatial signals that direct this immediate tissue response are unknown. Owing to their fast diffusion and versatile biological activities, reactive oxygen species, including hydrogen peroxide (H(2)O(2)), are interesting candidates for wound-to-leukocyte signalling. Here we probe the role of H(2)O(2) during the early events of wound responses in zebrafish larvae expressing a genetically encoded H(2)O(2) sensor. This reporter revealed a sustained rise in H(2)O(2) concentration at the wound margin, starting approximately 3 min after wounding and peaking at approximately 20 min, which extended approximately 100-200 microm into the tail-fin epithelium as a decreasing concentration gradient. Using pharmacological and genetic inhibition, we show that this gradient is created by dual oxidase (Duox), and that it is required for rapid recruitment of leukocytes to the wound. This is the first observation, to our knowledge, of a tissue-scale H(2)O(2) pattern, and the first evidence that H(2)O(2) signals to leukocytes in tissues, in addition to its known antiseptic role.","DOI":"10.1038/nature08119","ISSN":"1476-4687","note":"PMID: 19494811\nPMCID: PMC2803098","journalAbbreviation":"Nature","language":"eng","author":[{"family":"Niethammer","given":"Philipp"},{"family":"Grabher","given":"Clemens"},{"family":"Look","given":"A. Thomas"},{"family":"Mitchison","given":"Timothy J."}],"issued":{"date-parts":[["2009",6,18]]}}}],"schema":"https://github.com/citation-style-language/schema/raw/master/csl-citation.json"} </w:instrText>
      </w:r>
      <w:r w:rsidRPr="00B9075A">
        <w:fldChar w:fldCharType="separate"/>
      </w:r>
      <w:r w:rsidR="004A1963" w:rsidRPr="004A1963">
        <w:rPr>
          <w:rFonts w:ascii="Calibri" w:hAnsi="Calibri"/>
        </w:rPr>
        <w:t>(151,152)</w:t>
      </w:r>
      <w:r w:rsidRPr="00B9075A">
        <w:fldChar w:fldCharType="end"/>
      </w:r>
      <w:r w:rsidRPr="00B9075A">
        <w:t>.</w:t>
      </w:r>
      <w:r w:rsidRPr="00B2320A">
        <w:t xml:space="preserve"> </w:t>
      </w:r>
      <w:r>
        <w:t xml:space="preserve">The mechanisms polarising macrophage subsets may also be conserved across species. For example, rabbit macrophages responding to atherosclerosis are exposed to hypoxia, which skews their metabolism towards glycolysis, similar to M1 macrophages in humans and mice </w:t>
      </w:r>
      <w:r>
        <w:fldChar w:fldCharType="begin"/>
      </w:r>
      <w:r w:rsidR="000A209C">
        <w:instrText xml:space="preserve"> ADDIN ZOTERO_ITEM CSL_CITATION {"citationID":"BPn9r4ib","properties":{"formattedCitation":"(37)","plainCitation":"(37)","noteIndex":0},"citationItems":[{"id":1871,"uris":["http://zotero.org/users/952979/items/4TAZLJS7"],"uri":["http://zotero.org/users/952979/items/4TAZLJS7"],"itemData":{"id":1871,"type":"article-journal","title":"Increased Metabolite Levels of Glycolysis and Pentose Phosphate Pathway in Rabbit Atherosclerotic Arteries and Hypoxic Macrophage","container-title":"PLOS ONE","page":"e86426","volume":"9","issue":"1","source":"PLoS Journals","abstract":"Aims Inflammation and possibly hypoxia largely affect glucose utilization in atherosclerotic arteries, which could alter many metabolic systems. However, metabolic changes in atherosclerotic plaques remain unknown. The present study aims to identify changes in metabolic systems relative to glucose uptake and hypoxia in rabbit atherosclerotic arteries and cultured macrophages. Methods Macrophage-rich or smooth muscle cell (SMC)-rich neointima was created by balloon injury in the iliac-femoral arteries of rabbits fed with a 0.5% cholesterol diet or a conventional diet. THP-1 macrophages stimulated with lipopolysaccharides (LPS) and interferon-γ (INFγ) were cultured under normoxic and hypoxic conditions. We evaluated comprehensive arterial and macrophage metabolism by performing metabolomic analyses using capillary electrophoresis-time of flight mass spectrometry. We evaluated glucose uptake and its relationship to vascular hypoxia using 18F-fluorodeoxyglucose (18F-FDG) and pimonidazole, a marker of hypoxia. Results The levels of many metabolites increased in the iliac-femoral arteries with macrophage-rich neointima, compared with those that were not injured and those with SMC-rich neointima (glycolysis, 4 of 9; pentose phosphate pathway, 4 of 6; tricarboxylic acid cycle, 4 of 6; nucleotides, 10 of 20). The uptake of 18F-FDG in arterial walls measured by autoradiography positively correlated with macrophage- and pimonidazole-immunopositive areas (r = 0.76, and r = 0.59 respectively; n = 69 for both; p&lt;0.0001). Pimonidazole immunoreactivity was closely localized with the nuclear translocation of hypoxia inducible factor-1α and hexokinase II expression in macrophage-rich neointima. The levels of glycolytic (8 of 8) and pentose phosphate pathway (4 of 6) metabolites increased in LPS and INFγ stimulated macrophages under hypoxic but not normoxic condition. Plasminogen activator inhibitor-1 protein levels in the supernatant were closely associated with metabolic pathways in the macrophages. Conclusion Infiltrative macrophages in atherosclerotic arteries might affect metabolic systems, and hypoxia but not classical activation might augment glycolytic and pentose phosphate pathways in macrophages.","DOI":"10.1371/journal.pone.0086426","ISSN":"1932-6203","journalAbbreviation":"PLOS ONE","language":"en","author":[{"family":"Yamashita","given":"Atsushi"},{"family":"Zhao","given":"Yan"},{"family":"Matsuura","given":"Yunosuke"},{"family":"Yamasaki","given":"Kazuaki"},{"family":"Moriguchi-Goto","given":"Sayaka"},{"family":"Sugita","given":"Chihiro"},{"family":"Iwakiri","given":"Takashi"},{"family":"Okuyama","given":"Nozomi"},{"family":"Koshimoto","given":"Chihiro"},{"family":"Kawai","given":"Keiichi"},{"family":"Tamaki","given":"Nagara"},{"family":"Zhao","given":"Songji"},{"family":"Kuge","given":"Yuji"},{"family":"Asada","given":"Yujiro"}],"issued":{"date-parts":[["2014",1,23]]}}}],"schema":"https://github.com/citation-style-language/schema/raw/master/csl-citation.json"} </w:instrText>
      </w:r>
      <w:r>
        <w:fldChar w:fldCharType="separate"/>
      </w:r>
      <w:r w:rsidR="004A1963" w:rsidRPr="004A1963">
        <w:rPr>
          <w:rFonts w:ascii="Calibri" w:hAnsi="Calibri"/>
        </w:rPr>
        <w:t>(37)</w:t>
      </w:r>
      <w:r>
        <w:fldChar w:fldCharType="end"/>
      </w:r>
      <w:r>
        <w:t xml:space="preserve">. Fundamental aspects of macrophage behaviour, such as the discrimination of self and non-self, which is critical for immune function, is highly conserved </w:t>
      </w:r>
      <w:r w:rsidRPr="00B2320A">
        <w:fldChar w:fldCharType="begin"/>
      </w:r>
      <w:r w:rsidR="000A209C">
        <w:instrText xml:space="preserve"> ADDIN ZOTERO_ITEM CSL_CITATION {"citationID":"sfQXtl7G","properties":{"formattedCitation":"(153,154)","plainCitation":"(153,154)","noteIndex":0},"citationItems":[{"id":1841,"uris":["http://zotero.org/users/952979/items/XHNUJXMU"],"uri":["http://zotero.org/users/952979/items/XHNUJXMU"],"itemData":{"id":1841,"type":"article-journal","title":"Evolution of immune systems from self/not self to danger to artificial immune systems (AIS)","container-title":"Physics of Life Reviews","page":"55-78","volume":"7","issue":"1","source":"ScienceDirect","abstract":"This review will examine the evolution of immune mechanisms by emphasizing information from animal groups exclusive of all vertebrates. There will be a focus on concepts that propelled the immune system into prominent discourse in the life sciences. The self/not self hypothesis was crucial and so was the concern for immunologic memory or anamnesia, development of cancer, autoimmunity, and clonal selection. Now we may be able to deconstruct clonal selection since it is not applicable in the sense that it is not applicable to invertebrate mechanisms. Clonal selection seems to be purely as all evidence indicates a vertebrate strategy and therefore irrelevant to invertebrates. Some views may insist that anthropocentric mammalian immunologists utilized a tool to propel: the universal innate immune system of ubiquitous and plentiful invertebrates as an essential system for vertebrates. This was advantageous for all immunology; moreover innate immunity acquired an extended raison d'être. Innate immunity should help if there would be a failure of the adaptive immune system. Still to be answered are questions concerning immunologic surveillance that includes clonal selection. We can then ask does immunologic surveillance play a role in the survival of invertebrates that most universally seem to not develop cancer of vertebrates especially mammals; invertebrates only develop benign tumor. A recent proposal concerns an alternative explanation that is all embracing. Danger hypothesis operates in striking contrast to the self/not self hypothesis. This view holds that the immune system is adapted to intervene not because self is threatened but because of the system's sense of danger. This perception occurs by means of signals other than recognition of microbial pattern recognition molecules characteristic of invertebrates. Response to danger may be another way of analyzing innate immunity that does not trigger the production of clones and therefore does not rely entirely on the self/not self model. The review will end with certain perspectives on artificial immune systems new on the scene and the product of computational immunologists. The tentative view is to question if the immune systems of invertebrates might be amenable to such an analysis? This would offer more credence to the innate system, often pushed aside thus favoring the adaptive responses.","DOI":"10.1016/j.plrev.2009.12.001","ISSN":"1571-0645","journalAbbreviation":"Physics of Life Reviews","author":[{"family":"Cooper","given":"Edwin L."}],"issued":{"date-parts":[["2010",3,1]]}}},{"id":1842,"uris":["http://zotero.org/users/952979/items/NV3FZ39F"],"uri":["http://zotero.org/users/952979/items/NV3FZ39F"],"itemData":{"id":1842,"type":"article-journal","title":"Invertebrate allorecognition: the origins of histocompatibility","container-title":"Current biology: CB","page":"R286-288","volume":"19","issue":"7","source":"PubMed","abstract":"Alloimmune specificity and histocompatibility, driven by genetic polymorphism, are ancient determinants of self-/non-self-recognition. Recent molecular genetic evidence has revealed an allodeterminant in the cnidarian Hydractinia that consistently predicts histocompatibility reactions.","DOI":"10.1016/j.cub.2009.02.035","ISSN":"1879-0445","note":"PMID: 19368870\nPMCID: PMC3699862","shortTitle":"Invertebrate allorecognition","journalAbbreviation":"Curr. Biol.","language":"eng","author":[{"family":"Dishaw","given":"Larry J."},{"family":"Litman","given":"Gary W."}],"issued":{"date-parts":[["2009",4,14]]}}}],"schema":"https://github.com/citation-style-language/schema/raw/master/csl-citation.json"} </w:instrText>
      </w:r>
      <w:r w:rsidRPr="00B2320A">
        <w:fldChar w:fldCharType="separate"/>
      </w:r>
      <w:r w:rsidR="004A1963" w:rsidRPr="004A1963">
        <w:rPr>
          <w:rFonts w:ascii="Calibri" w:hAnsi="Calibri"/>
        </w:rPr>
        <w:t>(153,154)</w:t>
      </w:r>
      <w:r w:rsidRPr="00B2320A">
        <w:fldChar w:fldCharType="end"/>
      </w:r>
      <w:r w:rsidRPr="00B2320A">
        <w:t xml:space="preserve">. </w:t>
      </w:r>
      <w:r w:rsidRPr="00B2320A">
        <w:rPr>
          <w:iCs/>
        </w:rPr>
        <w:t xml:space="preserve">Toll and Toll-like receptors (TLRs) are important in the recognition of pathogens and can be found in humans, </w:t>
      </w:r>
      <w:r w:rsidR="000E45F9">
        <w:rPr>
          <w:iCs/>
        </w:rPr>
        <w:t xml:space="preserve">teleost </w:t>
      </w:r>
      <w:r w:rsidRPr="00B2320A">
        <w:rPr>
          <w:iCs/>
        </w:rPr>
        <w:t xml:space="preserve">fish and </w:t>
      </w:r>
      <w:r w:rsidRPr="00B2320A">
        <w:rPr>
          <w:i/>
          <w:iCs/>
        </w:rPr>
        <w:t xml:space="preserve">Drosophila </w:t>
      </w:r>
      <w:r w:rsidRPr="00B2320A">
        <w:rPr>
          <w:i/>
          <w:iCs/>
        </w:rPr>
        <w:fldChar w:fldCharType="begin"/>
      </w:r>
      <w:r w:rsidR="000A209C">
        <w:rPr>
          <w:i/>
          <w:iCs/>
        </w:rPr>
        <w:instrText xml:space="preserve"> ADDIN ZOTERO_ITEM CSL_CITATION {"citationID":"2DmnC6tg","properties":{"formattedCitation":"(155,156)","plainCitation":"(155,156)","noteIndex":0},"citationItems":[{"id":1221,"uris":["http://zotero.org/users/952979/items/SVUXX27K"],"uri":["http://zotero.org/users/952979/items/SVUXX27K"],"itemData":{"id":1221,"type":"article-journal","title":"The dorsoventral regulatory gene cassette spätzle/Toll/cactus controls the potent antifungal response in Drosophila adults","container-title":"Cell","page":"973-983","volume":"86","issue":"6","source":"PubMed","abstract":"The cytokine-induced activation cascade of NF-kappaB in mammals and the activation of the morphogen dorsal in Drosophila embryos show striking structural and functional similarities (Toll/IL-1, Cactus/I-kappaB, and dorsal/NF-kappaB). Here we demonstrate that these parallels extend to the immune response of Drosophila. In particular, the intracellular components of the dorsoventral signaling pathway (except for dorsal) and the extracellular Toll ligand, spätzle, control expression of the antifungal peptide gene drosomycin in adults. We also show that mutations in the Toll signaling pathway dramatically reduce survival after fungal infection. Antibacterial genes are induced either by a distinct pathway involving the immune deficiency gene (imd) or by combined activation of both imd and dorsoventral pathways.","ISSN":"0092-8674","note":"PMID: 8808632","journalAbbreviation":"Cell","language":"ENG","author":[{"family":"Lemaitre","given":"B."},{"family":"Nicolas","given":"E."},{"family":"Michaut","given":"L."},{"family":"Reichhart","given":"J. M."},{"family":"Hoffmann","given":"J. A."}],"issued":{"date-parts":[["1996",9,20]]}}},{"id":1634,"uris":["http://zotero.org/users/952979/items/6D36X8KS"],"uri":["http://zotero.org/users/952979/items/6D36X8KS"],"itemData":{"id":1634,"type":"article-journal","title":"Conservation and divergence in Toll-like receptor 4-regulated gene expression in primary human versus mouse macrophages","container-title":"Proceedings of the National Academy of Sciences of the United States of America","page":"E944-953","volume":"109","issue":"16","source":"PubMed","abstract":"Evolutionary change in gene expression is generally considered to be a major driver of phenotypic differences between species. We investigated innate immune diversification by analyzing interspecies differences in the transcriptional responses of primary human and mouse macrophages to the Toll-like receptor (TLR)-4 agonist lipopolysaccharide (LPS). By using a custom platform permitting cross-species interrogation coupled with deep sequencing of mRNA 5' ends, we identified extensive divergence in LPS-regulated orthologous gene expression between humans and mice (24% of orthologues were identified as \"divergently regulated\"). We further demonstrate concordant regulation of human-specific LPS target genes in primary pig macrophages. Divergently regulated orthologues were enriched for genes encoding cellular \"inputs\" such as cell surface receptors (e.g., TLR6, IL-7Rα) and functional \"outputs\" such as inflammatory cytokines/chemokines (e.g., CCL20, CXCL13). Conversely, intracellular signaling components linking inputs to outputs were typically concordantly regulated. Functional consequences of divergent gene regulation were confirmed by showing LPS pretreatment boosts subsequent TLR6 responses in mouse but not human macrophages, in keeping with mouse-specific TLR6 induction. Divergently regulated genes were associated with a large dynamic range of gene expression, and specific promoter architectural features (TATA box enrichment, CpG island depletion). Surprisingly, regulatory divergence was also associated with enhanced interspecies promoter conservation. Thus, the genes controlled by complex, highly conserved promoters that facilitate dynamic regulation are also the most susceptible to evolutionary change.","DOI":"10.1073/pnas.1110156109","ISSN":"1091-6490","note":"PMID: 22451944\nPMCID: PMC3341041","journalAbbreviation":"Proc. Natl. Acad. Sci. U.S.A.","language":"eng","author":[{"family":"Schroder","given":"Kate"},{"family":"Irvine","given":"Katharine M."},{"family":"Taylor","given":"Martin S."},{"family":"Bokil","given":"Nilesh J."},{"family":"Le Cao","given":"Kim-Anh"},{"family":"Masterman","given":"Kelly-Anne"},{"family":"Labzin","given":"Larisa I."},{"family":"Semple","given":"Colin A."},{"family":"Kapetanovic","given":"Ronan"},{"family":"Fairbairn","given":"Lynsey"},{"family":"Akalin","given":"Altuna"},{"family":"Faulkner","given":"Geoffrey J."},{"family":"Baillie","given":"John Kenneth"},{"family":"Gongora","given":"Milena"},{"family":"Daub","given":"Carsten O."},{"family":"Kawaji","given":"Hideya"},{"family":"McLachlan","given":"Geoffrey J."},{"family":"Goldman","given":"Nick"},{"family":"Grimmond","given":"Sean M."},{"family":"Carninci","given":"Piero"},{"family":"Suzuki","given":"Harukazu"},{"family":"Hayashizaki","given":"Yoshihide"},{"family":"Lenhard","given":"Boris"},{"family":"Hume","given":"David A."},{"family":"Sweet","given":"Matthew J."}],"issued":{"date-parts":[["2012",4,17]]}}}],"schema":"https://github.com/citation-style-language/schema/raw/master/csl-citation.json"} </w:instrText>
      </w:r>
      <w:r w:rsidRPr="00B2320A">
        <w:rPr>
          <w:i/>
          <w:iCs/>
        </w:rPr>
        <w:fldChar w:fldCharType="separate"/>
      </w:r>
      <w:r w:rsidR="004A1963" w:rsidRPr="004A1963">
        <w:rPr>
          <w:rFonts w:ascii="Calibri" w:hAnsi="Calibri"/>
        </w:rPr>
        <w:t>(155,156)</w:t>
      </w:r>
      <w:r w:rsidRPr="00B2320A">
        <w:rPr>
          <w:i/>
          <w:iCs/>
        </w:rPr>
        <w:fldChar w:fldCharType="end"/>
      </w:r>
      <w:r w:rsidRPr="00B2320A">
        <w:rPr>
          <w:iCs/>
        </w:rPr>
        <w:t>.</w:t>
      </w:r>
      <w:r>
        <w:rPr>
          <w:iCs/>
        </w:rPr>
        <w:t xml:space="preserve"> </w:t>
      </w:r>
      <w:r w:rsidRPr="00B9075A">
        <w:t xml:space="preserve">Together, this data demonstrates that immunity throughout evolution is highly complex but also shows a high degree of conservation in some areas. </w:t>
      </w:r>
    </w:p>
    <w:p w14:paraId="07A4BDA1" w14:textId="77777777" w:rsidR="001D1AB8" w:rsidRPr="00C05236" w:rsidRDefault="001D1AB8" w:rsidP="001D1AB8">
      <w:pPr>
        <w:pStyle w:val="Thesisnormal"/>
      </w:pPr>
    </w:p>
    <w:p w14:paraId="560B7A1E" w14:textId="77777777" w:rsidR="001D1AB8" w:rsidRDefault="001D1AB8" w:rsidP="001D1AB8">
      <w:pPr>
        <w:pStyle w:val="Heading2"/>
      </w:pPr>
      <w:bookmarkStart w:id="45" w:name="_Toc4589264"/>
      <w:r>
        <w:lastRenderedPageBreak/>
        <w:t xml:space="preserve">1.4 </w:t>
      </w:r>
      <w:r w:rsidRPr="00093923">
        <w:rPr>
          <w:i/>
        </w:rPr>
        <w:t>Drosophila</w:t>
      </w:r>
      <w:r>
        <w:t xml:space="preserve"> as a model to study macrophage biology</w:t>
      </w:r>
      <w:bookmarkEnd w:id="45"/>
    </w:p>
    <w:p w14:paraId="1158A652" w14:textId="77777777" w:rsidR="001D1AB8" w:rsidRDefault="001D1AB8" w:rsidP="001D1AB8">
      <w:pPr>
        <w:pStyle w:val="Thesisnormal"/>
      </w:pPr>
    </w:p>
    <w:p w14:paraId="10F14DF7" w14:textId="66715604" w:rsidR="001D1AB8" w:rsidRDefault="001D1AB8" w:rsidP="001D1AB8">
      <w:pPr>
        <w:pStyle w:val="Thesisnormal"/>
      </w:pPr>
      <w:r w:rsidRPr="00E825A0">
        <w:rPr>
          <w:i/>
        </w:rPr>
        <w:t>Drosophila</w:t>
      </w:r>
      <w:r>
        <w:t xml:space="preserve"> is a well-established </w:t>
      </w:r>
      <w:r w:rsidRPr="00ED6040">
        <w:t>model that is highly genetically tractable, has a short lifespan and is cheap to maintain</w:t>
      </w:r>
      <w:r w:rsidR="00BA62FD" w:rsidRPr="00ED6040">
        <w:t xml:space="preserve"> (Fig 1.3)</w:t>
      </w:r>
      <w:r>
        <w:t xml:space="preserve"> </w:t>
      </w:r>
      <w:r>
        <w:fldChar w:fldCharType="begin"/>
      </w:r>
      <w:r w:rsidR="000A209C">
        <w:instrText xml:space="preserve"> ADDIN ZOTERO_ITEM CSL_CITATION {"citationID":"bbX89bKK","properties":{"formattedCitation":"(157\\uc0\\u8211{}159)","plainCitation":"(157–159)","noteIndex":0},"citationItems":[{"id":1283,"uris":["http://zotero.org/users/952979/items/48UM4EDN"],"uri":["http://zotero.org/users/952979/items/48UM4EDN"],"itemData":{"id":1283,"type":"article-journal","title":"Genetics on the Fly: A Primer on the Drosophila Model System","container-title":"Genetics","page":"815-842","volume":"201","issue":"3","source":"PubMed","abstract":"Fruit flies of the genus Drosophila have been an attractive and effective genetic model organism since Thomas Hunt Morgan and colleagues made seminal discoveries with them a century ago. Work with Drosophila has enabled dramatic advances in cell and developmental biology, neurobiology and behavior, molecular biology, evolutionary and population genetics, and other fields. With more tissue types and observable behaviors than in other short-generation model organisms, and with vast genome data available for many species within the genus, the fly's tractable complexity will continue to enable exciting opportunities to explore mechanisms of complex developmental programs, behaviors, and broader evolutionary questions. This primer describes the organism's natural history, the features of sequenced genomes within the genus, the wide range of available genetic tools and online resources, the types of biological questions Drosophila can help address, and historical milestones.","DOI":"10.1534/genetics.115.183392","ISSN":"1943-2631","note":"PMID: 26564900","shortTitle":"Genetics on the Fly","journalAbbreviation":"Genetics","language":"eng","author":[{"family":"Hales","given":"Karen G."},{"family":"Korey","given":"Christopher A."},{"family":"Larracuente","given":"Amanda M."},{"family":"Roberts","given":"David M."}],"issued":{"date-parts":[["2015",11]]}}},{"id":30,"uris":["http://zotero.org/users/952979/items/S6IS7PE7"],"uri":["http://zotero.org/users/952979/items/S6IS7PE7"],"itemData":{"id":30,"type":"article-journal","title":"GAL4 system in drosophila: A fly geneticist's swiss army knife","container-title":"genesis","page":"1-15","volume":"34","issue":"1-2","source":"Wiley Online Library","DOI":"10.1002/gene.10150","ISSN":"1526-968X","shortTitle":"GAL4 system in drosophila","journalAbbreviation":"Genesis","language":"en","author":[{"family":"Duffy","given":"Joseph B."}],"issued":{"date-parts":[["2002",9,1]]}}},{"id":1380,"uris":["http://zotero.org/users/952979/items/G5G2EZRZ"],"uri":["http://zotero.org/users/952979/items/G5G2EZRZ"],"itemData":{"id":1380,"type":"article-journal","title":"The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Immunol.","language":"eng","author":[{"family":"Lemaitre","given":"Bruno"},{"family":"Hoffmann","given":"Jules"}],"issued":{"date-parts":[["2007"]]}}}],"schema":"https://github.com/citation-style-language/schema/raw/master/csl-citation.json"} </w:instrText>
      </w:r>
      <w:r>
        <w:fldChar w:fldCharType="separate"/>
      </w:r>
      <w:r w:rsidR="004A1963" w:rsidRPr="004A1963">
        <w:rPr>
          <w:rFonts w:ascii="Calibri" w:hAnsi="Calibri" w:cs="Times New Roman"/>
        </w:rPr>
        <w:t>(157–159)</w:t>
      </w:r>
      <w:r>
        <w:fldChar w:fldCharType="end"/>
      </w:r>
      <w:r>
        <w:t xml:space="preserve">. There are numerous misexpression systems in </w:t>
      </w:r>
      <w:r>
        <w:rPr>
          <w:i/>
        </w:rPr>
        <w:t>Drosophila</w:t>
      </w:r>
      <w:r>
        <w:t xml:space="preserve"> which enable a wide range of easy manipulations to be performed </w:t>
      </w:r>
      <w:r>
        <w:fldChar w:fldCharType="begin"/>
      </w:r>
      <w:r w:rsidR="000A209C">
        <w:instrText xml:space="preserve"> ADDIN ZOTERO_ITEM CSL_CITATION {"citationID":"qpwsch9O","properties":{"formattedCitation":"(160)","plainCitation":"(160)","noteIndex":0},"citationItems":[{"id":23,"uris":["http://zotero.org/users/952979/items/KSTDPG4M"],"uri":["http://zotero.org/users/952979/items/KSTDPG4M"],"itemData":{"id":23,"type":"article-journal","title":"Power tools for gene expression and clonal analysis in Drosophila","container-title":"Nature methods","page":"47-55","volume":"9","issue":"1","source":"PubMed Central","abstract":"The development of two-component expression systems in Drosophila melanogaster, one of the most powerful genetic models, has allowed the precise manipulation of gene function in specific cell populations. These expression systems, in combination with site-specific recombination approaches, have also led to the development of new methods for clonal lineage analysis. We present a hands-on user guide to the techniques and approaches that have greatly increased resolution of genetic analysis in the fly, with a special focus on their application for lineage analysis. Our intention is to provide guidance and suggestions regarding which genetic tools are most suitable for addressing different developmental questions.","DOI":"10.1038/nmeth.1800","ISSN":"1548-7091","note":"PMID: 22205518\nPMCID: PMC3574576","journalAbbreviation":"Nat Methods","author":[{"family":"Rodríguez","given":"Alberto del Valle"},{"family":"Didiano","given":"Dominic"},{"family":"Desplan","given":"Claude"}],"issued":{"date-parts":[["2011",12,28]]}}}],"schema":"https://github.com/citation-style-language/schema/raw/master/csl-citation.json"} </w:instrText>
      </w:r>
      <w:r>
        <w:fldChar w:fldCharType="separate"/>
      </w:r>
      <w:r w:rsidR="004A1963" w:rsidRPr="004A1963">
        <w:rPr>
          <w:rFonts w:ascii="Calibri" w:hAnsi="Calibri"/>
        </w:rPr>
        <w:t>(160)</w:t>
      </w:r>
      <w:r>
        <w:fldChar w:fldCharType="end"/>
      </w:r>
      <w:r>
        <w:t xml:space="preserve">; of these systems, the GAL4-UAS system is perhaps the most utilised and is described in further detail below </w:t>
      </w:r>
      <w:r>
        <w:fldChar w:fldCharType="begin"/>
      </w:r>
      <w:r w:rsidR="000A209C">
        <w:instrText xml:space="preserve"> ADDIN ZOTERO_ITEM CSL_CITATION {"citationID":"9W6NxY6Y","properties":{"formattedCitation":"(158,161)","plainCitation":"(158,161)","noteIndex":0},"citationItems":[{"id":30,"uris":["http://zotero.org/users/952979/items/S6IS7PE7"],"uri":["http://zotero.org/users/952979/items/S6IS7PE7"],"itemData":{"id":30,"type":"article-journal","title":"GAL4 system in drosophila: A fly geneticist's swiss army knife","container-title":"genesis","page":"1-15","volume":"34","issue":"1-2","source":"Wiley Online Library","DOI":"10.1002/gene.10150","ISSN":"1526-968X","shortTitle":"GAL4 system in drosophila","journalAbbreviation":"Genesis","language":"en","author":[{"family":"Duffy","given":"Joseph B."}],"issued":{"date-parts":[["2002",9,1]]}}},{"id":25,"uris":["http://zotero.org/users/952979/items/V2CM5J89"],"uri":["http://zotero.org/users/952979/items/V2CM5J89"],"itemData":{"id":25,"type":"article-journal","title":"New fluorescent protein reporters for use with the Drosophila Gal4 expression system and for vital detection of balancer chromosomes","container-title":"Genesis (New York, N.Y.: 2000)","page":"135-138","volume":"34","issue":"1-2","source":"PubMed","DOI":"10.1002/gene.10136","ISSN":"1526-954X","note":"PMID: 12324968","journalAbbreviation":"Genesis","language":"eng","author":[{"family":"Halfon","given":"Marc S."},{"family":"Gisselbrecht","given":"Stephen"},{"family":"Lu","given":"Jun"},{"family":"Estrada","given":"Beatriz"},{"family":"Keshishian","given":"Haig"},{"family":"Michelson","given":"Alan M."}],"issued":{"date-parts":[["2002",10]]}}}],"schema":"https://github.com/citation-style-language/schema/raw/master/csl-citation.json"} </w:instrText>
      </w:r>
      <w:r>
        <w:fldChar w:fldCharType="separate"/>
      </w:r>
      <w:r w:rsidR="004A1963" w:rsidRPr="004A1963">
        <w:rPr>
          <w:rFonts w:ascii="Calibri" w:hAnsi="Calibri"/>
        </w:rPr>
        <w:t>(158,161)</w:t>
      </w:r>
      <w:r>
        <w:fldChar w:fldCharType="end"/>
      </w:r>
      <w:r>
        <w:t xml:space="preserve">. The wide range of genetic tools available for </w:t>
      </w:r>
      <w:r>
        <w:rPr>
          <w:i/>
        </w:rPr>
        <w:t>Drosophila</w:t>
      </w:r>
      <w:r>
        <w:t xml:space="preserve"> are continually being developed </w:t>
      </w:r>
      <w:r>
        <w:fldChar w:fldCharType="begin"/>
      </w:r>
      <w:r w:rsidR="000A209C">
        <w:instrText xml:space="preserve"> ADDIN ZOTERO_ITEM CSL_CITATION {"citationID":"E20oraQM","properties":{"formattedCitation":"(158,162)","plainCitation":"(158,162)","noteIndex":0},"citationItems":[{"id":30,"uris":["http://zotero.org/users/952979/items/S6IS7PE7"],"uri":["http://zotero.org/users/952979/items/S6IS7PE7"],"itemData":{"id":30,"type":"article-journal","title":"GAL4 system in drosophila: A fly geneticist's swiss army knife","container-title":"genesis","page":"1-15","volume":"34","issue":"1-2","source":"Wiley Online Library","DOI":"10.1002/gene.10150","ISSN":"1526-968X","shortTitle":"GAL4 system in drosophila","journalAbbreviation":"Genesis","language":"en","author":[{"family":"Duffy","given":"Joseph B."}],"issued":{"date-parts":[["2002",9,1]]}}},{"id":28,"uris":["http://zotero.org/users/952979/items/4CF9J7TX"],"uri":["http://zotero.org/users/952979/items/4CF9J7TX"],"itemData":{"id":28,"type":"article-journal","title":"Tools for neuroanatomy and neurogenetics in Drosophila","container-title":"Proceedings of the National Academy of Sciences of the United States of America","page":"9715-9720","volume":"105","issue":"28","source":"PubMed","abstract":"We demonstrate the feasibility of generating thousands of transgenic Drosophila melanogaster lines in which the expression of an exogenous gene is reproducibly directed to distinct small subsets of cells in the adult brain. We expect the expression patterns produced by the collection of 5,000 lines that we are currently generating to encompass all neurons in the brain in a variety of intersecting patterns. Overlapping 3-kb DNA fragments from the flanking noncoding and intronic regions of genes thought to have patterned expression in the adult brain were inserted into a defined genomic location by site-specific recombination. These fragments were then assayed for their ability to function as transcriptional enhancers in conjunction with a synthetic core promoter designed to work with a wide variety of enhancer types. An analysis of 44 fragments from four genes found that &gt;80% drive expression patterns in the brain; the observed patterns were, on average, comprised of &lt;100 cells. Our results suggest that the D. melanogaster genome contains &gt;50,000 enhancers and that multiple enhancers drive distinct subsets of expression of a gene in each tissue and developmental stage. We expect that these lines will be valuable tools for neuroanatomy as well as for the elucidation of neuronal circuits and information flow in the fly brain.","DOI":"10.1073/pnas.0803697105","ISSN":"1091-6490","note":"PMID: 18621688\nPMCID: PMC2447866","journalAbbreviation":"Proc. Natl. Acad. Sci. U.S.A.","language":"eng","author":[{"family":"Pfeiffer","given":"Barret D."},{"family":"Jenett","given":"Arnim"},{"family":"Hammonds","given":"Ann S."},{"family":"Ngo","given":"Teri-T. B."},{"family":"Misra","given":"Sima"},{"family":"Murphy","given":"Christine"},{"family":"Scully","given":"Audra"},{"family":"Carlson","given":"Joseph W."},{"family":"Wan","given":"Kenneth H."},{"family":"Laverty","given":"Todd R."},{"family":"Mungall","given":"Chris"},{"family":"Svirskas","given":"Rob"},{"family":"Kadonaga","given":"James T."},{"family":"Doe","given":"Chris Q."},{"family":"Eisen","given":"Michael B."},{"family":"Celniker","given":"Susan E."},{"family":"Rubin","given":"Gerald M."}],"issued":{"date-parts":[["2008",7,15]]}}}],"schema":"https://github.com/citation-style-language/schema/raw/master/csl-citation.json"} </w:instrText>
      </w:r>
      <w:r>
        <w:fldChar w:fldCharType="separate"/>
      </w:r>
      <w:r w:rsidR="004A1963" w:rsidRPr="004A1963">
        <w:rPr>
          <w:rFonts w:ascii="Calibri" w:hAnsi="Calibri"/>
        </w:rPr>
        <w:t>(158,162)</w:t>
      </w:r>
      <w:r>
        <w:fldChar w:fldCharType="end"/>
      </w:r>
      <w:r>
        <w:t xml:space="preserve">. For example, Gyoergy </w:t>
      </w:r>
      <w:r>
        <w:rPr>
          <w:i/>
        </w:rPr>
        <w:t>et al</w:t>
      </w:r>
      <w:r>
        <w:t xml:space="preserve"> recently developed new tools for visualising hemocytes throughout development, independent of the GAL4-UAS system </w:t>
      </w:r>
      <w:r>
        <w:fldChar w:fldCharType="begin"/>
      </w:r>
      <w:r w:rsidR="000A209C">
        <w:instrText xml:space="preserve"> ADDIN ZOTERO_ITEM CSL_CITATION {"citationID":"42UE8U6S","properties":{"formattedCitation":"(163)","plainCitation":"(163)","noteIndex":0},"citationItems":[{"id":26,"uris":["http://zotero.org/users/952979/items/TZD54I77"],"uri":["http://zotero.org/users/952979/items/TZD54I77"],"itemData":{"id":26,"type":"article-journal","title":"Tools Allowing Independent Visualization and Genetic Manipulation of Drosophilamelanogaster Macrophages and Surrounding Tissues","container-title":"G3 (Bethesda, Md.)","source":"PubMed","abstract":"Drosophila melanogaster plasmatocytes, the phagocytic cells among hemocytes, are essential for immune responses, but also play key roles from early development to death through their interactions with other cell types. They regulate homeostasis and signaling during development, stem cell proliferation, metabolism, cancer, wound responses and aging, displaying intriguing molecular and functional conservation with vertebrate macrophages. Given the relative ease of genetics in Drosophila compared to vertebrates, tools permitting visualization and genetic manipulation of plasmatocytes and surrounding tissues independently at all stages would greatly aid in fully understanding these processes, but are lacking. Here we describe a comprehensive set of transgenic lines that allow this. These include extremely brightly fluorescing mCherry-based lines that allow GAL4-independent visualization of plasmatocyte nuclei, cytoplasm or actin cytoskeleton from embryonic Stage 8 through adulthood in both live and fixed samples even as heterozygotes, greatly facilitating screening. These lines allow live visualization and tracking of embryonic plasmatocytes, as well as larval plasmatocytes residing at the body wall or flowing with the surrounding hemolymph. With confocal imaging, interactions of plasmatocytes and inner tissues can be seen in live or fixed embryos, larvae and adults. They permit efficient GAL4-independent FACS analysis/sorting of plasmatocytes throughout life. To facilitate genetic analysis of reciprocal signaling, we have also made a plasmatocyte-expressing QF2 line that in combination with extant GAL4 drivers allows independent genetic manipulation of both plasmatocytes and surrounding tissues, and a GAL80 line that blocks GAL4 drivers from affecting plasmatocytes, both of which function from the early embryo to the adult.","DOI":"10.1534/g3.117.300452","ISSN":"2160-1836","note":"PMID: 29321168","journalAbbreviation":"G3 (Bethesda)","language":"eng","author":[{"family":"Gyoergy","given":"Attila"},{"family":"Roblek","given":"Marko"},{"family":"Ratheesh","given":"Aparna"},{"family":"Valoskova","given":"Katarina"},{"family":"Belyaeva","given":"Vera"},{"family":"Wachner","given":"Stephanie"},{"family":"Matsubayashi","given":"Yutaka"},{"family":"Sánchez-Sánchez","given":"Besaiz J."},{"family":"Stramer","given":"Brian"},{"family":"Siekhaus","given":"Daria E."}],"issued":{"date-parts":[["2018",1,10]]}}}],"schema":"https://github.com/citation-style-language/schema/raw/master/csl-citation.json"} </w:instrText>
      </w:r>
      <w:r>
        <w:fldChar w:fldCharType="separate"/>
      </w:r>
      <w:r w:rsidR="004A1963" w:rsidRPr="004A1963">
        <w:rPr>
          <w:rFonts w:ascii="Calibri" w:hAnsi="Calibri"/>
        </w:rPr>
        <w:t>(163)</w:t>
      </w:r>
      <w:r>
        <w:fldChar w:fldCharType="end"/>
      </w:r>
      <w:r>
        <w:t xml:space="preserve">. </w:t>
      </w:r>
      <w:r>
        <w:rPr>
          <w:i/>
        </w:rPr>
        <w:t xml:space="preserve">Drosophila </w:t>
      </w:r>
      <w:r>
        <w:t xml:space="preserve">is also a well-established model for investigating the innate immune system </w:t>
      </w:r>
      <w:r>
        <w:fldChar w:fldCharType="begin"/>
      </w:r>
      <w:r w:rsidR="000A209C">
        <w:instrText xml:space="preserve"> ADDIN ZOTERO_ITEM CSL_CITATION {"citationID":"s8dDWUcj","properties":{"formattedCitation":"(164\\uc0\\u8211{}166)","plainCitation":"(164–166)","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Robert"},{"family":"Wood","given":"Will"}],"issued":{"date-parts":[["2011",3,8]]}}}],"schema":"https://github.com/citation-style-language/schema/raw/master/csl-citation.json"} </w:instrText>
      </w:r>
      <w:r>
        <w:fldChar w:fldCharType="separate"/>
      </w:r>
      <w:r w:rsidR="004A1963" w:rsidRPr="004A1963">
        <w:rPr>
          <w:rFonts w:ascii="Calibri" w:hAnsi="Calibri" w:cs="Times New Roman"/>
        </w:rPr>
        <w:t>(164–166)</w:t>
      </w:r>
      <w:r>
        <w:fldChar w:fldCharType="end"/>
      </w:r>
      <w:r>
        <w:t xml:space="preserve">. There are numerous similarities between mammalian macrophages and </w:t>
      </w:r>
      <w:r>
        <w:rPr>
          <w:i/>
        </w:rPr>
        <w:t>Drosophila</w:t>
      </w:r>
      <w:r>
        <w:t xml:space="preserve"> hemocytes, discussed throughout this introduction and reviewed elsewhere </w:t>
      </w:r>
      <w:r>
        <w:fldChar w:fldCharType="begin"/>
      </w:r>
      <w:r w:rsidR="000A209C">
        <w:instrText xml:space="preserve"> ADDIN ZOTERO_ITEM CSL_CITATION {"citationID":"eW92OtW5","properties":{"formattedCitation":"(164,165,167)","plainCitation":"(164,165,167)","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S."},{"family":"Brückner","given":"Katja"}],"issued":{"date-parts":[["2014",8]]}}},{"id":1210,"uris":["http://zotero.org/users/952979/items/WS3ZB45C"],"uri":["http://zotero.org/users/952979/items/WS3ZB45C"],"itemData":{"id":1210,"type":"article-journal","title":"An analysis of the structural and functional similarities of insect hemocytes and mammalian phagocytes","container-title":"Virulence","page":"597-603","volume":"4","issue":"7","source":"PubMed Central","abstract":"The insect immune response demonstrates a number of structural and functional similarities to the innate immune system of mammals. As a result of these conserved features insects have become popular choices for evaluating the virulence of microbial pathogens or for assessing the efficacy of antimicrobial agents and give results which are comparable to those that can be obtained using mammals. Analysis of the cellular component of the insect and mammalian immune systems demonstrates many similarities. Insect hemocytes recognize pathogens and phagocytose material in a similar manner to neutrophils. The killing of ingested microbes is achieved in both cell types by the production of superoxide and by the release of enzymes in the process of degranulation. Insect hemocytes and mammalian neutrophils are sensitive to the same inhibitors. This review highlights the strong similarities between the phagocytic cells of both groups of animals and demonstrates the potential benefits of using selected insects as in vivo screening systems.","DOI":"10.4161/viru.25906","ISSN":"2150-5594","note":"PMID: 23921374\nPMCID: PMC3906293","journalAbbreviation":"Virulence","author":[{"family":"Browne","given":"Niall"},{"family":"Heelan","given":"Michelle"},{"family":"Kavanagh","given":"Kevin"}],"issued":{"date-parts":[["2013",10,1]]}}}],"schema":"https://github.com/citation-style-language/schema/raw/master/csl-citation.json"} </w:instrText>
      </w:r>
      <w:r>
        <w:fldChar w:fldCharType="separate"/>
      </w:r>
      <w:r w:rsidR="004A1963" w:rsidRPr="004A1963">
        <w:rPr>
          <w:rFonts w:ascii="Calibri" w:hAnsi="Calibri"/>
        </w:rPr>
        <w:t>(164,165,167)</w:t>
      </w:r>
      <w:r>
        <w:fldChar w:fldCharType="end"/>
      </w:r>
      <w:r>
        <w:t xml:space="preserve">. </w:t>
      </w:r>
      <w:r>
        <w:rPr>
          <w:i/>
        </w:rPr>
        <w:t>Drosophila</w:t>
      </w:r>
      <w:r>
        <w:t xml:space="preserve"> have been used to study bacterial and viral infections </w:t>
      </w:r>
      <w:r>
        <w:fldChar w:fldCharType="begin"/>
      </w:r>
      <w:r w:rsidR="000A209C">
        <w:instrText xml:space="preserve"> ADDIN ZOTERO_ITEM CSL_CITATION {"citationID":"G7AiicBx","properties":{"formattedCitation":"(168\\uc0\\u8211{}171)","plainCitation":"(168–171)","noteIndex":0},"citationItems":[{"id":1400,"uris":["http://zotero.org/users/952979/items/UA3WPQ9D"],"uri":["http://zotero.org/users/952979/items/UA3WPQ9D"],"itemData":{"id":1400,"type":"article-journal","title":"Drosophila blood cells and their role in immune responses","container-title":"The FEBS journal","page":"1368-1382","volume":"282","issue":"8","source":"PubMed","abstract":"Drosophila melanogaster has been extensively used to study the humoral arm of innate immunity because of the developmental and functional parallels with mammalian innate immunity. However, the fly cellular response to infection is far less understood. Investigative work on Drosophila haemocytes, the immunosurveillance cells of the insect, has revealed that they fulfil roles similar to mammalian monocytes and macrophages. They respond to wound signals and orchestrate the coagulation response. In addition, they phagocytose and encapsulate invading pathogens, and clear up apoptotic bodies controlling inflammation. This review briefly describes the Drosophila haematopoietic system and discusses what is currently known about the contribution of haemocytes to the immune response upon infection and wounding, during all stages of development.","DOI":"10.1111/febs.13235","ISSN":"1742-4658","note":"PMID: 25688716","journalAbbreviation":"FEBS J.","language":"eng","author":[{"family":"Vlisidou","given":"Isabella"},{"family":"Wood","given":"Will"}],"issued":{"date-parts":[["2015",4]]}}},{"id":1566,"uris":["http://zotero.org/users/952979/items/5DMBU6XM"],"uri":["http://zotero.org/users/952979/items/5DMBU6XM"],"itemData":{"id":1566,"type":"article-journal","title":"Drosophila embryos as model systems for monitoring bacterial infection in real time","container-title":"PLoS pathogens","page":"e1000518","volume":"5","issue":"7","source":"PubMed","abstract":"Drosophila embryos are well studied developmental microcosms that have been used extensively as models for early development and more recently wound repair. Here we extend this work by looking at embryos as model systems for following bacterial infection in real time. We examine the behaviour of injected pathogenic (Photorhabdus asymbiotica) and non-pathogenic (Escherichia coli) bacteria and their interaction with embryonic hemocytes using time-lapse confocal microscopy. We find that embryonic hemocytes both recognise and phagocytose injected wild type, non-pathogenic E. coli in a Dscam independent manner, proving that embryonic hemocytes are phagocytically competent. In contrast, injection of bacterial cells of the insect pathogen Photorhabdus leads to a rapid 'freezing' phenotype of the hemocytes associated with significant rearrangement of the actin cytoskeleton. This freezing phenotype can be phenocopied by either injection of the purified insecticidal toxin Makes Caterpillars Floppy 1 (Mcf1) or by recombinant E. coli expressing the mcf1 gene. Mcf1 mediated hemocyte freezing is shibire dependent, suggesting that endocytosis is required for Mcf1 toxicity and can be modulated by dominant negative or constitutively active Rac expression, suggesting early and unexpected effects of Mcf1 on the actin cytoskeleton. Together these data show how Drosophila embryos can be used to track bacterial infection in real time and how mutant analysis can be used to genetically dissect the effects of specific bacterial virulence factors.","DOI":"10.1371/journal.ppat.1000518","ISSN":"1553-7374","note":"PMID: 19609447\nPMCID: PMC2707623","journalAbbreviation":"PLoS Pathog.","language":"eng","author":[{"family":"Vlisidou","given":"Isabella"},{"family":"Dowling","given":"Andrea J."},{"family":"Evans","given":"Iwan R."},{"family":"Waterfield","given":"Nicholas"},{"family":"Constant","given":"Richard H.","non-dropping-particle":"ffrench-"},{"family":"Wood","given":"Will"}],"issued":{"date-parts":[["2009",7]]}}},{"id":1477,"uris":["http://zotero.org/users/952979/items/2JD3XA7Q"],"uri":["http://zotero.org/users/952979/items/2JD3XA7Q"],"itemData":{"id":1477,"type":"article-journal","title":"Drosophila as a model system to unravel the layers of innate immunity to infection","container-title":"Open Biology","page":"120075","volume":"2","issue":"5","source":"rsob.royalsocietypublishing.org","abstract":"Innate immunity relies entirely upon germ-line encoded receptors, signalling components and effector molecules for the recognition and elimination of invading pathogens. The fruit fly Drosophila melanogaster with its powerful collection of genetic and genomic tools has been the model of choice to develop ideas about innate immunity and host–pathogen interactions. Here, we review current research in the field, encompassing all layers of defence from the role of the microbiota to systemic immune activation, and attempt to speculate on future directions and open questions.","DOI":"10.1098/rsob.120075","ISSN":"2046-2441","note":"PMID: 22724070","language":"en","author":[{"family":"Kounatidis","given":"Ilias"},{"family":"Ligoxygakis","given":"Petros"}],"issued":{"date-parts":[["2012",5,1]]}}},{"id":1561,"uris":["http://zotero.org/users/952979/items/N25C3DJ9"],"uri":["http://zotero.org/users/952979/items/N25C3DJ9"],"itemData":{"id":1561,"type":"article-journal","title":"Circulating Immune Cells Mediate a Systemic RNAi-Based Adaptive Antiviral Response in Drosophila","container-title":"Cell","page":"314-325.e13","volume":"169","issue":"2","source":"www.cell.com","DOI":"10.1016/j.cell.2017.03.033","ISSN":"0092-8674, 1097-4172","note":"PMID: 28388413","journalAbbreviation":"Cell","language":"English","author":[{"family":"Tassetto","given":"Michel"},{"family":"Kunitomi","given":"Mark"},{"family":"Andino","given":"Raul"}],"issued":{"date-parts":[["2017",4,6]]}}}],"schema":"https://github.com/citation-style-language/schema/raw/master/csl-citation.json"} </w:instrText>
      </w:r>
      <w:r>
        <w:fldChar w:fldCharType="separate"/>
      </w:r>
      <w:r w:rsidR="004A1963" w:rsidRPr="004A1963">
        <w:rPr>
          <w:rFonts w:ascii="Calibri" w:hAnsi="Calibri" w:cs="Times New Roman"/>
        </w:rPr>
        <w:t>(168–171)</w:t>
      </w:r>
      <w:r>
        <w:fldChar w:fldCharType="end"/>
      </w:r>
      <w:r>
        <w:t xml:space="preserve">, inflammation </w:t>
      </w:r>
      <w:r>
        <w:fldChar w:fldCharType="begin"/>
      </w:r>
      <w:r w:rsidR="000A209C">
        <w:instrText xml:space="preserve"> ADDIN ZOTERO_ITEM CSL_CITATION {"citationID":"sjETUniI","properties":{"formattedCitation":"(172)","plainCitation":"(172)","noteIndex":0},"citationItems":[{"id":1266,"uris":["http://zotero.org/users/952979/items/ER3KD4XA"],"uri":["http://zotero.org/users/952979/items/ER3KD4XA"],"itemData":{"id":1266,"type":"article-journal","title":"Drosophila as a model to study the role of blood cells in inflammation, innate immunity and cancer","container-title":"Frontiers in Cellular and Infection Microbiology","volume":"3","source":"PubMed Central","abstract":"Drosophila has a primitive yet effective blood system with three types of haemocytes which function throughout different developmental stages and environmental stimuli. Haemocytes play essential roles in tissue modeling during embryogenesis and morphogenesis, and also in innate immunity. The open circulatory system of Drosophila makes haemocytes ideal signal mediators to cells and tissues in response to events such as infection and wounding. The application of recently developed and sophisticated genetic tools to the relatively simple genome of Drosophila has made the fly a popular system for modeling human tumorigensis and metastasis. Drosophila is now used for screening and investigation of genes implicated in human leukemia and also in modeling development of solid tumors. This second line of research offers promising opportunities to determine the seemingly conflicting roles of blood cells in tumor progression and invasion. This review provides an overview of the signaling pathways conserved in Drosophila during haematopoiesis, haemostasis, innate immunity, wound healing and inflammation. We also review the most recent progress in the use of Drosophila as a cancer research model with an emphasis on the roles haemocytes can play in various cancer models and in the links between inflammation and cancer.","URL":"http://www.ncbi.nlm.nih.gov/pmc/articles/PMC3885817/","DOI":"10.3389/fcimb.2013.00113","ISSN":"2235-2988","note":"PMID: 24409421\nPMCID: PMC3885817","journalAbbreviation":"Front Cell Infect Microbiol","author":[{"family":"Wang","given":"Lihui"},{"family":"Kounatidis","given":"Ilias"},{"family":"Ligoxygakis","given":"Petros"}],"issued":{"date-parts":[["2014",1,9]]},"accessed":{"date-parts":[["2016",2,27]]}}}],"schema":"https://github.com/citation-style-language/schema/raw/master/csl-citation.json"} </w:instrText>
      </w:r>
      <w:r>
        <w:fldChar w:fldCharType="separate"/>
      </w:r>
      <w:r w:rsidR="004A1963" w:rsidRPr="004A1963">
        <w:rPr>
          <w:rFonts w:ascii="Calibri" w:hAnsi="Calibri"/>
        </w:rPr>
        <w:t>(172)</w:t>
      </w:r>
      <w:r>
        <w:fldChar w:fldCharType="end"/>
      </w:r>
      <w:r>
        <w:t xml:space="preserve">, wound responses </w:t>
      </w:r>
      <w:r>
        <w:fldChar w:fldCharType="begin"/>
      </w:r>
      <w:r w:rsidR="000A209C">
        <w:instrText xml:space="preserve"> ADDIN ZOTERO_ITEM CSL_CITATION {"citationID":"xXlsoZnm","properties":{"formattedCitation":"(151,173,174)","plainCitation":"(151,173,174)","noteIndex":0},"citationItems":[{"id":1521,"uris":["http://zotero.org/users/952979/items/BAZM654F"],"uri":["http://zotero.org/users/952979/items/BAZM654F"],"itemData":{"id":1521,"type":"article-journal","title":"Damage signals in the insect immune response","container-title":"Frontiers in Plant Science","page":"342","volume":"5","source":"PubMed","abstract":"Insects and mammals share an ancient innate immune system comprising both humoral and cellular responses. The insect immune system consists of the fat body, which secretes effector molecules into the hemolymph and several classes of hemocytes, which reside in the hemolymph and of protective border epithelia. Key features of wound- and immune responses are shared between insect and mammalian immune systems including the mode of activation by commonly shared microbial (non-self) patterns and the recognition of these patterns by dedicated receptors. It is unclear how metazoan parasites in insects, which lack these shared motifs, are recognized. Research in recent years has demonstrated that during entry into the insect host, many eukaryotic pathogens leave traces that alert potential hosts of the damage they have aﬄicted. In accordance with terminology used in the mammalian immune systems, these signals have been dubbed danger- or damage-associated signals. Damage signals are necessary byproducts generated during entering hosts either by mechanical or proteolytic damage. Here, we briefly review the current stage of knowledge on how wound closure and wound healing during mechanical damage is regulated and how damage-related signals contribute to these processes. We also discuss how sensors of proteolytic activity induce insect innate immune responses. Strikingly damage-associated signals are also released from cells that have aberrant growth, including tumor cells. These signals may induce apoptosis in the damaged cells, the recruitment of immune cells to the aberrant tissue and even activate humoral responses. Thus, this ensures the removal of aberrant cells and compensatory proliferation to replace lost tissue. Several of these pathways may have been co-opted from wound healing and developmental processes.","DOI":"10.3389/fpls.2014.00342","ISSN":"1664-462X","note":"PMID: 25071815\nPMCID: PMC4093659","journalAbbreviation":"Front Plant Sci","language":"eng","author":[{"family":"Krautz","given":"Robert"},{"family":"Arefin","given":"Badrul"},{"family":"Theopold","given":"Ulrich"}],"issued":{"date-parts":[["2014"]]}}},{"id":1230,"uris":["http://zotero.org/users/952979/items/9G59Q34B"],"uri":["http://zotero.org/users/952979/items/9G59Q34B"],"itemData":{"id":1230,"type":"article-journal","title":"The early wound signals","container-title":"Current Opinion in Genetics &amp; Development","collection-title":"Cell reprogramming, regeneration and repair","page":"17-22","volume":"40","source":"ScienceDirect","abstract":"Wounding of tissue barriers, such as epithelia, disrupts homeostasis and allows infection. Within minutes, animals detect injury and respond to it by recruitment of phagocytes and barrier breach closure. The signals that activate these first events are scarcely known. Commonly considered are cytoplasmic factors released into the extracellular space by lysing cells (Damage Associated Molecular Patterns, DAMPs). DAMPs activate inflammatory gene transcription through pattern recognition receptors. But the promptness of wound responses is difficult to explain by transcriptional mechanisms alone. This review highlights the emerging role of nonlytic stress signals in the rapid detection of wounds.","DOI":"10.1016/j.gde.2016.05.001","ISSN":"0959-437X","journalAbbreviation":"Current Opinion in Genetics &amp; Development","author":[{"family":"Niethammer","given":"Philipp"}],"issued":{"date-parts":[["2016",10]]}}},{"id":1409,"uris":["http://zotero.org/users/952979/items/JKNFWUUD"],"uri":["http://zotero.org/users/952979/items/JKNFWUUD"],"itemData":{"id":1409,"type":"article-journal","title":"Swatting flies: modelling wound healing and inflammation in Drosophila","container-title":"Disease Models &amp; Mechanisms","page":"569-574","volume":"4","issue":"5","source":"PubMed","abstract":"Aberrant wound healing can lead to a variety of human pathologies, from non-healing chronic wounds that can become dangerously infected, to exuberant fibrotic healing in which repair is accompanied by excessive inflammation. To guide therapeutic intervention, we need a better understanding of the fundamental mechanisms driving tissue repair; this will require complementary wound-healing studies in several model organisms. Drosophila has been used to model genetic aspects of numerous human pathologies, and is being used increasingly to gain insight into the molecular and genetic aspects of tissue repair and inflammation, which have classically been modelled in mice or cultured cells. This review discusses the advantages and disadvantages of Drosophila as a wound-healing model, as well as some exciting new research opportunities that will be enabled by its use.","DOI":"10.1242/dmm.006825","ISSN":"1754-8411","note":"PMID: 21810906\nPMCID: PMC3180219","shortTitle":"Swatting flies","journalAbbreviation":"Dis Model Mech","language":"eng","author":[{"family":"Razzell","given":"William"},{"family":"Wood","given":"Will"},{"family":"Martin","given":"Paul"}],"issued":{"date-parts":[["2011",9]]}}}],"schema":"https://github.com/citation-style-language/schema/raw/master/csl-citation.json"} </w:instrText>
      </w:r>
      <w:r>
        <w:fldChar w:fldCharType="separate"/>
      </w:r>
      <w:r w:rsidR="004A1963" w:rsidRPr="004A1963">
        <w:rPr>
          <w:rFonts w:ascii="Calibri" w:hAnsi="Calibri"/>
        </w:rPr>
        <w:t>(151,173,174)</w:t>
      </w:r>
      <w:r>
        <w:fldChar w:fldCharType="end"/>
      </w:r>
      <w:r>
        <w:t xml:space="preserve">, tissue patterning </w:t>
      </w:r>
      <w:r>
        <w:fldChar w:fldCharType="begin"/>
      </w:r>
      <w:r w:rsidR="000A209C">
        <w:instrText xml:space="preserve"> ADDIN ZOTERO_ITEM CSL_CITATION {"citationID":"HERaTKaC","properties":{"formattedCitation":"(175)","plainCitation":"(175)","noteIndex":0},"citationItems":[{"id":1183,"uris":["http://zotero.org/users/952979/items/8PE93MUE"],"uri":["http://zotero.org/users/952979/items/8PE93MUE"],"itemData":{"id":1183,"type":"article-journal","title":"Macrophage Functions in Tissue Patterning and Disease: New Insights from the Fly","container-title":"Developmental Cell","page":"221-233","volume":"40","issue":"3","source":"PubMed","abstract":"Macrophages are multifunctional innate immune cells that seed all tissues within the body and play disparate roles throughout development and in adult tissues, both in health and disease. Their complex developmental origins and many of their functions are being deciphered in mammalian tissues, but opportunities for live imaging and the genetic tractability of Drosophila are offering complementary insights into how these fascinating cells integrate a multitude of guidance cues to fulfill their many tasks and migrate to distant sites to either direct developmental patterning or raise an inflammatory response.","DOI":"10.1016/j.devcel.2017.01.001","ISSN":"1878-1551","note":"PMID: 28171746","shortTitle":"Macrophage Functions in Tissue Patterning and Disease","journalAbbreviation":"Dev. Cell","language":"eng","author":[{"family":"Wood","given":"Will"},{"family":"Martin","given":"Paul"}],"issued":{"date-parts":[["2017",2,6]]}}}],"schema":"https://github.com/citation-style-language/schema/raw/master/csl-citation.json"} </w:instrText>
      </w:r>
      <w:r>
        <w:fldChar w:fldCharType="separate"/>
      </w:r>
      <w:r w:rsidR="004A1963" w:rsidRPr="004A1963">
        <w:rPr>
          <w:rFonts w:ascii="Calibri" w:hAnsi="Calibri"/>
        </w:rPr>
        <w:t>(175)</w:t>
      </w:r>
      <w:r>
        <w:fldChar w:fldCharType="end"/>
      </w:r>
      <w:r>
        <w:t xml:space="preserve">, hematopoiesis </w:t>
      </w:r>
      <w:r>
        <w:fldChar w:fldCharType="begin"/>
      </w:r>
      <w:r w:rsidR="000A209C">
        <w:instrText xml:space="preserve"> ADDIN ZOTERO_ITEM CSL_CITATION {"citationID":"YOjSq1kn","properties":{"formattedCitation":"(176,177)","plainCitation":"(176,177)","noteIndex":0},"citationItems":[{"id":27,"uris":["http://zotero.org/users/952979/items/E5863XUF"],"uri":["http://zotero.org/users/952979/items/E5863XUF"],"itemData":{"id":27,"type":"article-journal","title":"Thicker Than Blood: Conserved Mechanisms in Drosophila and Vertebrate Hematopoiesis","container-title":"Developmental Cell","page":"673-690","volume":"5","issue":"5","source":"ScienceDirect","abstract":"Blood development in Drosophila melanogaster shares several interesting features with hematopoiesis in vertebrates, including spatiotemporal regulation as well as the use of similar transcriptional regulators and signaling pathways. In this review, we describe what is known about hematopoietic development in Drosophila and the various cell types generated and their functions. Additionally, the molecular genetic mechanisms of hematopoietic cell fate determination and commitment within Drosophila blood cell lineages are discussed and compared to vertebrate mechanisms.","DOI":"10.1016/S1534-5807(03)00335-6","ISSN":"1534-5807","shortTitle":"Thicker Than Blood","journalAbbreviation":"Developmental Cell","author":[{"family":"Evans","given":"Cory J"},{"family":"Hartenstein","given":"Volker"},{"family":"Banerjee","given":"Utpal"}],"issued":{"date-parts":[["2003",11]]}}},{"id":1503,"uris":["http://zotero.org/users/952979/items/HGQNFG4G"],"uri":["http://zotero.org/users/952979/items/HGQNFG4G"],"itemData":{"id":1503,"type":"article-journal","title":"The Drosophila lymph gland is an ideal model for studying hematopoiesis","container-title":"Developmental and Comparative Immunology","source":"PubMed","abstract":"Hematopoiesis in Drosophila melanogaster occurs throughout the entire life cycle, from the embryo to adulthood. The healthy lymph gland, as a hematopoietic organ during the larval stage, can give rise to two mature types of hemocytes, plasmatocytes and crystal cells, which persist into the pupal and adult stages. Homeostasis of the lymph gland is tightly controlled by a series of conserved factors and signaling pathways, which also play key roles in mammalian hematopoiesis. Thus, revealing the hematopoietic mechanisms in Drosophila will advance our understanding of hematopoietic stem cells and their niche as well as leukemia in mammals. In addition, the lymph gland employs a battery of strategies to produce lamellocytes, another type of mature hemocyte, to fight against parasitic wasp eggs, making the lymph gland an important immunological organ. In this review, the developmental process of the lymph gland and the regulatory networks of hematopoiesis are summarized. Moreover, we outline the current knowledge and novel insight into homeostasis of the lymph gland.","DOI":"10.1016/j.dci.2017.11.017","ISSN":"1879-0089","note":"PMID: 29191551","journalAbbreviation":"Dev. Comp. Immunol.","language":"eng","author":[{"family":"Yu","given":"Shichao"},{"family":"Luo","given":"Fangzhou"},{"family":"Jin","given":"Li Hua"}],"issued":{"date-parts":[["2017",11,27]]}}}],"schema":"https://github.com/citation-style-language/schema/raw/master/csl-citation.json"} </w:instrText>
      </w:r>
      <w:r>
        <w:fldChar w:fldCharType="separate"/>
      </w:r>
      <w:r w:rsidR="004A1963" w:rsidRPr="004A1963">
        <w:rPr>
          <w:rFonts w:ascii="Calibri" w:hAnsi="Calibri"/>
        </w:rPr>
        <w:t>(176,177)</w:t>
      </w:r>
      <w:r>
        <w:fldChar w:fldCharType="end"/>
      </w:r>
      <w:r>
        <w:t xml:space="preserve"> and hemocyte (blood cell) roles in development </w:t>
      </w:r>
      <w:r>
        <w:fldChar w:fldCharType="begin"/>
      </w:r>
      <w:r w:rsidR="000A209C">
        <w:instrText xml:space="preserve"> ADDIN ZOTERO_ITEM CSL_CITATION {"citationID":"xfI2muTF","properties":{"formattedCitation":"(166,178,179)","plainCitation":"(166,178,179)","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Robert"},{"family":"Wood","given":"Will"}],"issued":{"date-parts":[["2011",3,8]]}}},{"id":29,"uris":["http://zotero.org/users/952979/items/98Z8Z7U6"],"uri":["http://zotero.org/users/952979/items/98Z8Z7U6"],"itemData":{"id":29,"type":"article-journal","title":"Drosophila melanogaster embryonic haemocytes: masters of multitasking","container-title":"Nature Reviews Molecular Cell Biology","page":"542-551","volume":"8","issue":"7","source":"www.nature.com","abstract":"Drosophila melanogaster haemocytes constitute the cellular arm of a robust innate immune system in flies. In the adult and larva, these cells operate as the first line of defence against invading microorganisms: they phagocytose pathogens and produce antimicrobial peptides. However, in the sterile environment of the embryo, these important immune functions are largely redundant. Instead, throughout development, embryonic haemocytes are occupied with other tasks: they undergo complex migrations and carry out several non-immune functions that are crucial for successful embryogenesis.","DOI":"10.1038/nrm2202","ISSN":"1471-0072","shortTitle":"Drosophila melanogaster embryonic haemocytes","journalAbbreviation":"Nat Rev Mol Cell Biol","language":"en","author":[{"family":"Wood","given":"Will"},{"family":"Jacinto","given":"Antonio"}],"issued":{"date-parts":[["2007",7]]}}},{"id":1302,"uris":["http://zotero.org/users/952979/items/R84MIR32"],"uri":["http://zotero.org/users/952979/items/R84MIR32"],"itemData":{"id":1302,"type":"article-journal","title":"Drosophila phagocytosis - still many unknowns under the surface","container-title":"APMIS: acta pathologica, microbiologica, et immunologica Scandinavica","page":"651-662","volume":"119","issue":"10","source":"PubMed","abstract":"In mammals, phagocytosis coordinates host defence on two levels: It acts both as an effector of the innate immunity, as well as an initiator of the adaptive immunity. The fruit fly Drosophila melanogaster (D. melanogaster) lacks the adaptive immune response, and the role of Drosophila plasmatocytes, cells that resemble phagocytosing mammalian macrophages, is limited to innate immune responses. During the past years, several studies have shed light on the role of phagocytosis in the Drosophila host defence. At least in some infection models, the systemic production of potent antimicrobial peptides (AMPs) does not completely compensate for the need for cellular immune responses. As a model, Drosophila offers powerful tools for studying phagocytosis including, large-scale RNA interference (RNAi) based in vitro screens that can be combined with classical Drosophila genetics. These kinds of approaches have led to important discoveries related especially to microbial recognition by Drosophila plasmatocytes. Events following initial recognition, however, have remained more elusive. This review summarizes the current knowledge on Drosophila phagocytosis focusing on the most recent advancements in the field, and highlighting the benefits the Drosophila system has to offer for research on phagocytosis.","DOI":"10.1111/j.1600-0463.2011.02792.x","ISSN":"1600-0463","note":"PMID: 21917002","journalAbbreviation":"APMIS","language":"eng","author":[{"family":"Ulvila","given":"Johanna"},{"family":"Vanha-Aho","given":"Leena-Maija"},{"family":"Rämet","given":"Mika"}],"issued":{"date-parts":[["2011",10]]}}}],"schema":"https://github.com/citation-style-language/schema/raw/master/csl-citation.json"} </w:instrText>
      </w:r>
      <w:r>
        <w:fldChar w:fldCharType="separate"/>
      </w:r>
      <w:r w:rsidR="004A1963" w:rsidRPr="004A1963">
        <w:rPr>
          <w:rFonts w:ascii="Calibri" w:hAnsi="Calibri"/>
        </w:rPr>
        <w:t>(166,178,179)</w:t>
      </w:r>
      <w:r>
        <w:fldChar w:fldCharType="end"/>
      </w:r>
      <w:r>
        <w:t>.</w:t>
      </w:r>
    </w:p>
    <w:p w14:paraId="1448BCB9" w14:textId="77777777" w:rsidR="001D1AB8" w:rsidRDefault="001D1AB8" w:rsidP="001D1AB8">
      <w:pPr>
        <w:pStyle w:val="Thesisnormal"/>
      </w:pPr>
    </w:p>
    <w:p w14:paraId="70694796" w14:textId="1F79D960" w:rsidR="00BA62FD" w:rsidRDefault="00BA62FD" w:rsidP="001D1AB8">
      <w:pPr>
        <w:pStyle w:val="Thesisnormal"/>
      </w:pPr>
      <w:r>
        <w:rPr>
          <w:noProof/>
          <w:lang w:eastAsia="en-GB"/>
        </w:rPr>
        <w:drawing>
          <wp:inline distT="0" distB="0" distL="0" distR="0" wp14:anchorId="30EE2635" wp14:editId="659BA79B">
            <wp:extent cx="5724525" cy="1257300"/>
            <wp:effectExtent l="0" t="0" r="9525" b="0"/>
            <wp:docPr id="7" name="Picture 7" descr="D:\Dropbox\PhD\Writing\Thesis\Chapter 1 introduction\figures\Drosophila lifecycle 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1 introduction\figures\Drosophila lifecycle figur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4525" cy="1257300"/>
                    </a:xfrm>
                    <a:prstGeom prst="rect">
                      <a:avLst/>
                    </a:prstGeom>
                    <a:noFill/>
                    <a:ln>
                      <a:noFill/>
                    </a:ln>
                  </pic:spPr>
                </pic:pic>
              </a:graphicData>
            </a:graphic>
          </wp:inline>
        </w:drawing>
      </w:r>
    </w:p>
    <w:p w14:paraId="5B073552" w14:textId="77777777" w:rsidR="00BA62FD" w:rsidRDefault="00BA62FD" w:rsidP="00BA62FD">
      <w:pPr>
        <w:pStyle w:val="NoSpacing"/>
        <w:rPr>
          <w:b/>
        </w:rPr>
      </w:pPr>
    </w:p>
    <w:p w14:paraId="3E956ADA" w14:textId="5D1EF9A0" w:rsidR="00BA62FD" w:rsidRPr="0070642F" w:rsidRDefault="00BA62FD" w:rsidP="00BA62FD">
      <w:pPr>
        <w:pStyle w:val="NoSpacing"/>
        <w:rPr>
          <w:b/>
        </w:rPr>
      </w:pPr>
      <w:r>
        <w:rPr>
          <w:b/>
        </w:rPr>
        <w:t>Figure 1.3</w:t>
      </w:r>
      <w:r w:rsidRPr="00BB2E04">
        <w:rPr>
          <w:b/>
        </w:rPr>
        <w:t xml:space="preserve">. </w:t>
      </w:r>
      <w:r w:rsidRPr="00BB2E04">
        <w:rPr>
          <w:b/>
          <w:i/>
        </w:rPr>
        <w:t xml:space="preserve">Drosophila </w:t>
      </w:r>
      <w:r w:rsidR="0070642F">
        <w:rPr>
          <w:b/>
        </w:rPr>
        <w:t>lifecycle</w:t>
      </w:r>
    </w:p>
    <w:p w14:paraId="0530F26F" w14:textId="482BD243" w:rsidR="00BA62FD" w:rsidRPr="0070642F" w:rsidRDefault="0070642F" w:rsidP="00BA62FD">
      <w:pPr>
        <w:pStyle w:val="NoSpacing"/>
      </w:pPr>
      <w:r>
        <w:rPr>
          <w:i/>
        </w:rPr>
        <w:t>Drosophila</w:t>
      </w:r>
      <w:r>
        <w:t xml:space="preserve"> have various life stages, with the embryonic stage lasting 24 hours following fertilisation. Each of the three larval stages last approximately 1 day until the L3 stage which lasts 3 days. Larvae then pupate and remain as a pupa for 5 days before they metamorphose into adult flies. </w:t>
      </w:r>
      <w:r w:rsidR="00BA62FD" w:rsidRPr="0070642F">
        <w:rPr>
          <w:i/>
        </w:rPr>
        <w:t xml:space="preserve"> </w:t>
      </w:r>
    </w:p>
    <w:p w14:paraId="11EC38E3" w14:textId="77777777" w:rsidR="00BA62FD" w:rsidRDefault="00BA62FD" w:rsidP="001D1AB8">
      <w:pPr>
        <w:pStyle w:val="Thesisnormal"/>
      </w:pPr>
    </w:p>
    <w:p w14:paraId="457CBD54" w14:textId="77777777" w:rsidR="001D1AB8" w:rsidRPr="00AF045A" w:rsidRDefault="001D1AB8" w:rsidP="001D1AB8">
      <w:pPr>
        <w:pStyle w:val="Heading3"/>
        <w:ind w:firstLine="720"/>
        <w:rPr>
          <w:i/>
        </w:rPr>
      </w:pPr>
      <w:bookmarkStart w:id="46" w:name="_Toc4589265"/>
      <w:r>
        <w:t xml:space="preserve">1.4.1 The </w:t>
      </w:r>
      <w:r w:rsidRPr="00AF045A">
        <w:rPr>
          <w:i/>
        </w:rPr>
        <w:t>GAL4-UAS</w:t>
      </w:r>
      <w:r>
        <w:t xml:space="preserve"> system in </w:t>
      </w:r>
      <w:r>
        <w:rPr>
          <w:i/>
        </w:rPr>
        <w:t>Drosophila</w:t>
      </w:r>
      <w:bookmarkEnd w:id="46"/>
    </w:p>
    <w:p w14:paraId="5D781B3A" w14:textId="77777777" w:rsidR="001D1AB8" w:rsidRDefault="001D1AB8" w:rsidP="001D1AB8">
      <w:pPr>
        <w:pStyle w:val="Thesisnormal"/>
      </w:pPr>
    </w:p>
    <w:p w14:paraId="63B9667F" w14:textId="6E31CC09" w:rsidR="001D1AB8" w:rsidRPr="006C3F37" w:rsidRDefault="001D1AB8" w:rsidP="001D1AB8">
      <w:pPr>
        <w:pStyle w:val="Thesisnormal"/>
      </w:pPr>
      <w:r>
        <w:t xml:space="preserve">The </w:t>
      </w:r>
      <w:r w:rsidRPr="008A1147">
        <w:rPr>
          <w:i/>
        </w:rPr>
        <w:t>GAL4-UAS</w:t>
      </w:r>
      <w:r>
        <w:t xml:space="preserve"> system originates from yeast (</w:t>
      </w:r>
      <w:r w:rsidRPr="008A1147">
        <w:rPr>
          <w:i/>
          <w:iCs/>
        </w:rPr>
        <w:t>Saccharomyces cerevisiae</w:t>
      </w:r>
      <w:r>
        <w:rPr>
          <w:i/>
          <w:iCs/>
        </w:rPr>
        <w:t>)</w:t>
      </w:r>
      <w:r w:rsidRPr="008A1147">
        <w:rPr>
          <w:i/>
          <w:iCs/>
        </w:rPr>
        <w:t xml:space="preserve"> </w:t>
      </w:r>
      <w:r>
        <w:rPr>
          <w:iCs/>
        </w:rPr>
        <w:t xml:space="preserve">where GAL4 functions </w:t>
      </w:r>
      <w:r>
        <w:t xml:space="preserve">as a </w:t>
      </w:r>
      <w:r w:rsidRPr="008A1147">
        <w:t>regulator of</w:t>
      </w:r>
      <w:r>
        <w:t xml:space="preserve"> </w:t>
      </w:r>
      <w:r w:rsidRPr="008A1147">
        <w:t>genes</w:t>
      </w:r>
      <w:r>
        <w:t xml:space="preserve"> induced by galactose such as GAL10 and GAL1 </w:t>
      </w:r>
      <w:r>
        <w:fldChar w:fldCharType="begin"/>
      </w:r>
      <w:r w:rsidR="000A209C">
        <w:instrText xml:space="preserve"> ADDIN ZOTERO_ITEM CSL_CITATION {"citationID":"fDVG0C2X","properties":{"formattedCitation":"(180,181)","plainCitation":"(180,181)","noteIndex":0},"citationItems":[{"id":1790,"uris":["http://zotero.org/users/952979/items/98WPSA4J"],"uri":["http://zotero.org/users/952979/items/98WPSA4J"],"itemData":{"id":1790,"type":"article-journal","title":"Primary structure of the Saccharomyces cerevisiae GAL4 gene","container-title":"Molecular and Cellular Biology","page":"260-267","volume":"4","issue":"2","source":"PubMed","abstract":"The GAL4 gene encodes a positive regulator of the galactose-inducible genes in Saccharomyces cerevisiae. Recently, GAL4 has been cloned and its 2.8-kilobase mRNA has been identified. We report here the DNA sequence of GAL4 and the mapping of the 5' and 3' ends of its transcripts. The region sequenced contains a single open reading frame, 881 codons long, which could encode a 99,350-dalton protein. The 5' ends of the GAL4 transcripts fall into two clusters. Transcripts which begin at the upstream cluster would encode the 99,350-dalton protein, whereas those starting at the downstream cluster may result in the synthesis of a shorter, 91,600-dalton protein. The putative GAL4 proteins contain an amino acid sequence near their amino termini which resembles a DNA-binding motif found in bacterial and phage repressors and gene activator proteins.","ISSN":"0270-7306","note":"PMID: 6366516\nPMCID: PMC368690","journalAbbreviation":"Mol. Cell. Biol.","language":"eng","author":[{"family":"Laughon","given":"A."},{"family":"Gesteland","given":"R. F."}],"issued":{"date-parts":[["1984",2]]}}},{"id":1789,"uris":["http://zotero.org/users/952979/items/TZG6N7J3"],"uri":["http://zotero.org/users/952979/items/TZG6N7J3"],"itemData":{"id":1789,"type":"article-journal","title":"Identification of two proteins encoded by the Saccharomyces cerevisiae GAL4 gene.","container-title":"Molecular and Cellular Biology","page":"268-275","volume":"4","issue":"2","source":"PubMed Central","abstract":"We placed the Saccharomyces cerevisiae GAL4 gene under control of the galactose regulatory system by fusing it to the S. cerevisiae GAL1 promoter. After induction with galactose, GAL4 is now transcribed at about 1,000-fold higher levels than in wild-type S. cerevisiae. This regulated high-level expression has enabled us to tentatively identify two GAL4-encoded proteins.","ISSN":"0270-7306","note":"PMID: 6366517\nPMCID: PMC368691","journalAbbreviation":"Mol Cell Biol","author":[{"family":"Laughon","given":"A"},{"family":"Driscoll","given":"R"},{"family":"Wills","given":"N"},{"family":"Gesteland","given":"R F"}],"issued":{"date-parts":[["1984",2]]}}}],"schema":"https://github.com/citation-style-language/schema/raw/master/csl-citation.json"} </w:instrText>
      </w:r>
      <w:r>
        <w:fldChar w:fldCharType="separate"/>
      </w:r>
      <w:r w:rsidR="004A1963" w:rsidRPr="004A1963">
        <w:rPr>
          <w:rFonts w:ascii="Calibri" w:hAnsi="Calibri"/>
        </w:rPr>
        <w:t>(180,181)</w:t>
      </w:r>
      <w:r>
        <w:fldChar w:fldCharType="end"/>
      </w:r>
      <w:r>
        <w:t xml:space="preserve">. Importantly, transcription of the GAL10 and GAL1 genes is mediated by GAL4 binding to specific 17 base-pair sites that define an upstream activating sequence (UAS) </w:t>
      </w:r>
      <w:r>
        <w:fldChar w:fldCharType="begin"/>
      </w:r>
      <w:r w:rsidR="000A209C">
        <w:instrText xml:space="preserve"> ADDIN ZOTERO_ITEM CSL_CITATION {"citationID":"iJYC3d3a","properties":{"formattedCitation":"(182)","plainCitation":"(182)","noteIndex":0},"citationItems":[{"id":1788,"uris":["http://zotero.org/users/952979/items/5285MHIC"],"uri":["http://zotero.org/users/952979/items/5285MHIC"],"itemData":{"id":1788,"type":"article-journal","title":"Specific DNA binding of GAL4, a positive regulatory protein of yeast","container-title":"Cell","page":"767-774","volume":"40","issue":"4","source":"PubMed","abstract":"We show by the following series of experiments that the yeast positive regulatory protein GAL4 binds to four sites in the upstream activating sequence UASG to activate transcription of the adjacent GAL1 and GAL10 genes. GAL4 protein expressed in E. coli protected guanine residues in UASG from methylation by dimethyl sulfate. The same set of protections was seen in vivo in yeast and depended on the GAL4+ allele. This protection pattern is consistent with the idea that GAL4 protein binds to four related 17 bp sequences, each of which displays approximate 2-fold rotational symmetry. A single near-consensus synthetic 17 bp oligonucleotide, installed in front of the yeast GAL1 or CYC1 transcription units, conferred a high level of galactose inducibility upon these genes. Further experiments suggest that one mechanism of glucose repression is inhibition of the binding of GAL4 protein to DNA.","ISSN":"0092-8674","note":"PMID: 3886158","journalAbbreviation":"Cell","language":"eng","author":[{"family":"Giniger","given":"E."},{"family":"Varnum","given":"S. M."},{"family":"Ptashne","given":"M."}],"issued":{"date-parts":[["1985",4]]}}}],"schema":"https://github.com/citation-style-language/schema/raw/master/csl-citation.json"} </w:instrText>
      </w:r>
      <w:r>
        <w:fldChar w:fldCharType="separate"/>
      </w:r>
      <w:r w:rsidR="004A1963" w:rsidRPr="004A1963">
        <w:rPr>
          <w:rFonts w:ascii="Calibri" w:hAnsi="Calibri"/>
        </w:rPr>
        <w:t>(182)</w:t>
      </w:r>
      <w:r>
        <w:fldChar w:fldCharType="end"/>
      </w:r>
      <w:r>
        <w:t>. T</w:t>
      </w:r>
      <w:r w:rsidRPr="006C3F37">
        <w:t>he</w:t>
      </w:r>
      <w:r w:rsidRPr="006C3F37">
        <w:br/>
      </w:r>
      <w:r w:rsidRPr="006C3F37">
        <w:lastRenderedPageBreak/>
        <w:t xml:space="preserve">DNA binding activity of GAL4 </w:t>
      </w:r>
      <w:r>
        <w:t>is separate from</w:t>
      </w:r>
      <w:r w:rsidRPr="006C3F37">
        <w:t xml:space="preserve"> its transcriptional activation function </w:t>
      </w:r>
      <w:r>
        <w:t xml:space="preserve">which map to different regions </w:t>
      </w:r>
      <w:r>
        <w:fldChar w:fldCharType="begin"/>
      </w:r>
      <w:r w:rsidR="000A209C">
        <w:instrText xml:space="preserve"> ADDIN ZOTERO_ITEM CSL_CITATION {"citationID":"2kYNsRLo","properties":{"formattedCitation":"(183)","plainCitation":"(183)","noteIndex":0},"citationItems":[{"id":1758,"uris":["http://zotero.org/users/952979/items/T22VU3NH"],"uri":["http://zotero.org/users/952979/items/T22VU3NH"],"itemData":{"id":1758,"type":"article-journal","title":"A new class of yeast transcriptional activators","container-title":"Cell","page":"113-119","volume":"51","issue":"1","source":"PubMed","abstract":"We describe yeast transcriptional activators encoded by E. coli genomic DNA fragments fused to the coding sequence of the DNA-binding portion of GAL4. All of the new activating sequences that we have analyzed, like those of GAL4 and GCN4, are acidic; most of these sequences show no obvious sequence homology when compared with the identified activating regions of GAL4 and GCN4 or among themselves. We also describe a fusion protein that contains no yeast protein sequence but activates transcription in yeast.","ISSN":"0092-8674","note":"PMID: 3115591","journalAbbreviation":"Cell","language":"eng","author":[{"family":"Ma","given":"J."},{"family":"Ptashne","given":"M."}],"issued":{"date-parts":[["1987",10,9]]}}}],"schema":"https://github.com/citation-style-language/schema/raw/master/csl-citation.json"} </w:instrText>
      </w:r>
      <w:r>
        <w:fldChar w:fldCharType="separate"/>
      </w:r>
      <w:r w:rsidR="004A1963" w:rsidRPr="004A1963">
        <w:rPr>
          <w:rFonts w:ascii="Calibri" w:hAnsi="Calibri"/>
        </w:rPr>
        <w:t>(183)</w:t>
      </w:r>
      <w:r>
        <w:fldChar w:fldCharType="end"/>
      </w:r>
      <w:r>
        <w:t xml:space="preserve">. The first demonstration that this system could be used in </w:t>
      </w:r>
      <w:r>
        <w:rPr>
          <w:i/>
        </w:rPr>
        <w:t>Drosophila</w:t>
      </w:r>
      <w:r>
        <w:t xml:space="preserve"> was from Fischer </w:t>
      </w:r>
      <w:r>
        <w:rPr>
          <w:i/>
        </w:rPr>
        <w:t>et al</w:t>
      </w:r>
      <w:r>
        <w:t xml:space="preserve"> who showed that GAL4 expression could transcribe a reporter gene under control of UAS </w:t>
      </w:r>
      <w:r>
        <w:fldChar w:fldCharType="begin"/>
      </w:r>
      <w:r w:rsidR="000A209C">
        <w:instrText xml:space="preserve"> ADDIN ZOTERO_ITEM CSL_CITATION {"citationID":"xNFqLBXl","properties":{"formattedCitation":"(184)","plainCitation":"(184)","noteIndex":0},"citationItems":[{"id":1787,"uris":["http://zotero.org/users/952979/items/7XWFYZRC"],"uri":["http://zotero.org/users/952979/items/7XWFYZRC"],"itemData":{"id":1787,"type":"article-journal","title":"GAL4 activates transcription in Drosophila","container-title":"Nature","page":"853-856","volume":"332","issue":"6167","source":"PubMed","abstract":"GAL4 is a yeast regulatory protein that binds to specific sites within a DNA sequence called UASG (galactose upstream activating sequence) and activates transcription of linked genes. This activation requires two functions of the protein: a DNA binding domain located near the amino terminus, and one or more 'activating regions'. The 'activating regions' are highly acidic (see also ref. 12) and can be replaced, for example, by a short peptide designed to form a negatively charged, amphipathic alpha-helix. GAL4, as well as deletion derivatives bearing one or more 'activating regions' attached to the DNA binding domain, activates transcription in cultured mammalian cells from mammalian promoters linked to a UASG (refs 14, 15). Here we show that GAL4, when expressed in particular tissues of Drosophila larvae, stimulates tissue-specific transcription of a Drosophila promoter linked to GAL4 binding sites.","DOI":"10.1038/332853a0","ISSN":"0028-0836","note":"PMID: 3128741","journalAbbreviation":"Nature","language":"eng","author":[{"family":"Fischer","given":"J. A."},{"family":"Giniger","given":"E."},{"family":"Maniatis","given":"T."},{"family":"Ptashne","given":"M."}],"issued":{"date-parts":[["1988",4,28]]}}}],"schema":"https://github.com/citation-style-language/schema/raw/master/csl-citation.json"} </w:instrText>
      </w:r>
      <w:r>
        <w:fldChar w:fldCharType="separate"/>
      </w:r>
      <w:r w:rsidR="004A1963" w:rsidRPr="004A1963">
        <w:rPr>
          <w:rFonts w:ascii="Calibri" w:hAnsi="Calibri"/>
        </w:rPr>
        <w:t>(184)</w:t>
      </w:r>
      <w:r>
        <w:fldChar w:fldCharType="end"/>
      </w:r>
      <w:r>
        <w:t xml:space="preserve">. The </w:t>
      </w:r>
      <w:r w:rsidRPr="008A1147">
        <w:rPr>
          <w:i/>
        </w:rPr>
        <w:t>GAL4-UAS</w:t>
      </w:r>
      <w:r>
        <w:t xml:space="preserve"> system was developed as a tool for use in </w:t>
      </w:r>
      <w:r>
        <w:rPr>
          <w:i/>
        </w:rPr>
        <w:t>Drosophila</w:t>
      </w:r>
      <w:r>
        <w:t xml:space="preserve"> by Brand and Perrimon in a landmark study in 1993, where it was shown that this system could be used for targeted gene expression </w:t>
      </w:r>
      <w:r>
        <w:fldChar w:fldCharType="begin"/>
      </w:r>
      <w:r w:rsidR="000A209C">
        <w:instrText xml:space="preserve"> ADDIN ZOTERO_ITEM CSL_CITATION {"citationID":"5pHVfXsn","properties":{"formattedCitation":"(185)","plainCitation":"(185)","noteIndex":0},"citationItems":[{"id":1332,"uris":["http://zotero.org/users/952979/items/JH7Q3JH8"],"uri":["http://zotero.org/users/952979/items/JH7Q3JH8"],"itemData":{"id":1332,"type":"article-journal","title":"Targeted gene expression as a means of altering cell fates and generating dominant phenotypes","container-title":"Development (Cambridge, England)","page":"401-415","volume":"118","issue":"2","source":"PubMed","abstract":"We have designed a system for targeted gene expression that allows the selective activation of any cloned gene in a wide variety of tissue- and cell-specific patterns. The gene encoding the yeast transcriptional activator GAL4 is inserted randomly into the Drosophila genome to drive GAL4 expression from one of a diverse array of genomic enhancers. It is then possible to introduce a gene containing GAL4 binding sites within its promoter, to activate it in those cells where GAL4 is expressed, and to observe the effect of this directed misexpression on development. We have used GAL4-directed transcription to expand the domain of embryonic expression of the homeobox protein even-skipped. We show that even-skipped represses wingless and transforms cells that would normally secrete naked cuticle into denticle secreting cells. The GAL4 system can thus be used to study regulatory interactions during embryonic development. In adults, targeted expression can be used to generate dominant phenotypes for use in genetic screens. We have directed expression of an activated form of the Dras2 protein, resulting in dominant eye and wing defects that can be used in screens to identify other members of the Dras2 signal transduction pathway.","ISSN":"0950-1991","note":"PMID: 8223268","journalAbbreviation":"Development","language":"eng","author":[{"family":"Brand","given":"A. H."},{"family":"Perrimon","given":"N."}],"issued":{"date-parts":[["1993",6]]}}}],"schema":"https://github.com/citation-style-language/schema/raw/master/csl-citation.json"} </w:instrText>
      </w:r>
      <w:r>
        <w:fldChar w:fldCharType="separate"/>
      </w:r>
      <w:r w:rsidR="004A1963" w:rsidRPr="004A1963">
        <w:rPr>
          <w:rFonts w:ascii="Calibri" w:hAnsi="Calibri"/>
        </w:rPr>
        <w:t>(185)</w:t>
      </w:r>
      <w:r>
        <w:fldChar w:fldCharType="end"/>
      </w:r>
      <w:r>
        <w:t>. Generally, flies with a GAL4 construct are mated (crossed) with flies containing a UAS construct, often to express a gene or reporter in a specific tissue or cell type. For example, in this thesis the pan-hemocyte marker Serpent (Srp) is often used to drive expression of reporters, such as GFP, specifically within hemocytes (</w:t>
      </w:r>
      <w:r w:rsidRPr="00FC1734">
        <w:rPr>
          <w:i/>
        </w:rPr>
        <w:t>srp-gal4</w:t>
      </w:r>
      <w:r>
        <w:t xml:space="preserve"> flies crossed to </w:t>
      </w:r>
      <w:r w:rsidRPr="00FC1734">
        <w:rPr>
          <w:i/>
        </w:rPr>
        <w:t>UAS-GFP</w:t>
      </w:r>
      <w:r>
        <w:t xml:space="preserve"> flies to generate flies that have GFP labelled hemocytes </w:t>
      </w:r>
      <w:r w:rsidRPr="00FC1734">
        <w:rPr>
          <w:i/>
        </w:rPr>
        <w:t>srp-Gal4/UAS-GFP</w:t>
      </w:r>
      <w:r>
        <w:t xml:space="preserve">). The system is now ubiquitous in </w:t>
      </w:r>
      <w:r>
        <w:rPr>
          <w:i/>
        </w:rPr>
        <w:t>Drosophila</w:t>
      </w:r>
      <w:r>
        <w:t xml:space="preserve"> with a wide variety of tools in existence, for example, this system can be used to express RNAi, mis-expression of genes or for reporter constructs </w:t>
      </w:r>
      <w:r>
        <w:fldChar w:fldCharType="begin"/>
      </w:r>
      <w:r w:rsidR="000A209C">
        <w:instrText xml:space="preserve"> ADDIN ZOTERO_ITEM CSL_CITATION {"citationID":"jEMiWYJb","properties":{"formattedCitation":"(158)","plainCitation":"(158)","noteIndex":0},"citationItems":[{"id":30,"uris":["http://zotero.org/users/952979/items/S6IS7PE7"],"uri":["http://zotero.org/users/952979/items/S6IS7PE7"],"itemData":{"id":30,"type":"article-journal","title":"GAL4 system in drosophila: A fly geneticist's swiss army knife","container-title":"genesis","page":"1-15","volume":"34","issue":"1-2","source":"Wiley Online Library","DOI":"10.1002/gene.10150","ISSN":"1526-968X","shortTitle":"GAL4 system in drosophila","journalAbbreviation":"Genesis","language":"en","author":[{"family":"Duffy","given":"Joseph B."}],"issued":{"date-parts":[["2002",9,1]]}}}],"schema":"https://github.com/citation-style-language/schema/raw/master/csl-citation.json"} </w:instrText>
      </w:r>
      <w:r>
        <w:fldChar w:fldCharType="separate"/>
      </w:r>
      <w:r w:rsidR="004A1963" w:rsidRPr="004A1963">
        <w:rPr>
          <w:rFonts w:ascii="Calibri" w:hAnsi="Calibri"/>
        </w:rPr>
        <w:t>(158)</w:t>
      </w:r>
      <w:r>
        <w:fldChar w:fldCharType="end"/>
      </w:r>
      <w:r>
        <w:t xml:space="preserve">. </w:t>
      </w:r>
    </w:p>
    <w:p w14:paraId="5A9DFB97" w14:textId="77777777" w:rsidR="001D1AB8" w:rsidRDefault="001D1AB8" w:rsidP="001D1AB8">
      <w:pPr>
        <w:pStyle w:val="Thesisnormal"/>
      </w:pPr>
    </w:p>
    <w:p w14:paraId="79C9A772" w14:textId="77777777" w:rsidR="001D1AB8" w:rsidRPr="00226B63" w:rsidRDefault="001D1AB8" w:rsidP="001D1AB8">
      <w:pPr>
        <w:pStyle w:val="Heading3"/>
        <w:ind w:firstLine="720"/>
        <w:rPr>
          <w:i/>
        </w:rPr>
      </w:pPr>
      <w:bookmarkStart w:id="47" w:name="_Toc4589266"/>
      <w:r>
        <w:t xml:space="preserve">1.4.2 Enhancer traps in </w:t>
      </w:r>
      <w:r>
        <w:rPr>
          <w:i/>
        </w:rPr>
        <w:t>Drosophila</w:t>
      </w:r>
      <w:bookmarkEnd w:id="47"/>
    </w:p>
    <w:p w14:paraId="4829A737" w14:textId="77777777" w:rsidR="001D1AB8" w:rsidRDefault="001D1AB8" w:rsidP="001D1AB8">
      <w:pPr>
        <w:pStyle w:val="Thesisnormal"/>
      </w:pPr>
    </w:p>
    <w:p w14:paraId="0100CAEA" w14:textId="14533AF7" w:rsidR="001D1AB8" w:rsidRPr="00B05A49" w:rsidRDefault="001D1AB8" w:rsidP="001D1AB8">
      <w:pPr>
        <w:pStyle w:val="Thesisnormal"/>
      </w:pPr>
      <w:r>
        <w:t xml:space="preserve">One of the major advances in the genetic tractability, and usefulness, of </w:t>
      </w:r>
      <w:r>
        <w:rPr>
          <w:i/>
        </w:rPr>
        <w:t>Drosophila</w:t>
      </w:r>
      <w:r>
        <w:t xml:space="preserve"> was the discovery and subsequent use of P elements </w:t>
      </w:r>
      <w:r>
        <w:fldChar w:fldCharType="begin"/>
      </w:r>
      <w:r w:rsidR="000A209C">
        <w:instrText xml:space="preserve"> ADDIN ZOTERO_ITEM CSL_CITATION {"citationID":"SVuL3Ou2","properties":{"formattedCitation":"(186)","plainCitation":"(186)","noteIndex":0},"citationItems":[{"id":1801,"uris":["http://zotero.org/users/952979/items/75LEBWQP"],"uri":["http://zotero.org/users/952979/items/75LEBWQP"],"itemData":{"id":1801,"type":"article-journal","title":"Spontaneous recombination in Drosophila melanogaster males","container-title":"Proceedings of the National Academy of Sciences of the United States of America","page":"268-270","volume":"68","issue":"2","source":"PubMed","abstract":"A second chromosome of Drosophila melanogaster (symbol T-007) isolated from a natural population in Harlingen, Texas, was found to undergo recombination in heterozygous males. Heterozygous males transmit this chromosome with a frequency, k, of about 0.4, considerably reduced from the expected value of 0.5. The frequency of male recombination and the k value are negatively correlated, indicating that the two phenomena are in some way related. The complementary recombinant products are recovered in equal frequency and the recombination is not restricted to the heterochromatic regions. The time of recombination is not certain, but the distribution of recombinants is more suggestive of meiotic than of premeiotic occurrence. In the natural population of these flies, the frequency of chromosomes with male recombination is 20% or more.","ISSN":"0027-8424","note":"PMID: 5277066\nPMCID: PMC388914","journalAbbreviation":"Proc. Natl. Acad. Sci. U.S.A.","language":"eng","author":[{"family":"Hiraizumi","given":"Y."}],"issued":{"date-parts":[["1971",2]]}}}],"schema":"https://github.com/citation-style-language/schema/raw/master/csl-citation.json"} </w:instrText>
      </w:r>
      <w:r>
        <w:fldChar w:fldCharType="separate"/>
      </w:r>
      <w:r w:rsidR="004A1963" w:rsidRPr="004A1963">
        <w:rPr>
          <w:rFonts w:ascii="Calibri" w:hAnsi="Calibri"/>
        </w:rPr>
        <w:t>(186)</w:t>
      </w:r>
      <w:r>
        <w:fldChar w:fldCharType="end"/>
      </w:r>
      <w:r>
        <w:t xml:space="preserve">. P elements are class-II transposons, which are mobile pieces of DNA that can insert randomly into the genome </w:t>
      </w:r>
      <w:r>
        <w:fldChar w:fldCharType="begin"/>
      </w:r>
      <w:r w:rsidR="000A209C">
        <w:instrText xml:space="preserve"> ADDIN ZOTERO_ITEM CSL_CITATION {"citationID":"NmWZ0plA","properties":{"formattedCitation":"(187)","plainCitation":"(187)","noteIndex":0},"citationItems":[{"id":1798,"uris":["http://zotero.org/users/952979/items/V83Z44PR"],"uri":["http://zotero.org/users/952979/items/V83Z44PR"],"itemData":{"id":1798,"type":"article-journal","title":"P transposable elements in Drosophila and other eukaryotic organisms","container-title":"Microbiology spectrum","page":"MDNA3-0004-2014","volume":"3","issue":"2","source":"PubMed Central","abstract":"P transposable elements were discovered in Drosophila as the causative agents of a syndrome of genetic traits called hybrid dysgenesis. Hybrid dysgenesis exhibits a unique pattern of maternal inheritance linked to the germline-specific small RNA piwi-interacting (piRNA) pathway. The use of P transposable elements as vectors for gene transfer and as genetic tools revolutionized the field of Drosophila molecular genetics. P element transposons have served as a useful model to investigate mechanisms of cut-and-paste transposition in eukaryotes. Biochemical studies have revealed new and unexpected insights into how eukaryotic DNA-based transposons are mobilized. For example, the P element transposase makes unusual 17nt-3’ extended double-strand DNA breaks at the transposon termini and uses guanosine triphosphate (GTP) as a cofactor to promote synapsis of the two transposon ends early in the transposition pathway. The N-terminal DNA binding domain of the P element transposase, called a THAP domain, contains a C2CH zinc-coordinating motif and is the founding member of a large family of animal-specific site-specific DNA binding proteins. Over the past decade genome sequencing efforts have revealed the presence of P element-like transposable elements or P element transposase-like genes (called THAP9) in many eukaryotic genomes, including vertebrates, such as primates including humans, zebrafish and Xenopus, as well as the human parasite Trichomonas vaginalis, the sea squirt Ciona, sea urchin and hydra. Surprisingly, the human and zebrafish P element transposase-related THAP9 genes promote transposition of the Drosophila P element transposon DNA in human and Drosophila cells, indicating that the THAP9 genes encode active P element “transposase” proteins.","DOI":"10.1128/microbiolspec.MDNA3-0004-2014","ISSN":"2165-0497","note":"PMID: 26104714\nPMCID: PMC4399808","journalAbbreviation":"Microbiol Spectr","author":[{"family":"Majumdar","given":"Sharmistha"},{"family":"Rio","given":"Donald C."}],"issued":{"date-parts":[["2015",4]]}}}],"schema":"https://github.com/citation-style-language/schema/raw/master/csl-citation.json"} </w:instrText>
      </w:r>
      <w:r>
        <w:fldChar w:fldCharType="separate"/>
      </w:r>
      <w:r w:rsidR="004A1963" w:rsidRPr="004A1963">
        <w:rPr>
          <w:rFonts w:ascii="Calibri" w:hAnsi="Calibri"/>
        </w:rPr>
        <w:t>(187)</w:t>
      </w:r>
      <w:r>
        <w:fldChar w:fldCharType="end"/>
      </w:r>
      <w:r>
        <w:t xml:space="preserve">. To be used as a tool, P elements have been integrated into plasmid vectors with the transpose activity removed and additional modifications, often including visible markers such as mini-white </w:t>
      </w:r>
      <w:r>
        <w:fldChar w:fldCharType="begin"/>
      </w:r>
      <w:r w:rsidR="000A209C">
        <w:instrText xml:space="preserve"> ADDIN ZOTERO_ITEM CSL_CITATION {"citationID":"LPM6qOxi","properties":{"formattedCitation":"(188)","plainCitation":"(188)","noteIndex":0},"citationItems":[{"id":1800,"uris":["http://zotero.org/users/952979/items/DHKHDALR"],"uri":["http://zotero.org/users/952979/items/DHKHDALR"],"itemData":{"id":1800,"type":"article-journal","title":"The use of P-element transposons to generate transgenic flies","container-title":"Methods in Molecular Biology (Clifton, N.J.)","page":"61-77","volume":"420","source":"PubMed","abstract":"The development of a technique to stably integrate exogenous DNA into the germline of Drosophila melanogaster marked a milestone in the ability to study gene function in the fly. On the molecular level germline transformation mainly relies on a particular transposable element, the D. melanogaster P-element. Based on certain features of the P-element, vectors have been designed for diverse applications like gene disruption, chromosome engineering, gene tagging, and inducible gene expression/repression. Despite the fact that an increasing number of other transposons have been utilized for germline transformation of Drosophila most transformation vectors are still P-element based. Technically, microinjection serves as the method of choice to physically introduce transgenes into preblastoderm Drosophila embryos. Besides an appropriate technical equipment including suitable microcapillaries in conjunction with a micromanipulator, a microinjector, and a microscope, proper handling of the Drosophila embryos before and after microinjection is the key step to the generation of transgenic flies. Pioneer work in Drosophila also served as a general guideline for the transformation of other insect species including those with medical and agricultural importance.","DOI":"10.1007/978-1-59745-583-1_4","ISSN":"1064-3745","note":"PMID: 18641941","journalAbbreviation":"Methods Mol. Biol.","language":"eng","author":[{"family":"Bachmann","given":"André"},{"family":"Knust","given":"Elisabeth"}],"issued":{"date-parts":[["2008"]]}}}],"schema":"https://github.com/citation-style-language/schema/raw/master/csl-citation.json"} </w:instrText>
      </w:r>
      <w:r>
        <w:fldChar w:fldCharType="separate"/>
      </w:r>
      <w:r w:rsidR="004A1963" w:rsidRPr="004A1963">
        <w:rPr>
          <w:rFonts w:ascii="Calibri" w:hAnsi="Calibri"/>
        </w:rPr>
        <w:t>(188)</w:t>
      </w:r>
      <w:r>
        <w:fldChar w:fldCharType="end"/>
      </w:r>
      <w:r>
        <w:t xml:space="preserve">. These modified P element vectors can be used to insert desired DNA sequences into the </w:t>
      </w:r>
      <w:r>
        <w:rPr>
          <w:i/>
        </w:rPr>
        <w:t>Drosophila</w:t>
      </w:r>
      <w:r>
        <w:t xml:space="preserve"> genome. Since the initial discovery, many</w:t>
      </w:r>
      <w:r w:rsidRPr="001052E6">
        <w:t xml:space="preserve"> P</w:t>
      </w:r>
      <w:r>
        <w:t xml:space="preserve"> </w:t>
      </w:r>
      <w:r w:rsidRPr="001052E6">
        <w:t xml:space="preserve">element vectors have been created </w:t>
      </w:r>
      <w:r>
        <w:t xml:space="preserve">with multiple uses such as, </w:t>
      </w:r>
      <w:r w:rsidRPr="001052E6">
        <w:t>gene-</w:t>
      </w:r>
      <w:r>
        <w:t xml:space="preserve"> and </w:t>
      </w:r>
      <w:r w:rsidRPr="001052E6">
        <w:t xml:space="preserve">enhancer-trapping, </w:t>
      </w:r>
      <w:r>
        <w:t xml:space="preserve">gene disruption, </w:t>
      </w:r>
      <w:r w:rsidRPr="001052E6">
        <w:t>gene misexpression,</w:t>
      </w:r>
      <w:r>
        <w:t xml:space="preserve"> </w:t>
      </w:r>
      <w:r w:rsidRPr="001052E6">
        <w:t>gene targeting, and RNA interference</w:t>
      </w:r>
      <w:r>
        <w:t xml:space="preserve"> </w:t>
      </w:r>
      <w:r>
        <w:fldChar w:fldCharType="begin"/>
      </w:r>
      <w:r w:rsidR="000A209C">
        <w:instrText xml:space="preserve"> ADDIN ZOTERO_ITEM CSL_CITATION {"citationID":"fNczFLm5","properties":{"formattedCitation":"(189)","plainCitation":"(189)","noteIndex":0},"citationItems":[{"id":1799,"uris":["http://zotero.org/users/952979/items/Q5RSYJBX"],"uri":["http://zotero.org/users/952979/items/Q5RSYJBX"],"itemData":{"id":1799,"type":"article-journal","title":"Transposable elements as tools for genomics and genetics in Drosophila","container-title":"Briefings in Functional Genomics &amp; Proteomics","page":"57-71","volume":"2","issue":"1","source":"PubMed","abstract":"The P-element has been the workhorse of Drosophila genetics since it was developed as a tool for transgenesis in 1982; the subsequent development of a variety of systems based on the transposon have provided a range of powerful and flexible tools for genetics and genomics applications. P-element insertions are frequently used as starting-points for generating chromosomal deletions to remove flanking genes, either by screening for imprecise excision events or by selecting for male recombination events. Elements that utilise the yeast FLP/FLP recombination target (FRT) site-specific recombination system have been widely used to generate molecularly marked mitotic clones for mosaic analysis, extending the reach of this powerful genetic tool to virtually all areas of developmental biology. P-elements are still widely used as traditional mutagenesis reagents and form the backbone of projects aimed at generating insertions in every predicted gene in the fly genome. In addition, vectors based on the FLP/FRT system are being used for genome-wide applications, including the development of molecularly-mapped deletion and duplication kits. In addition to these 'traditional' genetic approaches, a variety of engineered elements have been developed for a wide range of transgenic applications, including enhancer trapping, gene-tagging, targeted misexpression, RNA interference (RNAi) delivery and homologous recombination/gene replacement. To complement the use of P-elements, alternative transposon vectors have been developed. The most widely used of these are the lepidopteran element piggyBac and a Drosophila hydei transposon, Minos. In total, a range of transposon vectors offers the Drosophila biologist considerable flexibility and sophistication in manipulating the genome of the fly and has allowed rapid advances in all areas of developmental biology and genome science.","ISSN":"1473-9550","note":"PMID: 15239944","journalAbbreviation":"Brief Funct Genomic Proteomic","language":"eng","author":[{"family":"Ryder","given":"Edward"},{"family":"Russell","given":"Steven"}],"issued":{"date-parts":[["2003",4]]}}}],"schema":"https://github.com/citation-style-language/schema/raw/master/csl-citation.json"} </w:instrText>
      </w:r>
      <w:r>
        <w:fldChar w:fldCharType="separate"/>
      </w:r>
      <w:r w:rsidR="004A1963" w:rsidRPr="004A1963">
        <w:rPr>
          <w:rFonts w:ascii="Calibri" w:hAnsi="Calibri"/>
        </w:rPr>
        <w:t>(189)</w:t>
      </w:r>
      <w:r>
        <w:fldChar w:fldCharType="end"/>
      </w:r>
      <w:r w:rsidRPr="001052E6">
        <w:t>.</w:t>
      </w:r>
      <w:r>
        <w:t xml:space="preserve"> For example, many of the RNAi and fluorescent reporter constructs used in this thesis are P element insertions. </w:t>
      </w:r>
    </w:p>
    <w:p w14:paraId="167535FF" w14:textId="77777777" w:rsidR="001D1AB8" w:rsidRDefault="001D1AB8" w:rsidP="001D1AB8">
      <w:pPr>
        <w:pStyle w:val="Thesisnormal"/>
      </w:pPr>
    </w:p>
    <w:p w14:paraId="29A539F3" w14:textId="0B75216D" w:rsidR="001D1AB8" w:rsidRDefault="001D1AB8" w:rsidP="001D1AB8">
      <w:pPr>
        <w:pStyle w:val="Thesisnormal"/>
      </w:pPr>
      <w:r>
        <w:t xml:space="preserve">Enhancer trapping is a technique by which reporter genes are fused to a minimal promoter which can only be activated by nearby enhancer regions. P elements containing these constructs insert randomly into the </w:t>
      </w:r>
      <w:r>
        <w:rPr>
          <w:i/>
        </w:rPr>
        <w:t>Drosophila</w:t>
      </w:r>
      <w:r>
        <w:t xml:space="preserve"> genome and enable large scale screening to be undertaken </w:t>
      </w:r>
      <w:r>
        <w:fldChar w:fldCharType="begin"/>
      </w:r>
      <w:r w:rsidR="000A209C">
        <w:instrText xml:space="preserve"> ADDIN ZOTERO_ITEM CSL_CITATION {"citationID":"tiSkz5hQ","properties":{"formattedCitation":"(162,190,191)","plainCitation":"(162,190,191)","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J."},{"family":"Stark","given":"Alexander"}],"issued":{"date-parts":[["2014",8,7]]}}},{"id":1797,"uris":["http://zotero.org/users/952979/items/VFQW97QD"],"uri":["http://zotero.org/users/952979/items/VFQW97QD"],"itemData":{"id":1797,"type":"article-journal","title":"Enhancer trap technique – A novel tool for identification and developmental characterization of Drosophila genes","container-title":"Current Science","page":"517-525","volume":"68","issue":"5","source":"JSTOR","archive":"JSTOR","abstract":"[The classical technique of mutational screen for identification of genes controlling early development has now approached saturation. A new era in genetic identification and developmental characterization of genes in Drosophila has commenced with the advent of the enhancer trap technique. This technique involves mobilization of a P lacZ vector to diverse chromosomal locations in the fruit fly genome to bring it under the regulation of developmentally expressed genes or their enhancer elements. The technique offers a strikingly elegant method of gaining entry into fruit fly genes.]","ISSN":"0011-3891","author":[{"family":"Singh","given":"A."}],"issued":{"date-parts":[["1995"]]}}},{"id":28,"uris":["http://zotero.org/users/952979/items/4CF9J7TX"],"uri":["http://zotero.org/users/952979/items/4CF9J7TX"],"itemData":{"id":28,"type":"article-journal","title":"Tools for neuroanatomy and neurogenetics in Drosophila","container-title":"Proceedings of the National Academy of Sciences of the United States of America","page":"9715-9720","volume":"105","issue":"28","source":"PubMed","abstract":"We demonstrate the feasibility of generating thousands of transgenic Drosophila melanogaster lines in which the expression of an exogenous gene is reproducibly directed to distinct small subsets of cells in the adult brain. We expect the expression patterns produced by the collection of 5,000 lines that we are currently generating to encompass all neurons in the brain in a variety of intersecting patterns. Overlapping 3-kb DNA fragments from the flanking noncoding and intronic regions of genes thought to have patterned expression in the adult brain were inserted into a defined genomic location by site-specific recombination. These fragments were then assayed for their ability to function as transcriptional enhancers in conjunction with a synthetic core promoter designed to work with a wide variety of enhancer types. An analysis of 44 fragments from four genes found that &gt;80% drive expression patterns in the brain; the observed patterns were, on average, comprised of &lt;100 cells. Our results suggest that the D. melanogaster genome contains &gt;50,000 enhancers and that multiple enhancers drive distinct subsets of expression of a gene in each tissue and developmental stage. We expect that these lines will be valuable tools for neuroanatomy as well as for the elucidation of neuronal circuits and information flow in the fly brain.","DOI":"10.1073/pnas.0803697105","ISSN":"1091-6490","note":"PMID: 18621688\nPMCID: PMC2447866","journalAbbreviation":"Proc. Natl. Acad. Sci. U.S.A.","language":"eng","author":[{"family":"Pfeiffer","given":"Barret D."},{"family":"Jenett","given":"Arnim"},{"family":"Hammonds","given":"Ann S."},{"family":"Ngo","given":"Teri-T. B."},{"family":"Misra","given":"Sima"},{"family":"Murphy","given":"Christine"},{"family":"Scully","given":"Audra"},{"family":"Carlson","given":"Joseph W."},{"family":"Wan","given":"Kenneth H."},{"family":"Laverty","given":"Todd R."},{"family":"Mungall","given":"Chris"},{"family":"Svirskas","given":"Rob"},{"family":"Kadonaga","given":"James T."},{"family":"Doe","given":"Chris Q."},{"family":"Eisen","given":"Michael B."},{"family":"Celniker","given":"Susan E."},{"family":"Rubin","given":"Gerald M."}],"issued":{"date-parts":[["2008",7,15]]}}}],"schema":"https://github.com/citation-style-language/schema/raw/master/csl-citation.json"} </w:instrText>
      </w:r>
      <w:r>
        <w:fldChar w:fldCharType="separate"/>
      </w:r>
      <w:r w:rsidR="004A1963" w:rsidRPr="004A1963">
        <w:rPr>
          <w:rFonts w:ascii="Calibri" w:hAnsi="Calibri"/>
        </w:rPr>
        <w:t>(162,190,191)</w:t>
      </w:r>
      <w:r>
        <w:fldChar w:fldCharType="end"/>
      </w:r>
      <w:r>
        <w:t xml:space="preserve">. As these reporters will only be active if a nearby enhancer is present, this technique can reveal potential enhancer-gene interactions. </w:t>
      </w:r>
      <w:r w:rsidR="004B5501">
        <w:t xml:space="preserve">This technology has </w:t>
      </w:r>
      <w:r w:rsidR="004B5501">
        <w:lastRenderedPageBreak/>
        <w:t xml:space="preserve">led to the initial enhancer screen by Kvon </w:t>
      </w:r>
      <w:r w:rsidR="004B5501">
        <w:rPr>
          <w:i/>
        </w:rPr>
        <w:t>et al</w:t>
      </w:r>
      <w:r w:rsidR="004B5501">
        <w:t xml:space="preserve"> </w:t>
      </w:r>
      <w:r w:rsidR="004B5501">
        <w:fldChar w:fldCharType="begin"/>
      </w:r>
      <w:r w:rsidR="000A209C">
        <w:instrText xml:space="preserve"> ADDIN ZOTERO_ITEM CSL_CITATION {"citationID":"AwOWef8J","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rsidR="004B5501">
        <w:fldChar w:fldCharType="separate"/>
      </w:r>
      <w:r w:rsidR="004A1963" w:rsidRPr="004A1963">
        <w:rPr>
          <w:rFonts w:ascii="Calibri" w:hAnsi="Calibri"/>
        </w:rPr>
        <w:t>(190)</w:t>
      </w:r>
      <w:r w:rsidR="004B5501">
        <w:fldChar w:fldCharType="end"/>
      </w:r>
      <w:r w:rsidR="004B5501">
        <w:t xml:space="preserve"> that identified enhancer expression in what appeared to be hemocyte subpopulations which forms the basis for chapter 3 in this thesis.</w:t>
      </w:r>
    </w:p>
    <w:p w14:paraId="42ACFB1A" w14:textId="77777777" w:rsidR="001D1AB8" w:rsidRDefault="001D1AB8" w:rsidP="001D1AB8">
      <w:pPr>
        <w:pStyle w:val="Thesisnormal"/>
      </w:pPr>
    </w:p>
    <w:p w14:paraId="0129F226" w14:textId="77777777" w:rsidR="001D1AB8" w:rsidRDefault="001D1AB8" w:rsidP="001D1AB8">
      <w:pPr>
        <w:pStyle w:val="Heading2"/>
      </w:pPr>
      <w:bookmarkStart w:id="48" w:name="_Toc4589267"/>
      <w:r>
        <w:t xml:space="preserve">1.5 </w:t>
      </w:r>
      <w:r w:rsidRPr="00093923">
        <w:rPr>
          <w:i/>
        </w:rPr>
        <w:t>Drosophila</w:t>
      </w:r>
      <w:r>
        <w:t xml:space="preserve"> hemocytes</w:t>
      </w:r>
      <w:bookmarkEnd w:id="48"/>
    </w:p>
    <w:p w14:paraId="413B4192" w14:textId="77777777" w:rsidR="001D1AB8" w:rsidRDefault="001D1AB8" w:rsidP="001D1AB8">
      <w:pPr>
        <w:pStyle w:val="Thesisnormal"/>
      </w:pPr>
    </w:p>
    <w:p w14:paraId="194F4680" w14:textId="1C680B7D" w:rsidR="001D1AB8" w:rsidRDefault="001D1AB8" w:rsidP="001D1AB8">
      <w:pPr>
        <w:pStyle w:val="Thesisnormal"/>
      </w:pPr>
      <w:r>
        <w:t xml:space="preserve">The </w:t>
      </w:r>
      <w:r>
        <w:rPr>
          <w:i/>
        </w:rPr>
        <w:t>Drosophila</w:t>
      </w:r>
      <w:r w:rsidRPr="00063131">
        <w:t xml:space="preserve"> immune system consists of a </w:t>
      </w:r>
      <w:r>
        <w:t>humo</w:t>
      </w:r>
      <w:r w:rsidRPr="00063131">
        <w:t xml:space="preserve">ral response, mediated by anti-microbial peptides (AMPs), and a cellular response. </w:t>
      </w:r>
      <w:r>
        <w:t xml:space="preserve">AMPs are highly conserved from flies to humans </w:t>
      </w:r>
      <w:r>
        <w:fldChar w:fldCharType="begin"/>
      </w:r>
      <w:r w:rsidR="000A209C">
        <w:instrText xml:space="preserve"> ADDIN ZOTERO_ITEM CSL_CITATION {"citationID":"2GlMo1DR","properties":{"formattedCitation":"(192,193)","plainCitation":"(192,193)","noteIndex":0},"citationItems":[{"id":1379,"uris":["http://zotero.org/users/952979/items/5KWCRKRU"],"uri":["http://zotero.org/users/952979/items/5KWCRKRU"],"itemData":{"id":1379,"type":"article-journal","title":"Immunity in Drosophila melanogaster--from microbial recognition to whole-organism physiology","container-title":"Nature Reviews. Immunology","page":"796-810","volume":"14","issue":"12","source":"PubMed","abstract":"Since the discovery of antimicrobial peptide responses 40 years ago, the fruit fly Drosophila melanogaster has proven to be a powerful model for the study of innate immunity. Early work focused on innate immune mechanisms of microbial recognition and subsequent nuclear factor-κB signal transduction. More recently, D. melanogaster has been used to understand how the immune response is regulated and coordinated at the level of the whole organism. For example, researchers have used this model in studies investigating interactions between the microbiota and the immune system at barrier epithelial surfaces that ensure proper nutritional and immune homeostasis both locally and systemically. In addition, studies in D. melanogaster have been pivotal in uncovering how the immune response is regulated by both endocrine and metabolic signalling systems, and how the immune response modifies these systems as part of a homeostatic circuit. In this Review, we briefly summarize microbial recognition and antiviral immunity in D. melanogaster, and we highlight recent studies that have explored the effects of organism-wide regulation of the immune response and, conversely, the effects of the immune response on organism physiology.","DOI":"10.1038/nri3763","ISSN":"1474-1741","note":"PMID: 25421701","journalAbbreviation":"Nat. Rev. Immunol.","language":"eng","author":[{"family":"Buchon","given":"Nicolas"},{"family":"Silverman","given":"Neal"},{"family":"Cherry","given":"Sara"}],"issued":{"date-parts":[["2014",12]]}}},{"id":1793,"uris":["http://zotero.org/users/952979/items/9JUQY97T"],"uri":["http://zotero.org/users/952979/items/9JUQY97T"],"itemData":{"id":1793,"type":"article-journal","title":"Antimicrobial Peptides","container-title":"Pharmaceuticals","page":"1543-1575","volume":"6","issue":"12","source":"PubMed Central","abstract":"The rapid increase in drug-resistant infections has presented a serious challenge to antimicrobial therapies. The failure of the most potent antibiotics to kill “superbugs” emphasizes the urgent need to develop other control agents. Here we review the history and new development of antimicrobial peptides (AMPs), a growing class of natural and synthetic peptides with a wide spectrum of targets including viruses, bacteria, fungi, and parasites. We summarize the major types of AMPs, their modes of action, and the common mechanisms of AMP resistance. In addition, we discuss the principles for designing effective AMPs and the potential of using AMPs to control biofilms (multicellular structures of bacteria embedded in extracellular matrixes) and persister cells (dormant phenotypic variants of bacterial cells that are highly tolerant to antibiotics).","DOI":"10.3390/ph6121543","ISSN":"1424-8247","note":"PMID: 24287494\nPMCID: PMC3873676","journalAbbreviation":"Pharmaceuticals (Basel)","author":[{"family":"Bahar","given":"Ali Adem"},{"family":"Ren","given":"Dacheng"}],"issued":{"date-parts":[["2013",11,28]]}}}],"schema":"https://github.com/citation-style-language/schema/raw/master/csl-citation.json"} </w:instrText>
      </w:r>
      <w:r>
        <w:fldChar w:fldCharType="separate"/>
      </w:r>
      <w:r w:rsidR="004A1963" w:rsidRPr="004A1963">
        <w:rPr>
          <w:rFonts w:ascii="Calibri" w:hAnsi="Calibri"/>
        </w:rPr>
        <w:t>(192,193)</w:t>
      </w:r>
      <w:r>
        <w:fldChar w:fldCharType="end"/>
      </w:r>
      <w:r>
        <w:t xml:space="preserve"> and there are now 20 known AMPs in </w:t>
      </w:r>
      <w:r>
        <w:rPr>
          <w:i/>
        </w:rPr>
        <w:t>Drosophila</w:t>
      </w:r>
      <w:r>
        <w:t xml:space="preserve"> </w:t>
      </w:r>
      <w:r>
        <w:fldChar w:fldCharType="begin"/>
      </w:r>
      <w:r w:rsidR="000A209C">
        <w:instrText xml:space="preserve"> ADDIN ZOTERO_ITEM CSL_CITATION {"citationID":"b1m90ZFf","properties":{"formattedCitation":"(159)","plainCitation":"(159)","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Immunol.","language":"eng","author":[{"family":"Lemaitre","given":"Bruno"},{"family":"Hoffmann","given":"Jules"}],"issued":{"date-parts":[["2007"]]}}}],"schema":"https://github.com/citation-style-language/schema/raw/master/csl-citation.json"} </w:instrText>
      </w:r>
      <w:r>
        <w:fldChar w:fldCharType="separate"/>
      </w:r>
      <w:r w:rsidR="004A1963" w:rsidRPr="004A1963">
        <w:rPr>
          <w:rFonts w:ascii="Calibri" w:hAnsi="Calibri"/>
        </w:rPr>
        <w:t>(159)</w:t>
      </w:r>
      <w:r>
        <w:fldChar w:fldCharType="end"/>
      </w:r>
      <w:r>
        <w:t xml:space="preserve">. AMPs are active against all types of pathogen although specific AMPs often effective against specific targets, for example, Drosomycin is active against fungi </w:t>
      </w:r>
      <w:r>
        <w:fldChar w:fldCharType="begin"/>
      </w:r>
      <w:r w:rsidR="000A209C">
        <w:instrText xml:space="preserve"> ADDIN ZOTERO_ITEM CSL_CITATION {"citationID":"5DHfCOPU","properties":{"formattedCitation":"(194)","plainCitation":"(194)","noteIndex":0},"citationItems":[{"id":1795,"uris":["http://zotero.org/users/952979/items/BXF5LXKC"],"uri":["http://zotero.org/users/952979/items/BXF5LXKC"],"itemData":{"id":1795,"type":"article-journal","title":"Insect immunity. Septic injury of Drosophila induces the synthesis of a potent antifungal peptide with sequence homology to plant antifungal peptides","container-title":"The Journal of Biological Chemistry","page":"33159-33163","volume":"269","issue":"52","source":"PubMed","abstract":"In response to a septic injury (pricking with a bacteria-soaked needle) larvae and adults of Drosophila produce considerable amounts of a 44-residue peptide containing 8 cysteines engaged in intramolecular disulfide bridges. The peptide is synthesized in the fat body, a functional homologue of the mammalian liver, and secreted into the blood of the insect. It exhibits potent antifungal activity but is inactive against bacteria. This novel inducible peptide, which we propose to name drosomycin, shows a significant homology with a family of 5-kDa cysteine-rich plant antifungal peptides recently isolated from seeds of Brassicaceae. This finding underlines that plants and insects can rely on similar molecules in their innate host defense.","ISSN":"0021-9258","note":"PMID: 7806546","journalAbbreviation":"J. Biol. Chem.","language":"eng","author":[{"family":"Fehlbaum","given":"P."},{"family":"Bulet","given":"P."},{"family":"Michaut","given":"L."},{"family":"Lagueux","given":"M."},{"family":"Broekaert","given":"W. F."},{"family":"Hetru","given":"C."},{"family":"Hoffmann","given":"J. A."}],"issued":{"date-parts":[["1994",12,30]]}}}],"schema":"https://github.com/citation-style-language/schema/raw/master/csl-citation.json"} </w:instrText>
      </w:r>
      <w:r>
        <w:fldChar w:fldCharType="separate"/>
      </w:r>
      <w:r w:rsidR="004A1963" w:rsidRPr="004A1963">
        <w:rPr>
          <w:rFonts w:ascii="Calibri" w:hAnsi="Calibri"/>
        </w:rPr>
        <w:t>(194)</w:t>
      </w:r>
      <w:r>
        <w:fldChar w:fldCharType="end"/>
      </w:r>
      <w:r>
        <w:t xml:space="preserve"> whilst Attacin is active against Gram negative bacteria </w:t>
      </w:r>
      <w:r>
        <w:fldChar w:fldCharType="begin"/>
      </w:r>
      <w:r w:rsidR="000A209C">
        <w:instrText xml:space="preserve"> ADDIN ZOTERO_ITEM CSL_CITATION {"citationID":"j7rzhlAs","properties":{"formattedCitation":"(195)","plainCitation":"(195)","noteIndex":0},"citationItems":[{"id":1796,"uris":["http://zotero.org/users/952979/items/WSHU77QG"],"uri":["http://zotero.org/users/952979/items/WSHU77QG"],"itemData":{"id":1796,"type":"article-journal","title":"Identification of early genes in the Drosophila immune response by PCR-based differential display: the Attacin A gene and the evolution of attacin-like proteins","container-title":"Insect Biochemistry and Molecular Biology","page":"511-518","volume":"25","issue":"4","source":"PubMed","abstract":"We are using the PCR-based differential display technique to isolate genes which are induced during the immune response in Drosophila. In this way, a cDNA clone for a member of the attacin family of antibacterial proteins was isolated. The corresponding Attacin A (Att A) gene is localized at 51A-B on the second chromosome, and it is closely linked to at least one more cross-hybridizing gene. Injection of bacteria induces a 0.8 kb transcript, with expression kinetics similar to that of cecropin. Drosophila attacin is most closely related to sarcotoxin II of Sarcophaga peregrina, but it lacks the extra domains that are unique to this protein, and the overall domain structure of the Att A gene product is identical to that of the attacins from Hyalophora cecropia.","ISSN":"0965-1748","note":"PMID: 7742836","shortTitle":"Identification of early genes in the Drosophila immune response by PCR-based differential display","journalAbbreviation":"Insect Biochem. Mol. Biol.","language":"eng","author":[{"family":"Asling","given":"B."},{"family":"Dushay","given":"M. S."},{"family":"Hultmark","given":"D."}],"issued":{"date-parts":[["1995",4]]}}}],"schema":"https://github.com/citation-style-language/schema/raw/master/csl-citation.json"} </w:instrText>
      </w:r>
      <w:r>
        <w:fldChar w:fldCharType="separate"/>
      </w:r>
      <w:r w:rsidR="004A1963" w:rsidRPr="004A1963">
        <w:rPr>
          <w:rFonts w:ascii="Calibri" w:hAnsi="Calibri"/>
        </w:rPr>
        <w:t>(195)</w:t>
      </w:r>
      <w:r>
        <w:fldChar w:fldCharType="end"/>
      </w:r>
      <w:r>
        <w:t xml:space="preserve">. More recently, it has been revealed that AMPs are also active in response to injury and tissue damage </w:t>
      </w:r>
      <w:r>
        <w:fldChar w:fldCharType="begin"/>
      </w:r>
      <w:r w:rsidR="000A209C">
        <w:instrText xml:space="preserve"> ADDIN ZOTERO_ITEM CSL_CITATION {"citationID":"3p4JfJTQ","properties":{"formattedCitation":"(196)","plainCitation":"(196)","noteIndex":0},"citationItems":[{"id":1792,"uris":["http://zotero.org/users/952979/items/NJDX2KH7"],"uri":["http://zotero.org/users/952979/items/NJDX2KH7"],"itemData":{"id":1792,"type":"article-journal","title":"A proteomic approach for the analysis of instantly released wound and immune proteins in Drosophila melanogaster hemolymph","container-title":"Proceedings of the National Academy of Sciences of the United States of America","page":"470-475","volume":"101","issue":"2","source":"PubMed","abstract":"Insects respond to microbial infection by the rapid and transient expression of several genes encoding antibacterial peptides. In this paper we describe a powerful technique, two-dimensional difference gel electrophoresis, that, when combined with mass spectrometry, can be used to study the immune response of Drosophila melanogaster at the protein level. By comparatively analyzing the hemolymph proteome of 2,000 third-instar Drosophila larvae, we identified 10 differential proteins that appear in the fruit fly hemolymph very early after an immune-challenge with lipopolysaccharides. These proteins can be assigned to the immune response, because they are not induced after sterile injury. Reduction of integral variability or quantification problems related to conventional two-dimensional electrophoresis and improvement of image analysis were achieved by the use of two fluorescent dyes to label the two different protein samples. Some of the immune-induced proteins, such as thioester-containing protein 2, can be assigned to specific aspects of the immune response; others were already reported as being involved in stress response. An immune-induced protein (CG18594) is homologous to a mammalian serine protease inhibitor that mediates the mitogen-activated protein kinase and the NF-kappa B signaling pathways. In addition, a number of proteins that had not been associated with the immune response before were isolated and identified, and some of these were still present in the hemolymph 4 h after injury. Determining the function of all of these immune-induced proteins represents an exciting challenge for increasing our knowledge of insect immunity.","DOI":"10.1073/pnas.0304567101","ISSN":"0027-8424","note":"PMID: 14707262\nPMCID: PMC327171","journalAbbreviation":"Proc. Natl. Acad. Sci. U.S.A.","language":"eng","author":[{"family":"Vierstraete","given":"Evy"},{"family":"Verleyen","given":"Peter"},{"family":"Baggerman","given":"Geert"},{"family":"D'Hertog","given":"Wannes"},{"family":"Van den Bergh","given":"Gert"},{"family":"Arckens","given":"Lutgarde"},{"family":"De Loof","given":"Arnold"},{"family":"Schoofs","given":"Liliane"}],"issued":{"date-parts":[["2004",1,13]]}}}],"schema":"https://github.com/citation-style-language/schema/raw/master/csl-citation.json"} </w:instrText>
      </w:r>
      <w:r>
        <w:fldChar w:fldCharType="separate"/>
      </w:r>
      <w:r w:rsidR="004A1963" w:rsidRPr="004A1963">
        <w:rPr>
          <w:rFonts w:ascii="Calibri" w:hAnsi="Calibri"/>
        </w:rPr>
        <w:t>(196)</w:t>
      </w:r>
      <w:r>
        <w:fldChar w:fldCharType="end"/>
      </w:r>
      <w:r>
        <w:t xml:space="preserve">. </w:t>
      </w:r>
      <w:r w:rsidRPr="00063131">
        <w:t>The hum</w:t>
      </w:r>
      <w:r>
        <w:t>o</w:t>
      </w:r>
      <w:r w:rsidRPr="00063131">
        <w:t xml:space="preserve">ral system is better understood </w:t>
      </w:r>
      <w:r>
        <w:t xml:space="preserve">than the cellular response </w:t>
      </w:r>
      <w:r w:rsidRPr="00063131">
        <w:t xml:space="preserve">and reviewed </w:t>
      </w:r>
      <w:r>
        <w:t xml:space="preserve">in depth </w:t>
      </w:r>
      <w:r w:rsidRPr="00063131">
        <w:t xml:space="preserve">elsewhere </w:t>
      </w:r>
      <w:r w:rsidRPr="00063131">
        <w:fldChar w:fldCharType="begin"/>
      </w:r>
      <w:r w:rsidR="000A209C">
        <w:instrText xml:space="preserve"> ADDIN ZOTERO_ITEM CSL_CITATION {"citationID":"gUMbXYaA","properties":{"formattedCitation":"(159,192,197)","plainCitation":"(159,192,197)","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id":1379,"uris":["http://zotero.org/users/952979/items/5KWCRKRU"],"uri":["http://zotero.org/users/952979/items/5KWCRKRU"],"itemData":{"id":1379,"type":"article-journal","title":"Immunity in Drosophila melanogaster--from microbial recognition to whole-organism physiology","container-title":"Nature Reviews. Immunology","page":"796-810","volume":"14","issue":"12","source":"PubMed","abstract":"Since the discovery of antimicrobial peptide responses 40 years ago, the fruit fly Drosophila melanogaster has proven to be a powerful model for the study of innate immunity. Early work focused on innate immune mechanisms of microbial recognition and subsequent nuclear factor-κB signal transduction. More recently, D. melanogaster has been used to understand how the immune response is regulated and coordinated at the level of the whole organism. For example, researchers have used this model in studies investigating interactions between the microbiota and the immune system at barrier epithelial surfaces that ensure proper nutritional and immune homeostasis both locally and systemically. In addition, studies in D. melanogaster have been pivotal in uncovering how the immune response is regulated by both endocrine and metabolic signalling systems, and how the immune response modifies these systems as part of a homeostatic circuit. In this Review, we briefly summarize microbial recognition and antiviral immunity in D. melanogaster, and we highlight recent studies that have explored the effects of organism-wide regulation of the immune response and, conversely, the effects of the immune response on organism physiology.","DOI":"10.1038/nri3763","ISSN":"1474-1741","note":"PMID: 25421701","journalAbbreviation":"Nat. Rev. Immunol.","language":"eng","author":[{"family":"Buchon","given":"Nicolas"},{"family":"Silverman","given":"Neal"},{"family":"Cherry","given":"Sara"}],"issued":{"date-parts":[["2014",12]]}}},{"id":1791,"uris":["http://zotero.org/users/952979/items/2T6E8RF9"],"uri":["http://zotero.org/users/952979/items/2T6E8RF9"],"itemData":{"id":1791,"type":"article-journal","title":"Antimicrobial peptides in Drosophila: structures, activities and gene regulation","container-title":"Chemical Immunology and Allergy","page":"1-21","volume":"86","source":"PubMed","abstract":"The production of antimicrobial peptides (AMPs) is an important aspect of host-defence in multicellular organisms. Biochemical analysis of the hemolymph of the fruit-fly Drosophila melanogaster and other Diptera has led to the discovery of eight classes of AMPs. These peptides can be grouped into three families based on their main biological targets, gram-positive bacteria (defensin), gram-negative bacteria (cecropins, drosocin, attacins, diptericin, MPAC), or fungi (drosomycin, metchnikowin). Drosophila AMPs are synthesized by the fat body in response to infection, and secreted into the blood. Most of them can also be induced in surface epithelia in a tissue-specific manner. Finally, some of them are constitutively expressed in defined tissues, such as the salivary glands or the reproductive tract. We review here the structures and activities of these AMPs, as well as the signalling cascades, which lead to their induction upon detection of infectious non-self.","DOI":"10.1159/000086648","ISSN":"1660-2242","note":"PMID: 15976485","shortTitle":"Antimicrobial peptides in Drosophila","journalAbbreviation":"Chem Immunol Allergy","language":"eng","author":[{"family":"Imler","given":"Jean-Luc"},{"family":"Bulet","given":"Philippe"}],"issued":{"date-parts":[["2005"]]}}}],"schema":"https://github.com/citation-style-language/schema/raw/master/csl-citation.json"} </w:instrText>
      </w:r>
      <w:r w:rsidRPr="00063131">
        <w:fldChar w:fldCharType="separate"/>
      </w:r>
      <w:r w:rsidR="004A1963" w:rsidRPr="004A1963">
        <w:rPr>
          <w:rFonts w:ascii="Calibri" w:hAnsi="Calibri"/>
        </w:rPr>
        <w:t>(159,192,197)</w:t>
      </w:r>
      <w:r w:rsidRPr="00063131">
        <w:fldChar w:fldCharType="end"/>
      </w:r>
      <w:r w:rsidRPr="00063131">
        <w:t xml:space="preserve">. The cellular response </w:t>
      </w:r>
      <w:r>
        <w:t>is undertaken by three</w:t>
      </w:r>
      <w:r w:rsidRPr="00063131">
        <w:t xml:space="preserve"> types</w:t>
      </w:r>
      <w:r>
        <w:t xml:space="preserve"> of blood cells (hemocytes): crystal cells, lamellocytes and plasmatocytes </w:t>
      </w:r>
      <w:r>
        <w:fldChar w:fldCharType="begin"/>
      </w:r>
      <w:r w:rsidR="000A209C">
        <w:instrText xml:space="preserve"> ADDIN ZOTERO_ITEM CSL_CITATION {"citationID":"wYXH5mEt","properties":{"formattedCitation":"(198)","plainCitation":"(198)","noteIndex":0},"citationItems":[{"id":1324,"uris":["http://zotero.org/users/952979/items/VPQFMAQH"],"uri":["http://zotero.org/users/952979/items/VPQFMAQH"],"itemData":{"id":1324,"type":"article-journal","title":"Alterations in the haemocyte population of Drosophila melanogaster","container-title":"Journal of Morphology","page":"437-458","volume":"100","issue":"3","source":"Wiley Online Library","DOI":"10.1002/jmor.1051000303","ISSN":"1097-4687","journalAbbreviation":"J. Morphol.","language":"en","author":[{"family":"Rizki","given":"M. T. M."}],"issued":{"date-parts":[["1957",5,1]]}}}],"schema":"https://github.com/citation-style-language/schema/raw/master/csl-citation.json"} </w:instrText>
      </w:r>
      <w:r>
        <w:fldChar w:fldCharType="separate"/>
      </w:r>
      <w:r w:rsidR="004A1963" w:rsidRPr="004A1963">
        <w:rPr>
          <w:rFonts w:ascii="Calibri" w:hAnsi="Calibri"/>
        </w:rPr>
        <w:t>(198)</w:t>
      </w:r>
      <w:r>
        <w:fldChar w:fldCharType="end"/>
      </w:r>
      <w:r>
        <w:t>. C</w:t>
      </w:r>
      <w:r w:rsidRPr="00063131">
        <w:t xml:space="preserve">rystal cells constitute approximately 5% of the circulating </w:t>
      </w:r>
      <w:r>
        <w:t>blood cells</w:t>
      </w:r>
      <w:r w:rsidRPr="00063131">
        <w:t xml:space="preserve"> in </w:t>
      </w:r>
      <w:r>
        <w:t xml:space="preserve">a </w:t>
      </w:r>
      <w:r w:rsidRPr="00063131">
        <w:t>larvae and are involved in melanisation response</w:t>
      </w:r>
      <w:r>
        <w:t>s</w:t>
      </w:r>
      <w:r w:rsidRPr="00063131">
        <w:t>, in which melanin is deposited around microorganisms to trap t</w:t>
      </w:r>
      <w:r>
        <w:t>hem</w:t>
      </w:r>
      <w:r w:rsidRPr="00063131">
        <w:t xml:space="preserve"> at a wound site </w:t>
      </w:r>
      <w:r w:rsidRPr="00063131">
        <w:fldChar w:fldCharType="begin"/>
      </w:r>
      <w:r w:rsidR="000A209C">
        <w:instrText xml:space="preserve"> ADDIN ZOTERO_ITEM CSL_CITATION {"citationID":"1rg498mu9b","properties":{"formattedCitation":"(199)","plainCitation":"(199)","noteIndex":0},"citationItems":[{"id":1399,"uris":["http://zotero.org/users/952979/items/VWE4DQS4"],"uri":["http://zotero.org/users/952979/items/VWE4DQS4"],"itemData":{"id":1399,"type":"article-journal","title":"Regulation and function of the melanization reaction in Drosophila","container-title":"Fly","page":"105-111","volume":"3","issue":"1","source":"PubMed","abstract":"The melanization reaction, involving the synthesis of melanin to encapsulate pathogens, is a prominent immune response in Drosophila, the mosquito and other insects and arthropods. Biochemical studies with large insects have defined a basic model for how melanization is activated and regulated upon microbial infection. In this model, recognition of a microorganism triggers a serine protease cascade that activates phenol oxidase (PO), a key enzyme in the melanin biosynthetic pathway, and serpin-type protease inhibitors are involved in inhibiting the cascade. In the past few years, genetic studies in Drosophila have identified serine proteases and serpins that regulate activation of PO and melanization in vivo. These studies, along with molecular genetic analysis of melanization in the mosquito, have provided new insight into the role that melanization plays in fighting microbial infection.","ISSN":"1933-6942","note":"PMID: 19164947","journalAbbreviation":"Fly (Austin)","language":"eng","author":[{"family":"Tang","given":"Huaping"}],"issued":{"date-parts":[["2009",3]]}}}],"schema":"https://github.com/citation-style-language/schema/raw/master/csl-citation.json"} </w:instrText>
      </w:r>
      <w:r w:rsidRPr="00063131">
        <w:fldChar w:fldCharType="separate"/>
      </w:r>
      <w:r w:rsidR="004A1963" w:rsidRPr="004A1963">
        <w:rPr>
          <w:rFonts w:ascii="Calibri" w:hAnsi="Calibri"/>
        </w:rPr>
        <w:t>(199)</w:t>
      </w:r>
      <w:r w:rsidRPr="00063131">
        <w:fldChar w:fldCharType="end"/>
      </w:r>
      <w:r w:rsidRPr="00063131">
        <w:t xml:space="preserve">. Lamellocytes are induced </w:t>
      </w:r>
      <w:r>
        <w:t xml:space="preserve">by stress or </w:t>
      </w:r>
      <w:r w:rsidRPr="00063131">
        <w:t>upon infestation with parasitic wasp eggs and are involved in encapsulation</w:t>
      </w:r>
      <w:r>
        <w:t>.</w:t>
      </w:r>
      <w:r w:rsidRPr="00063131">
        <w:t xml:space="preserve"> </w:t>
      </w:r>
      <w:r>
        <w:t>Lamellocytes are not normally found developmentally and only arise from the larval stages onwards. P</w:t>
      </w:r>
      <w:r w:rsidRPr="00063131">
        <w:t>lasmatocyte</w:t>
      </w:r>
      <w:r>
        <w:t>s</w:t>
      </w:r>
      <w:r w:rsidRPr="00063131">
        <w:t xml:space="preserve"> account for 95% of cells in the </w:t>
      </w:r>
      <w:r>
        <w:t>hem</w:t>
      </w:r>
      <w:r w:rsidRPr="00063131">
        <w:t xml:space="preserve">olymph and </w:t>
      </w:r>
      <w:r>
        <w:t>are</w:t>
      </w:r>
      <w:r w:rsidRPr="00063131">
        <w:t xml:space="preserve"> functionally equivalent to the human macrophage, capable of phagocytosis and secretion of cytokines and AMPs </w:t>
      </w:r>
      <w:r w:rsidRPr="00063131">
        <w:fldChar w:fldCharType="begin"/>
      </w:r>
      <w:r w:rsidR="000A209C">
        <w:instrText xml:space="preserve"> ADDIN ZOTERO_ITEM CSL_CITATION {"citationID":"lG58eoLO","properties":{"formattedCitation":"(159,166,168,200,201)","plainCitation":"(159,166,168,200,201)","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id":1381,"uris":["http://zotero.org/users/952979/items/CJUE5758"],"uri":["http://zotero.org/users/952979/items/CJUE5758"],"itemData":{"id":1381,"type":"article-journal","title":"Drosophila hemopoiesis and cellular immunity","container-title":"Journal of Immunology (Baltimore, Md.: 1950)","page":"4711-4716","volume":"178","issue":"8","source":"PubMed","abstract":"In Drosophila melanogaster larvae, three classes of circulating cellular immune surveillance cells (hemocytes) can be identified: plasmatocytes, crystal cells, and lamellocytes. Plasmatocytes are professional phagocytes most similar to the mammalian monocyte/macrophage lineage and make up approximately 95% of circulating hemocytes. The other approximately 5% of circulating hemocytes consists of crystal cells, which secrete components necessary for the melanization of invading organisms, as well as for wound repair. A third cell type known as lamellocytes are rarely seen in healthy larvae and are involved in the encapsulation of invading pathogens. There are no obvious mammalian counterparts for crystal cells or lamellocytes, and there is no equivalent to the lymphoid lineage in insects. In this review, I will discuss what is currently known about Drosophila hemopoiesis and the cellular immune response and where possible compare it to vertebrate mechanisms.","ISSN":"0022-1767","note":"PMID: 17404248","journalAbbreviation":"J. Immunol.","language":"eng","author":[{"family":"Williams","given":"Michael J."}],"issued":{"date-parts":[["2007",4,15]]}}},{"id":1083,"uris":["http://zotero.org/users/952979/items/3DSX75PV"],"uri":["http://zotero.org/users/952979/items/3DSX75PV"],"itemData":{"id":1083,"type":"article-journal","title":"Drosophila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Robert"},{"family":"Wood","given":"Will"}],"issued":{"date-parts":[["2011",3,8]]}}},{"id":1455,"uris":["http://zotero.org/users/952979/items/D8SVVBB8"],"uri":["http://zotero.org/users/952979/items/D8SVVBB8"],"itemData":{"id":1455,"type":"article-journal","title":"Drosophila cellular immunity: a story of migration and adhesion","container-title":"Journal of Cell Science","page":"1373-1382","volume":"124","issue":"Pt 9","source":"PubMed","abstract":"Research during the past 15 years has led to significant breakthroughs, providing evidence of a high degree of similarity between insect and mammalian innate immune responses, both humoural and cellular, and highlighting Drosophila melanogaster as a model system for studying the evolution of innate immunity. In a manner similar to cells of the mammalian monocyte and macrophage lineage, Drosophila immunosurveillance cells (haemocytes) have a number of roles. For example, they respond to wound signals, are involved in wound healing and contribute to the coagulation response. Moreover, they participate in the phagocytosis and encapsulation of invading pathogens, are involved in the removal of apoptotic bodies and produce components of the extracellular matrix. There are several reasons for using the Drosophila cellular immune response as a model to understand cell signalling during adhesion and migration in vivo: many genes involved in the regulation of Drosophila haematopoiesis and cellular immunity have been maintained across taxonomic groups ranging from flies to humans, many aspects of Drosophila and mammalian innate immunity seem to be conserved, and Drosophila is a simplified and well-studied genetic model system. In the present Commentary, we will discuss what is known about cellular adhesion and migration in the Drosophila cellular immune response, during both embryonic and larval development, and where possible compare it with related mechanisms in vertebrates.","DOI":"10.1242/jcs.064592","ISSN":"1477-9137","note":"PMID: 21502134","shortTitle":"Drosophila cellular immunity","journalAbbreviation":"J. Cell. Sci.","language":"eng","author":[{"family":"Fauvarque","given":"Marie-Odile"},{"family":"Williams","given":"Michael J."}],"issued":{"date-parts":[["2011",5,1]]}}},{"id":1400,"uris":["http://zotero.org/users/952979/items/UA3WPQ9D"],"uri":["http://zotero.org/users/952979/items/UA3WPQ9D"],"itemData":{"id":1400,"type":"article-journal","title":"Drosophila blood cells and their role in immune responses","container-title":"The FEBS journal","page":"1368-1382","volume":"282","issue":"8","source":"PubMed","abstract":"Drosophila melanogaster has been extensively used to study the humoral arm of innate immunity because of the developmental and functional parallels with mammalian innate immunity. However, the fly cellular response to infection is far less understood. Investigative work on Drosophila haemocytes, the immunosurveillance cells of the insect, has revealed that they fulfil roles similar to mammalian monocytes and macrophages. They respond to wound signals and orchestrate the coagulation response. In addition, they phagocytose and encapsulate invading pathogens, and clear up apoptotic bodies controlling inflammation. This review briefly describes the Drosophila haematopoietic system and discusses what is currently known about the contribution of haemocytes to the immune response upon infection and wounding, during all stages of development.","DOI":"10.1111/febs.13235","ISSN":"1742-4658","note":"PMID: 25688716","journalAbbreviation":"FEBS J.","language":"eng","author":[{"family":"Vlisidou","given":"Isabella"},{"family":"Wood","given":"Will"}],"issued":{"date-parts":[["2015",4]]}}}],"schema":"https://github.com/citation-style-language/schema/raw/master/csl-citation.json"} </w:instrText>
      </w:r>
      <w:r w:rsidRPr="00063131">
        <w:fldChar w:fldCharType="separate"/>
      </w:r>
      <w:r w:rsidR="004A1963" w:rsidRPr="004A1963">
        <w:rPr>
          <w:rFonts w:ascii="Calibri" w:hAnsi="Calibri"/>
        </w:rPr>
        <w:t>(159,166,168,200,201)</w:t>
      </w:r>
      <w:r w:rsidRPr="00063131">
        <w:fldChar w:fldCharType="end"/>
      </w:r>
      <w:r w:rsidRPr="00063131">
        <w:t xml:space="preserve">. </w:t>
      </w:r>
    </w:p>
    <w:p w14:paraId="11504DE2" w14:textId="77777777" w:rsidR="001D1AB8" w:rsidRPr="00063131" w:rsidRDefault="001D1AB8" w:rsidP="001D1AB8">
      <w:pPr>
        <w:pStyle w:val="Thesisnormal"/>
      </w:pPr>
    </w:p>
    <w:p w14:paraId="50C87F1D" w14:textId="77777777" w:rsidR="001D1AB8" w:rsidRDefault="001D1AB8" w:rsidP="001D1AB8">
      <w:pPr>
        <w:pStyle w:val="Heading3"/>
      </w:pPr>
      <w:r w:rsidRPr="00C66E6D">
        <w:tab/>
      </w:r>
      <w:bookmarkStart w:id="49" w:name="_Toc502936290"/>
      <w:bookmarkStart w:id="50" w:name="_Toc4589268"/>
      <w:r>
        <w:t xml:space="preserve">1.5.1 </w:t>
      </w:r>
      <w:r w:rsidRPr="00C66E6D">
        <w:t>Crystal cells</w:t>
      </w:r>
      <w:bookmarkEnd w:id="49"/>
      <w:bookmarkEnd w:id="50"/>
    </w:p>
    <w:p w14:paraId="36C1553A" w14:textId="77777777" w:rsidR="001D1AB8" w:rsidRDefault="001D1AB8" w:rsidP="001D1AB8">
      <w:pPr>
        <w:pStyle w:val="Thesisnormal"/>
      </w:pPr>
    </w:p>
    <w:p w14:paraId="31EF55CF" w14:textId="39D76815" w:rsidR="001D1AB8" w:rsidRDefault="001D1AB8" w:rsidP="001D1AB8">
      <w:pPr>
        <w:pStyle w:val="Thesisnormal"/>
      </w:pPr>
      <w:r>
        <w:t xml:space="preserve">Crystal cells are nonphagocytic cells that arise during embryogenesis in the head mesoderm and are specified through expression of serpent and lozenge (Lz) </w:t>
      </w:r>
      <w:r>
        <w:fldChar w:fldCharType="begin"/>
      </w:r>
      <w:r w:rsidR="000A209C">
        <w:instrText xml:space="preserve"> ADDIN ZOTERO_ITEM CSL_CITATION {"citationID":"5JLcdqIQ","properties":{"formattedCitation":"(202)","plainCitation":"(202)","noteIndex":0},"citationItems":[{"id":1427,"uris":["http://zotero.org/users/952979/items/VIJWJJG3"],"uri":["http://zotero.org/users/952979/items/VIJWJJG3"],"itemData":{"id":1427,"type":"article-journal","title":"Specification of Drosophila hematopoietic lineage by conserved transcription factors","container-title":"Science (New York, N.Y.)","page":"146-149","volume":"288","issue":"5463","source":"PubMed","abstract":"Two major classes of cells observed within the Drosophila hematopoietic repertoire are plasmatocytes/macrophages and crystal cells. The transcription factor Lz (Lozenge), which resembles human AML1 (acute myeloid leukemia- 1) protein, is necessary for the development of crystal cells during embryonic and larval hematopoiesis. Another transcription factor, Gcm (glial cells missing), has previously been shown to be required for plasmatocyte development. Misexpression of Gcm causes crystal cells to be transformed into plasmatocytes. The Drosophila GATA protein Srp (Serpent) is required for both Lz and Gcm expression and is necessary for the development of both classes of hemocytes, whereas Lz and Gcm are required in a lineage-specific manner. Given the similarities of Srp and Lz to mammalian GATA and AML1 proteins, observations in Drosophila are likely to have broad implications for understanding mammalian hematopoiesis and leukemias.","ISSN":"0036-8075","note":"PMID: 10753120","journalAbbreviation":"Science","language":"eng","author":[{"family":"Lebestky","given":"T."},{"family":"Chang","given":"T."},{"family":"Hartenstein","given":"V."},{"family":"Banerjee","given":"U."}],"issued":{"date-parts":[["2000",4,7]]}}}],"schema":"https://github.com/citation-style-language/schema/raw/master/csl-citation.json"} </w:instrText>
      </w:r>
      <w:r>
        <w:fldChar w:fldCharType="separate"/>
      </w:r>
      <w:r w:rsidR="004A1963" w:rsidRPr="004A1963">
        <w:rPr>
          <w:rFonts w:ascii="Calibri" w:hAnsi="Calibri"/>
        </w:rPr>
        <w:t>(202)</w:t>
      </w:r>
      <w:r>
        <w:fldChar w:fldCharType="end"/>
      </w:r>
      <w:r>
        <w:t xml:space="preserve">. It is not known if crystal cells persist into adulthood, although following pupariation crystal cells numbers drastically decline </w:t>
      </w:r>
      <w:r>
        <w:fldChar w:fldCharType="begin"/>
      </w:r>
      <w:r w:rsidR="000A209C">
        <w:instrText xml:space="preserve"> ADDIN ZOTERO_ITEM CSL_CITATION {"citationID":"X6hw0J19","properties":{"formattedCitation":"(203)","plainCitation":"(203)","noteIndex":0},"citationItems":[{"id":41,"uris":["http://zotero.org/users/952979/items/ZC9QJZRH"],"uri":["http://zotero.org/users/952979/items/ZC9QJZRH"],"itemData":{"id":41,"type":"article-journal","title":"Postembryonic hematopoiesis in Drosophila","container-title":"Developmental Biology","page":"243-257","volume":"230","issue":"2","source":"PubMed","abstract":"We have investigated the blood cell types present in Drosophila at postembryonic stages and have analysed their modifications during development and under immune conditions. The anterior lobes of the larval hematopoietic organ or lymph gland contain numerous active secretory cells, plasmatocytes, few crystal cells, and a number of undifferentiated prohemocytes. The posterior lobes contain essentially prohemocytes. The blood cell population in larval hemolymph differs and consists mainly of plasmatocytes which are phagocytes, and of a low percentage of crystal cells which reportedly play a role in humoral melanisation. We show that the cells in the lymph gland can differentiate into a given blood cell lineage when solicited. Under normal nonimmune conditions, we observe a massive differentiation into active macrophages at the onset of metamorphosis in all lobes. Simultaneously, circulating plasmatocytes modify their adhesion and phagocytic properties to become pupal macrophages. All phagocytic cells participate in metamorphosis by ingesting doomed larval tissues. The most dramatic effect on larval hematopoiesis was observed following infestation by a parasitoid wasp. Cells within all lymph gland lobes, including prohemocytes from posterior lobes, massively differentiate into a new cell type specifically devoted to encapsulation, the lamellocyte.","DOI":"10.1006/dbio.2000.0123","ISSN":"0012-1606","note":"PMID: 11161576","journalAbbreviation":"Dev. Biol.","language":"eng","author":[{"family":"Lanot","given":"R."},{"family":"Zachary","given":"D."},{"family":"Holder","given":"F."},{"family":"Meister","given":"M."}],"issued":{"date-parts":[["2001",2,15]]}}}],"schema":"https://github.com/citation-style-language/schema/raw/master/csl-citation.json"} </w:instrText>
      </w:r>
      <w:r>
        <w:fldChar w:fldCharType="separate"/>
      </w:r>
      <w:r w:rsidR="004A1963" w:rsidRPr="004A1963">
        <w:rPr>
          <w:rFonts w:ascii="Calibri" w:hAnsi="Calibri"/>
        </w:rPr>
        <w:t>(203)</w:t>
      </w:r>
      <w:r>
        <w:fldChar w:fldCharType="end"/>
      </w:r>
      <w:r>
        <w:t xml:space="preserve">. The main function of crystal cells is in melanisation responses, similar to platelets in humans which are responsible for clotting and successful wound healing </w:t>
      </w:r>
      <w:r>
        <w:fldChar w:fldCharType="begin"/>
      </w:r>
      <w:r w:rsidR="000A209C">
        <w:instrText xml:space="preserve"> ADDIN ZOTERO_ITEM CSL_CITATION {"citationID":"xRepEfEN","properties":{"formattedCitation":"(164,165)","plainCitation":"(164,165)","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S."},{"family":"Brückner","given":"Katja"}],"issued":{"date-parts":[["2014",8]]}}}],"schema":"https://github.com/citation-style-language/schema/raw/master/csl-citation.json"} </w:instrText>
      </w:r>
      <w:r>
        <w:fldChar w:fldCharType="separate"/>
      </w:r>
      <w:r w:rsidR="004A1963" w:rsidRPr="004A1963">
        <w:rPr>
          <w:rFonts w:ascii="Calibri" w:hAnsi="Calibri"/>
        </w:rPr>
        <w:t>(164,165)</w:t>
      </w:r>
      <w:r>
        <w:fldChar w:fldCharType="end"/>
      </w:r>
      <w:r>
        <w:t xml:space="preserve">. In invertebrates, melanisation responses also result in killing of bacteria through the production of toxic intermediates or the depositing of melanin, which hardens capsules </w:t>
      </w:r>
      <w:r>
        <w:lastRenderedPageBreak/>
        <w:t xml:space="preserve">around microbes </w:t>
      </w:r>
      <w:r>
        <w:fldChar w:fldCharType="begin"/>
      </w:r>
      <w:r w:rsidR="000A209C">
        <w:instrText xml:space="preserve"> ADDIN ZOTERO_ITEM CSL_CITATION {"citationID":"F3ygnYUC","properties":{"formattedCitation":"(159,199)","plainCitation":"(159,199)","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id":1399,"uris":["http://zotero.org/users/952979/items/VWE4DQS4"],"uri":["http://zotero.org/users/952979/items/VWE4DQS4"],"itemData":{"id":1399,"type":"article-journal","title":"Regulation and function of the melanization reaction in Drosophila","container-title":"Fly","page":"105-111","volume":"3","issue":"1","source":"PubMed","abstract":"The melanization reaction, involving the synthesis of melanin to encapsulate pathogens, is a prominent immune response in Drosophila, the mosquito and other insects and arthropods. Biochemical studies with large insects have defined a basic model for how melanization is activated and regulated upon microbial infection. In this model, recognition of a microorganism triggers a serine protease cascade that activates phenol oxidase (PO), a key enzyme in the melanin biosynthetic pathway, and serpin-type protease inhibitors are involved in inhibiting the cascade. In the past few years, genetic studies in Drosophila have identified serine proteases and serpins that regulate activation of PO and melanization in vivo. These studies, along with molecular genetic analysis of melanization in the mosquito, have provided new insight into the role that melanization plays in fighting microbial infection.","ISSN":"1933-6942","note":"PMID: 19164947","journalAbbreviation":"Fly (Austin)","language":"eng","author":[{"family":"Tang","given":"Huaping"}],"issued":{"date-parts":[["2009",3]]}}}],"schema":"https://github.com/citation-style-language/schema/raw/master/csl-citation.json"} </w:instrText>
      </w:r>
      <w:r>
        <w:fldChar w:fldCharType="separate"/>
      </w:r>
      <w:r w:rsidR="004A1963" w:rsidRPr="004A1963">
        <w:rPr>
          <w:rFonts w:ascii="Calibri" w:hAnsi="Calibri"/>
        </w:rPr>
        <w:t>(159,199)</w:t>
      </w:r>
      <w:r>
        <w:fldChar w:fldCharType="end"/>
      </w:r>
      <w:r>
        <w:t xml:space="preserve">. The melanisation cascade requires phenol oxidase, a key enzyme involved in melanin biosynthesis which are primarily produced by the crystal cells </w:t>
      </w:r>
      <w:r>
        <w:fldChar w:fldCharType="begin"/>
      </w:r>
      <w:r w:rsidR="000A209C">
        <w:instrText xml:space="preserve"> ADDIN ZOTERO_ITEM CSL_CITATION {"citationID":"chs8sAsh","properties":{"formattedCitation":"(199,204)","plainCitation":"(199,204)","noteIndex":0},"citationItems":[{"id":20,"uris":["http://zotero.org/users/952979/items/6VQ5R4RV"],"uri":["http://zotero.org/users/952979/items/6VQ5R4RV"],"itemData":{"id":20,"type":"article-journal","title":"Genetics of a Drosophila phenoloxidase","container-title":"Molecular &amp; general genetics: MGG","page":"7-13","volume":"201","issue":"1","source":"PubMed","abstract":"An electrophoretic mobility variant of phenoloxidase in a lz stock of Drosophila melanogaster was identified as the A3 component of the phenoloxidase complex by using two different activators to study enzyme activity-natural activator isolated from pupae and 50% 2-propanol. The structural gene for the A3 proenzyme, Dox-3, was not associated with lz on the X chromosome; it mapped to the right of rdo (53.1) and left of M(2)m in the second linkage group. The lz locus affects the differentiation of the crystal cell, the type of hemocyte that carries prophenoloxidase(s) in paracrystalline form. Alleles of lz lacking paracrystalline inclusions in their hemocytes do not have phenoloxidase activity whereas alleles with paracrystalline inclusions have enzyme activity. The presence of proenzyme in the paracrystalline inclusions was demonstrated by in situ activation with natural activator or propanol followed by incubation in buffered dopa.","ISSN":"0026-8925","note":"PMID: 3932822","journalAbbreviation":"Mol. Gen. Genet.","language":"eng","author":[{"family":"Rizki","given":"T. M."},{"family":"Rizki","given":"R. M."},{"family":"Bellotti","given":"R. A."}],"issued":{"date-parts":[["1985"]]}}},{"id":1399,"uris":["http://zotero.org/users/952979/items/VWE4DQS4"],"uri":["http://zotero.org/users/952979/items/VWE4DQS4"],"itemData":{"id":1399,"type":"article-journal","title":"Regulation and function of the melanization reaction in Drosophila","container-title":"Fly","page":"105-111","volume":"3","issue":"1","source":"PubMed","abstract":"The melanization reaction, involving the synthesis of melanin to encapsulate pathogens, is a prominent immune response in Drosophila, the mosquito and other insects and arthropods. Biochemical studies with large insects have defined a basic model for how melanization is activated and regulated upon microbial infection. In this model, recognition of a microorganism triggers a serine protease cascade that activates phenol oxidase (PO), a key enzyme in the melanin biosynthetic pathway, and serpin-type protease inhibitors are involved in inhibiting the cascade. In the past few years, genetic studies in Drosophila have identified serine proteases and serpins that regulate activation of PO and melanization in vivo. These studies, along with molecular genetic analysis of melanization in the mosquito, have provided new insight into the role that melanization plays in fighting microbial infection.","ISSN":"1933-6942","note":"PMID: 19164947","journalAbbreviation":"Fly (Austin)","language":"eng","author":[{"family":"Tang","given":"Huaping"}],"issued":{"date-parts":[["2009",3]]}}}],"schema":"https://github.com/citation-style-language/schema/raw/master/csl-citation.json"} </w:instrText>
      </w:r>
      <w:r>
        <w:fldChar w:fldCharType="separate"/>
      </w:r>
      <w:r w:rsidR="004A1963" w:rsidRPr="004A1963">
        <w:rPr>
          <w:rFonts w:ascii="Calibri" w:hAnsi="Calibri"/>
        </w:rPr>
        <w:t>(199,204)</w:t>
      </w:r>
      <w:r>
        <w:fldChar w:fldCharType="end"/>
      </w:r>
      <w:r>
        <w:t xml:space="preserve">. </w:t>
      </w:r>
    </w:p>
    <w:p w14:paraId="45BBA178" w14:textId="77777777" w:rsidR="001D1AB8" w:rsidRDefault="001D1AB8" w:rsidP="001D1AB8">
      <w:pPr>
        <w:pStyle w:val="Thesisnormal"/>
      </w:pPr>
    </w:p>
    <w:p w14:paraId="4A2E4612" w14:textId="77777777" w:rsidR="001D1AB8" w:rsidRDefault="001D1AB8" w:rsidP="001D1AB8">
      <w:pPr>
        <w:pStyle w:val="Heading3"/>
      </w:pPr>
      <w:r w:rsidRPr="00C66E6D">
        <w:tab/>
      </w:r>
      <w:bookmarkStart w:id="51" w:name="_Toc502936291"/>
      <w:bookmarkStart w:id="52" w:name="_Toc4589269"/>
      <w:r>
        <w:t xml:space="preserve">1.5.2 </w:t>
      </w:r>
      <w:r w:rsidRPr="00C66E6D">
        <w:t>Lamellocytes</w:t>
      </w:r>
      <w:bookmarkEnd w:id="51"/>
      <w:bookmarkEnd w:id="52"/>
    </w:p>
    <w:p w14:paraId="6C42F355" w14:textId="77777777" w:rsidR="001D1AB8" w:rsidRDefault="001D1AB8" w:rsidP="001D1AB8">
      <w:pPr>
        <w:pStyle w:val="Thesisnormal"/>
      </w:pPr>
    </w:p>
    <w:p w14:paraId="5F7DF911" w14:textId="2F30E815" w:rsidR="001D1AB8" w:rsidRDefault="001D1AB8" w:rsidP="001D1AB8">
      <w:pPr>
        <w:pStyle w:val="Thesisnormal"/>
      </w:pPr>
      <w:r>
        <w:t xml:space="preserve">Lamellocytes are large, elongated cells (up to 50µm) that differentiate upon infection with parasitic wasp eggs during the larval developmental stages </w:t>
      </w:r>
      <w:r>
        <w:fldChar w:fldCharType="begin"/>
      </w:r>
      <w:r w:rsidR="000A209C">
        <w:instrText xml:space="preserve"> ADDIN ZOTERO_ITEM CSL_CITATION {"citationID":"4F9dY6yf","properties":{"formattedCitation":"(198,205)","plainCitation":"(198,205)","noteIndex":0},"citationItems":[{"id":1324,"uris":["http://zotero.org/users/952979/items/VPQFMAQH"],"uri":["http://zotero.org/users/952979/items/VPQFMAQH"],"itemData":{"id":1324,"type":"article-journal","title":"Alterations in the haemocyte population of Drosophila melanogaster","container-title":"Journal of Morphology","page":"437-458","volume":"100","issue":"3","source":"Wiley Online Library","DOI":"10.1002/jmor.1051000303","ISSN":"1097-4687","journalAbbreviation":"J. Morphol.","language":"en","author":[{"family":"Rizki","given":"M. T. M."}],"issued":{"date-parts":[["1957",5,1]]}}},{"id":73,"uris":["http://zotero.org/users/952979/items/RN3XW5WD"],"uri":["http://zotero.org/users/952979/items/RN3XW5WD"],"itemData":{"id":73,"type":"article-journal","title":"Lamellocyte differentiation in Drosophila larvae parasitized by Leptopilina","container-title":"Developmental and Comparative Immunology","page":"103-110","volume":"16","issue":"2-3","source":"PubMed","abstract":"The presence of Leptopilina heterotoma or Leptopilina boulardi eggs in the hemocoel of a Drosophila melanogaster larva induces the differentiation of lamellocytes, the blood cells that encapsulate foreign objects. L. boulardi eggs are encapsulated by the newly differentiated lamellocytes, but L. heterotoma eggs are not. The induced lamellocytes in host larvae with L. heterotoma eggs undergo the same destructive morphological changes as reported previously for lamellocytes present in melanotic tumor mutant larvae at the time of parasitization. Thus, the virus-like particles produced by the L. heterotoma female to protect its eggs from encapsulation do not block the differentiation of lamellocytes, but rather destroy lamellocytes whenever they are present in the hemocoel.","ISSN":"0145-305X","note":"PMID: 1499832","journalAbbreviation":"Dev. Comp. Immunol.","language":"eng","author":[{"family":"Rizki","given":"T. M."},{"family":"Rizki","given":"R. M."}],"issued":{"date-parts":[["1992",6]]}}}],"schema":"https://github.com/citation-style-language/schema/raw/master/csl-citation.json"} </w:instrText>
      </w:r>
      <w:r>
        <w:fldChar w:fldCharType="separate"/>
      </w:r>
      <w:r w:rsidR="004A1963" w:rsidRPr="004A1963">
        <w:rPr>
          <w:rFonts w:ascii="Calibri" w:hAnsi="Calibri"/>
        </w:rPr>
        <w:t>(198,205)</w:t>
      </w:r>
      <w:r>
        <w:fldChar w:fldCharType="end"/>
      </w:r>
      <w:r>
        <w:t xml:space="preserve">; lamellocytes are not observed during normal development, except in cases of stress such as wounding, starvation or heat stress. Lamellocytes are more typically observed on parasitisation, wherein lamellocytes surround the wasp eggs to form a capsule </w:t>
      </w:r>
      <w:r>
        <w:fldChar w:fldCharType="begin"/>
      </w:r>
      <w:r w:rsidR="000A209C">
        <w:instrText xml:space="preserve"> ADDIN ZOTERO_ITEM CSL_CITATION {"citationID":"X6q3H0Qr","properties":{"formattedCitation":"(206)","plainCitation":"(206)","noteIndex":0},"citationItems":[{"id":1268,"uris":["http://zotero.org/users/952979/items/PNS3CX97"],"uri":["http://zotero.org/users/952979/items/PNS3CX97"],"itemData":{"id":1268,"type":"article-journal","title":"Cellular Immune defenses of Drosophila melanogaster","container-title":"Developmental and Comparative Immunology","source":"PubMed","abstract":"Drosophila melanogaster is a widely used model for the characterization of blood cell development and function, with an array of protocols for the manipulation and visualization of fixed or live cells in vitro or in vivo. Researchers have deployed these techniques to reveal Drosophila hemocytes as a remarkably versatile cell type that engulfs apoptotic corpses; neutralizes invading parasites; seals epithelial wounds; and deposits extracellular matrix proteins. In this review, we will discuss the key features of Drosophila hemocyte development and function, and identify similarities with vertebrate counterparts.","DOI":"10.1016/j.dci.2015.12.019","ISSN":"1879-0089","note":"PMID: 26748247","journalAbbreviation":"Dev. Comp. Immunol.","language":"ENG","author":[{"family":"Parsons","given":"Brendon"},{"family":"Foley","given":"Edan"}],"issued":{"date-parts":[["2016"]]}}}],"schema":"https://github.com/citation-style-language/schema/raw/master/csl-citation.json"} </w:instrText>
      </w:r>
      <w:r>
        <w:fldChar w:fldCharType="separate"/>
      </w:r>
      <w:r w:rsidR="004A1963" w:rsidRPr="004A1963">
        <w:rPr>
          <w:rFonts w:ascii="Calibri" w:hAnsi="Calibri"/>
        </w:rPr>
        <w:t>(206)</w:t>
      </w:r>
      <w:r>
        <w:fldChar w:fldCharType="end"/>
      </w:r>
      <w:r>
        <w:t xml:space="preserve">. The appearance of lamellocytes is highly linked to JAK/STAT signalling, with hyperactivation of this pathway inducing lamellocyte differentiation </w:t>
      </w:r>
      <w:r>
        <w:fldChar w:fldCharType="begin"/>
      </w:r>
      <w:r w:rsidR="000A209C">
        <w:instrText xml:space="preserve"> ADDIN ZOTERO_ITEM CSL_CITATION {"citationID":"ZeZ8revc","properties":{"formattedCitation":"(207)","plainCitation":"(207)","noteIndex":0},"citationItems":[{"id":1350,"uris":["http://zotero.org/users/952979/items/5Z9RHFIG"],"uri":["http://zotero.org/users/952979/items/5Z9RHFIG"],"itemData":{"id":1350,"type":"article-journal","title":"The Drosophila Tumorous-lethal hematopoietic oncogene is a dominant mutation in the hopscotch locus","container-title":"Molecular &amp; general genetics: MGG","page":"33-37","volume":"238","issue":"1-2","source":"PubMed","abstract":"The Drosophila Tumorous-lethal (Tum-l) mutation acts as an activated oncogene, causing hematopoietic neoplasms, overproliferation, and premature differentiation. Tum-l is a dominant mutation in the hopscotch (hop) locus, which is required for cell division and for proper embryonic segmentation. The Tum-l temperature-sensitive period for melanotic tumor formation includes most of larval and pupal development.","ISSN":"0026-8925","note":"PMID: 8479437","journalAbbreviation":"Mol. Gen. Genet.","language":"eng","author":[{"family":"Hanratty","given":"W. P."},{"family":"Dearolf","given":"C. R."}],"issued":{"date-parts":[["1993",4]]}}}],"schema":"https://github.com/citation-style-language/schema/raw/master/csl-citation.json"} </w:instrText>
      </w:r>
      <w:r>
        <w:fldChar w:fldCharType="separate"/>
      </w:r>
      <w:r w:rsidR="004A1963" w:rsidRPr="004A1963">
        <w:rPr>
          <w:rFonts w:ascii="Calibri" w:hAnsi="Calibri"/>
        </w:rPr>
        <w:t>(207)</w:t>
      </w:r>
      <w:r>
        <w:fldChar w:fldCharType="end"/>
      </w:r>
      <w:r>
        <w:t>. Indeed, mutations that activate Hop (eg. Hop</w:t>
      </w:r>
      <w:r>
        <w:rPr>
          <w:vertAlign w:val="superscript"/>
        </w:rPr>
        <w:t>[Tuml]</w:t>
      </w:r>
      <w:r>
        <w:t xml:space="preserve">) causes hematopoietic neoplasia and differentiation of plasmatocytes into lamellocytes </w:t>
      </w:r>
      <w:r>
        <w:fldChar w:fldCharType="begin"/>
      </w:r>
      <w:r w:rsidR="000A209C">
        <w:instrText xml:space="preserve"> ADDIN ZOTERO_ITEM CSL_CITATION {"citationID":"xDYJtsXd","properties":{"formattedCitation":"(207\\uc0\\u8211{}209)","plainCitation":"(207–209)","noteIndex":0},"citationItems":[{"id":1350,"uris":["http://zotero.org/users/952979/items/5Z9RHFIG"],"uri":["http://zotero.org/users/952979/items/5Z9RHFIG"],"itemData":{"id":1350,"type":"article-journal","title":"The Drosophila Tumorous-lethal hematopoietic oncogene is a dominant mutation in the hopscotch locus","container-title":"Molecular &amp; general genetics: MGG","page":"33-37","volume":"238","issue":"1-2","source":"PubMed","abstract":"The Drosophila Tumorous-lethal (Tum-l) mutation acts as an activated oncogene, causing hematopoietic neoplasms, overproliferation, and premature differentiation. Tum-l is a dominant mutation in the hopscotch (hop) locus, which is required for cell division and for proper embryonic segmentation. The Tum-l temperature-sensitive period for melanotic tumor formation includes most of larval and pupal development.","ISSN":"0026-8925","note":"PMID: 8479437","journalAbbreviation":"Mol. Gen. Genet.","language":"eng","author":[{"family":"Hanratty","given":"W. P."},{"family":"Dearolf","given":"C. R."}],"issued":{"date-parts":[["1993",4]]}}},{"id":1342,"uris":["http://zotero.org/users/952979/items/FQQCH7K7"],"uri":["http://zotero.org/users/952979/items/FQQCH7K7"],"itemData":{"id":1342,"type":"article-journal","title":"Activation of a Drosophila Janus kinase (JAK) causes hematopoietic neoplasia and developmental defects.","container-title":"The EMBO Journal","page":"2857-2865","volume":"14","issue":"12","source":"PubMed Central","abstract":"In mammals, many cytokines and growth factors stimulate members of the Janus kinase (JAK) family to transduce signals for the proliferation and differentiation of various cell types, particularly in hematopoietic lineages. Mutations in the Drosophila hopscotch (hop) gene, which encodes a JAK, also cause proliferative defects. Loss-of-function alleles result in lethality and underproliferation of diploid tissues of the larva. A dominant gain-of-function allele, Tumorous-lethal (hopTum-l), leads to formation of melanotic tumors and hypertrophy of the larval lymph glands, the hematopoietic organs. We show that a single amino acid change in Hop is associated with the hopTum-l mutation. Overexpression of either wild-type hop or hopTum-l in the larval lymph glands causes melanotic tumors and lymph gland hypertrophy indistinguishable from the original hopTum-l mutation. In addition, overexpression of Hop in other tissues of the larva leads to pattern defects in the adult or to lethality. Finally, overexpression of either hop or hopTum-l in Drosophila cell culture results in tyrosine phosphorylation of Hop protein. However, overexpression of hopTum-l results in greater phosphorylation than overexpression of the wild-type. We conclude that hopTum-l encodes a hyperactive Hop kinase and that overactivity of Hop in lymph glands causes malignant neoplasia of Drosophila blood cells.","ISSN":"0261-4189","note":"PMID: 7796812\nPMCID: PMC398404","journalAbbreviation":"EMBO J","author":[{"family":"Harrison","given":"D A"},{"family":"Binari","given":"R"},{"family":"Nahreini","given":"T S"},{"family":"Gilman","given":"M"},{"family":"Perrimon","given":"N"}],"issued":{"date-parts":[["1995",6,15]]}}},{"id":74,"uris":["http://zotero.org/users/952979/items/BTAQ8BDW"],"uri":["http://zotero.org/users/952979/items/BTAQ8BDW"],"itemData":{"id":74,"type":"article-journal","title":"An amino acid substitution in the Drosophila hopTum-l Jak kinase causes leukemia-like hematopoietic defects","container-title":"The EMBO journal","page":"1412-1420","volume":"14","issue":"7","source":"PubMed","abstract":"Proteins of the Jak family of non-receptor kinases play important roles in mammalian hematopoietic signal transduction. They mediate the cellular response to a wide range of cytokines and growth factors. A dominant mutation in a Drosophila Jak kinase, hopscotchTumorous-lethal (hopTum-l), causes hematopoietic defects. Here we conduct a molecular analysis of hopTum-l. We demonstrate that the hopTum-l hematopoietic phenotype is caused by a single amino acid substitution of glycine to glutamic acid at residue 341. We generate a true revertant of the hopTum-l mutation, in which both the molecular lesion and the mutant hematopoietic phenotype revert back to wild type. We also examine the effects of the G341E substitution in transgenic flies. The results indicate that a mutant Jak kinase can cause leukemia-like abnormalities.","ISSN":"0261-4189","note":"PMID: 7729418\nPMCID: PMC398227","journalAbbreviation":"EMBO J.","language":"eng","author":[{"family":"Luo","given":"H."},{"family":"Hanratty","given":"W. P."},{"family":"Dearolf","given":"C. R."}],"issued":{"date-parts":[["1995",4,3]]}}}],"schema":"https://github.com/citation-style-language/schema/raw/master/csl-citation.json"} </w:instrText>
      </w:r>
      <w:r>
        <w:fldChar w:fldCharType="separate"/>
      </w:r>
      <w:r w:rsidR="004A1963" w:rsidRPr="004A1963">
        <w:rPr>
          <w:rFonts w:ascii="Calibri" w:hAnsi="Calibri" w:cs="Times New Roman"/>
        </w:rPr>
        <w:t>(207–209)</w:t>
      </w:r>
      <w:r>
        <w:fldChar w:fldCharType="end"/>
      </w:r>
      <w:r>
        <w:t xml:space="preserve">, while loss of STAT92E prevents such differentiation </w:t>
      </w:r>
      <w:r>
        <w:fldChar w:fldCharType="begin"/>
      </w:r>
      <w:r w:rsidR="000A209C">
        <w:instrText xml:space="preserve"> ADDIN ZOTERO_ITEM CSL_CITATION {"citationID":"6wcmlSSU","properties":{"formattedCitation":"(210)","plainCitation":"(210)","noteIndex":0},"citationItems":[{"id":1329,"uris":["http://zotero.org/users/952979/items/GGGXTJ4D"],"uri":["http://zotero.org/users/952979/items/GGGXTJ4D"],"itemData":{"id":1329,"type":"article-journal","title":"JAK/STAT and the GATA factor Pannier control hemocyte maturation and differentiation in Drosophila","container-title":"Developmental biology","page":"308-316","volume":"352","issue":"2","source":"PubMed Central","abstract":"The lymph gland is the major site of hematopoiesis in Drosophila. During late larval stages three types of hemocytes are produced, plasmatocytes, crystal cells, and lamellocytes, and their differentiation is tightly controlled by conserved factors and signaling pathways. JAK/STAT is one of these pathways which have essential roles in vertebrate and fly hematopoiesis. We show that Stat has opposing cell-autonomous and non-autonomous functions in hemocyte differentiation. Using a clonal approach we established that loss of Stat in a set of prohemocytes in the cortical zone induces plasmatocyte maturation in adjacent hemocytes. Hemocytes lacking Stat fail to differentiate into plasmatocytes, indicating that Stat positively and cell-autonomously controls plasmatocyte differentiation. We also identified the GATA factor pannier (pnr) as a downstream target of Stat. By analyzing the phenotypes resulting from clonal loss and over-expression of pnr in lymph glands, we find that Pnr is positively regulated by Stat and specifically required for the differentiation of plasmatocytes. Stat and Pnr represent two essential factors controlling blood cell maturation in the developing lymph gland and exert their functions both in a cell-autonomous and non-cell-autonomous manner.","DOI":"10.1016/j.ydbio.2011.01.035","ISSN":"0012-1606","note":"PMID: 21295568\nPMCID: PMC3065540","journalAbbreviation":"Dev Biol","author":[{"family":"Minakhina","given":"Svetlana"},{"family":"Tan","given":"William"},{"family":"Steward","given":"Ruth"}],"issued":{"date-parts":[["2011",4,15]]}}}],"schema":"https://github.com/citation-style-language/schema/raw/master/csl-citation.json"} </w:instrText>
      </w:r>
      <w:r>
        <w:fldChar w:fldCharType="separate"/>
      </w:r>
      <w:r w:rsidR="004A1963" w:rsidRPr="004A1963">
        <w:rPr>
          <w:rFonts w:ascii="Calibri" w:hAnsi="Calibri"/>
        </w:rPr>
        <w:t>(210)</w:t>
      </w:r>
      <w:r>
        <w:fldChar w:fldCharType="end"/>
      </w:r>
      <w:r>
        <w:t xml:space="preserve">. </w:t>
      </w:r>
    </w:p>
    <w:p w14:paraId="7EC8DE4F" w14:textId="77777777" w:rsidR="001D1AB8" w:rsidRPr="0069391B" w:rsidRDefault="001D1AB8" w:rsidP="001D1AB8">
      <w:pPr>
        <w:pStyle w:val="Thesisnormal"/>
      </w:pPr>
    </w:p>
    <w:p w14:paraId="7B05746E" w14:textId="77777777" w:rsidR="001D1AB8" w:rsidRDefault="001D1AB8" w:rsidP="001D1AB8">
      <w:pPr>
        <w:pStyle w:val="Heading3"/>
      </w:pPr>
      <w:r w:rsidRPr="00C66E6D">
        <w:tab/>
      </w:r>
      <w:bookmarkStart w:id="53" w:name="_Toc502936292"/>
      <w:bookmarkStart w:id="54" w:name="_Toc4589270"/>
      <w:r>
        <w:t xml:space="preserve">1.5.3 </w:t>
      </w:r>
      <w:r w:rsidRPr="00C66E6D">
        <w:t>Plasmatocytes</w:t>
      </w:r>
      <w:bookmarkEnd w:id="53"/>
      <w:bookmarkEnd w:id="54"/>
    </w:p>
    <w:p w14:paraId="1B50AA5B" w14:textId="77777777" w:rsidR="001D1AB8" w:rsidRDefault="001D1AB8" w:rsidP="001D1AB8">
      <w:pPr>
        <w:pStyle w:val="Thesisnormal"/>
      </w:pPr>
    </w:p>
    <w:p w14:paraId="00A42B6C" w14:textId="3E912831" w:rsidR="001D1AB8" w:rsidRDefault="001D1AB8" w:rsidP="001D1AB8">
      <w:pPr>
        <w:pStyle w:val="Thesisnormal"/>
      </w:pPr>
      <w:r>
        <w:t xml:space="preserve">Plasmatocytes represents the vast majority (95%) of hemocytes throughout development and are small spherical cells, approximately 10µm in diameter </w:t>
      </w:r>
      <w:r>
        <w:fldChar w:fldCharType="begin"/>
      </w:r>
      <w:r w:rsidR="000A209C">
        <w:instrText xml:space="preserve"> ADDIN ZOTERO_ITEM CSL_CITATION {"citationID":"7byHR8Lv","properties":{"formattedCitation":"(198)","plainCitation":"(198)","noteIndex":0},"citationItems":[{"id":1324,"uris":["http://zotero.org/users/952979/items/VPQFMAQH"],"uri":["http://zotero.org/users/952979/items/VPQFMAQH"],"itemData":{"id":1324,"type":"article-journal","title":"Alterations in the haemocyte population of Drosophila melanogaster","container-title":"Journal of Morphology","page":"437-458","volume":"100","issue":"3","source":"Wiley Online Library","DOI":"10.1002/jmor.1051000303","ISSN":"1097-4687","journalAbbreviation":"J. Morphol.","language":"en","author":[{"family":"Rizki","given":"M. T. M."}],"issued":{"date-parts":[["1957",5,1]]}}}],"schema":"https://github.com/citation-style-language/schema/raw/master/csl-citation.json"} </w:instrText>
      </w:r>
      <w:r>
        <w:fldChar w:fldCharType="separate"/>
      </w:r>
      <w:r w:rsidR="004A1963" w:rsidRPr="004A1963">
        <w:rPr>
          <w:rFonts w:ascii="Calibri" w:hAnsi="Calibri"/>
        </w:rPr>
        <w:t>(198)</w:t>
      </w:r>
      <w:r>
        <w:fldChar w:fldCharType="end"/>
      </w:r>
      <w:r>
        <w:t>. They are first derived in the head mesoderm during embryogenesis (in addition to crystal cells) and are then produced in a second hematopoietic wave in the lymph gland of 3</w:t>
      </w:r>
      <w:r w:rsidRPr="00E279FE">
        <w:rPr>
          <w:vertAlign w:val="superscript"/>
        </w:rPr>
        <w:t>rd</w:t>
      </w:r>
      <w:r>
        <w:t xml:space="preserve"> instar larvae </w:t>
      </w:r>
      <w:r>
        <w:fldChar w:fldCharType="begin"/>
      </w:r>
      <w:r w:rsidR="000A209C">
        <w:instrText xml:space="preserve"> ADDIN ZOTERO_ITEM CSL_CITATION {"citationID":"L6SKyPOZ","properties":{"formattedCitation":"(211,212)","plainCitation":"(211,212)","noteIndex":0},"citationItems":[{"id":48,"uris":["http://zotero.org/users/952979/items/SFPVZD4C"],"uri":["http://zotero.org/users/952979/items/SFPVZD4C"],"itemData":{"id":48,"type":"article-journal","title":"Drosophila hematopoiesis under normal conditions and in response to immune stress","container-title":"FEBS letters","page":"4034-4051","volume":"590","issue":"22","source":"PubMed","abstract":"The emergence of hematopoietic progenitors and their differentiation into various highly specialized blood cell types constitute a finely tuned process. Unveiling the genetic cascades that control blood cell progenitor fate and understanding how they are modulated in response to environmental changes are two major challenges in the field of hematopoiesis. In the last 20 years, many studies have established important functional analogies between blood cell development in vertebrates and in the fruit fly, Drosophila melanogaster. Thereby, Drosophila has emerged as a powerful genetic model for studying mechanisms that control hematopoiesis during normal development or in pathological situations. Moreover, recent advances in Drosophila have highlighted how intricate cell communication networks and microenvironmental cues regulate blood cell homeostasis. They have also revealed the striking plasticity of Drosophila mature blood cells and the presence of different sites of hematopoiesis in the larva. This review provides an overview of Drosophila hematopoiesis during development and summarizes our current knowledge on the molecular processes controlling larval hematopoiesis, both under normal conditions and in response to an immune challenge, such as wasp parasitism.","DOI":"10.1002/1873-3468.12327","ISSN":"1873-3468","note":"PMID: 27455465","journalAbbreviation":"FEBS Lett.","language":"eng","author":[{"family":"Letourneau","given":"Manon"},{"family":"Lapraz","given":"Francois"},{"family":"Sharma","given":"Anurag"},{"family":"Vanzo","given":"Nathalie"},{"family":"Waltzer","given":"Lucas"},{"family":"Crozatier","given":"Michèle"}],"issued":{"date-parts":[["2016",11]]}}},{"id":1280,"uris":["http://zotero.org/users/952979/items/KRACHRRE"],"uri":["http://zotero.org/users/952979/items/KRACHRRE"],"itemData":{"id":1280,"type":"article-journal","title":"Drosophila haematopoiesis","container-title":"Cellular Microbiology","page":"1117-1126","volume":"9","issue":"5","source":"Wiley Online Library","abstract":"Like in vertebrates, Drosophila haematopoiesis occurs in two waves. It gives rise to three types of haemocytes: plasmatocytes (phagocytosis), crystal cells (melanization) and lamellocytes (encapsulation of parasites). A first population of haemocytes, specified during embryogenesis, gives rise to an invariant number of plasmatocytes and crystal cells. A second population of haemocytes is specified during larval development in a specialized haematopoietic organ, the lymph gland. All three types of haemocytes can be specified in this organ, but lamellocytes only differentiate in response to parasitism. Thus, larval in contrast to embryonic haematopoiesis can be modulated by physiological constraints. Molecular cascades controlling embryonic haematopoiesis are relatively well established and require transactivators such as GATA, FOG and Runx factors, which are also co-opted in mammalian haematopoiesis. Mechanisms involved during larval haematopoiesis are less well understood although a number of chromatin remodelling factors and signalling pathways (JAK/STAT, Toll, Hedgehog, Notch) are required. In healthy larvae a pool of progenitors is maintained within the lymph gland, under the control of a signalling centre which expresses Collier, Serrate, Antennapedia and Hedgehog, and controls haemocyte homeostasis. Its key role in haemocyte homeostasis is reminiscent of interactions described in vertebrates between haematopoietic stem cells and their microenvironment (niche).","DOI":"10.1111/j.1462-5822.2007.00930.x","ISSN":"1462-5822","language":"en","author":[{"family":"Crozatier","given":"Michèle"},{"family":"Meister","given":"Marie"}],"issued":{"date-parts":[["2007",5,1]]}}}],"schema":"https://github.com/citation-style-language/schema/raw/master/csl-citation.json"} </w:instrText>
      </w:r>
      <w:r>
        <w:fldChar w:fldCharType="separate"/>
      </w:r>
      <w:r w:rsidR="004A1963" w:rsidRPr="004A1963">
        <w:rPr>
          <w:rFonts w:ascii="Calibri" w:hAnsi="Calibri"/>
        </w:rPr>
        <w:t>(211,212)</w:t>
      </w:r>
      <w:r>
        <w:fldChar w:fldCharType="end"/>
      </w:r>
      <w:r>
        <w:t xml:space="preserve">. At the end of pupation, the lymph gland ruptures, releasing the plasmatocyte into the circulation. Plasmatocytes are phagocytic cells which share similarities to vertebrate macrophages and neutrophils </w:t>
      </w:r>
      <w:r>
        <w:fldChar w:fldCharType="begin"/>
      </w:r>
      <w:r w:rsidR="000A209C">
        <w:instrText xml:space="preserve"> ADDIN ZOTERO_ITEM CSL_CITATION {"citationID":"5HKY6dtZ","properties":{"formattedCitation":"(176,206)","plainCitation":"(176,206)","noteIndex":0},"citationItems":[{"id":1268,"uris":["http://zotero.org/users/952979/items/PNS3CX97"],"uri":["http://zotero.org/users/952979/items/PNS3CX97"],"itemData":{"id":1268,"type":"article-journal","title":"Cellular Immune defenses of Drosophila melanogaster","container-title":"Developmental and Comparative Immunology","source":"PubMed","abstract":"Drosophila melanogaster is a widely used model for the characterization of blood cell development and function, with an array of protocols for the manipulation and visualization of fixed or live cells in vitro or in vivo. Researchers have deployed these techniques to reveal Drosophila hemocytes as a remarkably versatile cell type that engulfs apoptotic corpses; neutralizes invading parasites; seals epithelial wounds; and deposits extracellular matrix proteins. In this review, we will discuss the key features of Drosophila hemocyte development and function, and identify similarities with vertebrate counterparts.","DOI":"10.1016/j.dci.2015.12.019","ISSN":"1879-0089","note":"PMID: 26748247","journalAbbreviation":"Dev. Comp. Immunol.","language":"ENG","author":[{"family":"Parsons","given":"Brendon"},{"family":"Foley","given":"Edan"}],"issued":{"date-parts":[["2016"]]}}},{"id":27,"uris":["http://zotero.org/users/952979/items/E5863XUF"],"uri":["http://zotero.org/users/952979/items/E5863XUF"],"itemData":{"id":27,"type":"article-journal","title":"Thicker Than Blood: Conserved Mechanisms in Drosophila and Vertebrate Hematopoiesis","container-title":"Developmental Cell","page":"673-690","volume":"5","issue":"5","source":"ScienceDirect","abstract":"Blood development in Drosophila melanogaster shares several interesting features with hematopoiesis in vertebrates, including spatiotemporal regulation as well as the use of similar transcriptional regulators and signaling pathways. In this review, we describe what is known about hematopoietic development in Drosophila and the various cell types generated and their functions. Additionally, the molecular genetic mechanisms of hematopoietic cell fate determination and commitment within Drosophila blood cell lineages are discussed and compared to vertebrate mechanisms.","DOI":"10.1016/S1534-5807(03)00335-6","ISSN":"1534-5807","shortTitle":"Thicker Than Blood","journalAbbreviation":"Developmental Cell","author":[{"family":"Evans","given":"Cory J"},{"family":"Hartenstein","given":"Volker"},{"family":"Banerjee","given":"Utpal"}],"issued":{"date-parts":[["2003",11]]}}}],"schema":"https://github.com/citation-style-language/schema/raw/master/csl-citation.json"} </w:instrText>
      </w:r>
      <w:r>
        <w:fldChar w:fldCharType="separate"/>
      </w:r>
      <w:r w:rsidR="004A1963" w:rsidRPr="004A1963">
        <w:rPr>
          <w:rFonts w:ascii="Calibri" w:hAnsi="Calibri"/>
        </w:rPr>
        <w:t>(176,206)</w:t>
      </w:r>
      <w:r>
        <w:fldChar w:fldCharType="end"/>
      </w:r>
      <w:r>
        <w:t xml:space="preserve">. Plasmatocytes phagocytose both apoptotic cells and pathogens, performing vital roles both developmentally and in immune defence </w:t>
      </w:r>
      <w:r>
        <w:fldChar w:fldCharType="begin"/>
      </w:r>
      <w:r w:rsidR="000A209C">
        <w:instrText xml:space="preserve"> ADDIN ZOTERO_ITEM CSL_CITATION {"citationID":"4O8ucwMA","properties":{"formattedCitation":"(164)","plainCitation":"(164)","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fldChar w:fldCharType="separate"/>
      </w:r>
      <w:r w:rsidR="004A1963" w:rsidRPr="004A1963">
        <w:rPr>
          <w:rFonts w:ascii="Calibri" w:hAnsi="Calibri"/>
        </w:rPr>
        <w:t>(164)</w:t>
      </w:r>
      <w:r>
        <w:fldChar w:fldCharType="end"/>
      </w:r>
      <w:r>
        <w:t xml:space="preserve"> (Fig 1.</w:t>
      </w:r>
      <w:r w:rsidR="00230BE8">
        <w:t>4</w:t>
      </w:r>
      <w:r>
        <w:t xml:space="preserve">). </w:t>
      </w:r>
    </w:p>
    <w:p w14:paraId="352270DA" w14:textId="77777777" w:rsidR="001D1AB8" w:rsidRPr="0069391B" w:rsidRDefault="001D1AB8" w:rsidP="001D1AB8"/>
    <w:p w14:paraId="055031E4" w14:textId="77777777" w:rsidR="001D1AB8" w:rsidRDefault="001D1AB8" w:rsidP="001D1AB8">
      <w:pPr>
        <w:pStyle w:val="Heading4"/>
      </w:pPr>
      <w:r>
        <w:tab/>
      </w:r>
      <w:r>
        <w:tab/>
      </w:r>
      <w:bookmarkStart w:id="55" w:name="_Toc502936293"/>
      <w:r>
        <w:t xml:space="preserve">1.5.3.1 </w:t>
      </w:r>
      <w:bookmarkEnd w:id="55"/>
      <w:r>
        <w:t>Plasmatocyte developmental migration</w:t>
      </w:r>
    </w:p>
    <w:p w14:paraId="7096BCDF" w14:textId="77777777" w:rsidR="001D1AB8" w:rsidRDefault="001D1AB8" w:rsidP="001D1AB8"/>
    <w:p w14:paraId="514BA297" w14:textId="4086C85B" w:rsidR="001D1AB8" w:rsidRDefault="001D1AB8" w:rsidP="001D1AB8">
      <w:pPr>
        <w:pStyle w:val="Thesisnormal"/>
      </w:pPr>
      <w:r>
        <w:t xml:space="preserve">Following the specification of plasmatocytes in the head mesoderm, they begin to migrate out of this region at stage 11 of development </w:t>
      </w:r>
      <w:r>
        <w:fldChar w:fldCharType="begin"/>
      </w:r>
      <w:r w:rsidR="000A209C">
        <w:instrText xml:space="preserve"> ADDIN ZOTERO_ITEM CSL_CITATION {"citationID":"l3GbJB2K","properties":{"formattedCitation":"(213,214)","plainCitation":"(213,214)","noteIndex":0},"citationItems":[{"id":1370,"uris":["http://zotero.org/users/952979/items/32EUV2XW"],"uri":["http://zotero.org/users/952979/items/32EUV2XW"],"itemData":{"id":1370,"type":"article-journal","title":"Drosophila blood cell chemotaxis","container-title":"Current Opinion in Cell Biology","page":"1-8","volume":"30","source":"PubMed","abstract":"Drosophila melanogaster contains a population of blood cells called hemocytes that represent the functional equivalent of vertebrate macrophages. These cells undergo directed migrations to disperse during development and reach sites of tissue damage or altered self. These chemotactic behaviors are controlled by the expression of PDGF/Vegf-related ligands in developing embryos and local production of hydrogen peroxide at wounds. Recent work reveals that many molecules important in vertebrate cell motility, including integrins, formins, Ena/VASP proteins and the SCAR/WAVE complex, have a conserved function in these innate immune cells. The use of this model organism has elucidated how damage signals are activated by calcium signaling during inflammation and that the steroid hormone ecdysone activates immune competence at key developmental stages.","DOI":"10.1016/j.ceb.2014.04.002","ISSN":"1879-0410","note":"PMID: 24799191\nPMCID: PMC4194352","journalAbbreviation":"Curr. Opin. Cell Biol.","language":"eng","author":[{"family":"Evans","given":"Iwan Robert"},{"family":"Wood","given":"Will"}],"issued":{"date-parts":[["2014",10]]}}},{"id":1344,"uris":["http://zotero.org/users/952979/items/ZCGRSKPA"],"uri":["http://zotero.org/users/952979/items/ZCGRSKPA"],"itemData":{"id":1344,"type":"article-journal","title":"Embryonic origin of hemocytes and their relationship to cell death in Drosophila","container-title":"Development (Cambridge, England)","page":"1829-1837","volume":"120","issue":"7","source":"PubMed","abstract":"We have studied the embryonic development of Drosophila hemocytes and their conversion into macrophages. Hemocytes derive exclusively from the mesoderm of the head and disperse along several invariant migratory paths throughout the embryo. The origin of hemocytes from the head mesoderm is further supported by the finding that in Bicaudal D, a mutation that lacks all head structures, and in twist snail double mutants, where no mesoderm develops, hemocytes do not form. All embryonic hemocytes behave like a homogenous population with respect to their potential for phagocytosis. Thus, in the wild type, about 80-90% of hemocytes become macrophages during late development. In mutations with an increased amount of cell death (knirps; stardust; fork head), this figure approaches 100%. In contrast, in these mutations, the absolute number of hemocytes does not differ from that in wild type, indicating that cell death does not 'induce' the formation of hemocytes. Finally, we show that, in the Drosophila embryo, apoptosis can occur independently of macrophages, since mutations lacking macrophages (Bicaudal D; twist snail double mutants; torso4021) show abundant cell death.","ISSN":"0950-1991","note":"PMID: 7924990","journalAbbreviation":"Development","language":"eng","author":[{"family":"Tepass","given":"U."},{"family":"Fessler","given":"L. I."},{"family":"Aziz","given":"A."},{"family":"Hartenstein","given":"V."}],"issued":{"date-parts":[["1994",7]]}}}],"schema":"https://github.com/citation-style-language/schema/raw/master/csl-citation.json"} </w:instrText>
      </w:r>
      <w:r>
        <w:fldChar w:fldCharType="separate"/>
      </w:r>
      <w:r w:rsidR="004A1963" w:rsidRPr="004A1963">
        <w:rPr>
          <w:rFonts w:ascii="Calibri" w:hAnsi="Calibri"/>
        </w:rPr>
        <w:t>(213,214)</w:t>
      </w:r>
      <w:r>
        <w:fldChar w:fldCharType="end"/>
      </w:r>
      <w:r>
        <w:t xml:space="preserve">, entering the germband and moving along both sides of the developing ventral nerve cord (VNC); by stage 16, plasmatocytes populate the entire embryo </w:t>
      </w:r>
      <w:r>
        <w:fldChar w:fldCharType="begin"/>
      </w:r>
      <w:r w:rsidR="000A209C">
        <w:instrText xml:space="preserve"> ADDIN ZOTERO_ITEM CSL_CITATION {"citationID":"DGN9VTMR","properties":{"formattedCitation":"(214)","plainCitation":"(214)","noteIndex":0},"citationItems":[{"id":1344,"uris":["http://zotero.org/users/952979/items/ZCGRSKPA"],"uri":["http://zotero.org/users/952979/items/ZCGRSKPA"],"itemData":{"id":1344,"type":"article-journal","title":"Embryonic origin of hemocytes and their relationship to cell death in Drosophila","container-title":"Development (Cambridge, England)","page":"1829-1837","volume":"120","issue":"7","source":"PubMed","abstract":"We have studied the embryonic development of Drosophila hemocytes and their conversion into macrophages. Hemocytes derive exclusively from the mesoderm of the head and disperse along several invariant migratory paths throughout the embryo. The origin of hemocytes from the head mesoderm is further supported by the finding that in Bicaudal D, a mutation that lacks all head structures, and in twist snail double mutants, where no mesoderm develops, hemocytes do not form. All embryonic hemocytes behave like a homogenous population with respect to their potential for phagocytosis. Thus, in the wild type, about 80-90% of hemocytes become macrophages during late development. In mutations with an increased amount of cell death (knirps; stardust; fork head), this figure approaches 100%. In contrast, in these mutations, the absolute number of hemocytes does not differ from that in wild type, indicating that cell death does not 'induce' the formation of hemocytes. Finally, we show that, in the Drosophila embryo, apoptosis can occur independently of macrophages, since mutations lacking macrophages (Bicaudal D; twist snail double mutants; torso4021) show abundant cell death.","ISSN":"0950-1991","note":"PMID: 7924990","journalAbbreviation":"Development","language":"eng","author":[{"family":"Tepass","given":"U."},{"family":"Fessler","given":"L. I."},{"family":"Aziz","given":"A."},{"family":"Hartenstein","given":"V."}],"issued":{"date-parts":[["1994",7]]}}}],"schema":"https://github.com/citation-style-language/schema/raw/master/csl-citation.json"} </w:instrText>
      </w:r>
      <w:r>
        <w:fldChar w:fldCharType="separate"/>
      </w:r>
      <w:r w:rsidR="004A1963" w:rsidRPr="004A1963">
        <w:rPr>
          <w:rFonts w:ascii="Calibri" w:hAnsi="Calibri"/>
        </w:rPr>
        <w:t>(214)</w:t>
      </w:r>
      <w:r>
        <w:fldChar w:fldCharType="end"/>
      </w:r>
      <w:r>
        <w:t xml:space="preserve">. Hemocyte developmental migration is dependent upon </w:t>
      </w:r>
      <w:r>
        <w:lastRenderedPageBreak/>
        <w:t xml:space="preserve">PDGF/Vegf-related ligands (Pvfs) which are expressed along the ventral and dorsal migratory routes </w:t>
      </w:r>
      <w:r>
        <w:fldChar w:fldCharType="begin"/>
      </w:r>
      <w:r w:rsidR="000A209C">
        <w:instrText xml:space="preserve"> ADDIN ZOTERO_ITEM CSL_CITATION {"citationID":"G70vODyi","properties":{"formattedCitation":"(215,216)","plainCitation":"(215,216)","noteIndex":0},"citationItems":[{"id":13,"uris":["http://zotero.org/users/952979/items/CSRMK44H"],"uri":["http://zotero.org/users/952979/items/CSRMK44H"],"itemData":{"id":13,"type":"article-journal","title":"Developmental Control of Blood Cell Migration by the Drosophila VEGF Pathway","container-title":"Cell","page":"865-876","volume":"108","issue":"6","source":"www.cell.com","abstract":"&lt;h2&gt;Abstract&lt;/h2&gt;&lt;p&gt;We show that a vascular endothelial growth factor (VEGF) pathway controls embryonic migrations of blood cells (hemocytes) in &lt;i&gt;Drosophila&lt;/i&gt;. The VEGF receptor homolog is expressed in hemocytes, and three VEGF homologs are expressed along hemocyte migration routes. A receptor mutation arrests progression of blood cell movement. Mutations in &lt;i&gt;Vegf17E&lt;/i&gt; or &lt;i&gt;Vegf27Cb&lt;/i&gt; have no effect, but simultaneous inactivation of all three &lt;i&gt;Vegf&lt;/i&gt; genes phenocopied the receptor mutant, and ectopic expression of &lt;i&gt;Vegf27Cb&lt;/i&gt; redirected migration. Genetic experiments indicate that the VEGF pathway functions independently of pathways governing hemocyte homing on apoptotic cells. The results suggest that the &lt;i&gt;Drosophila&lt;/i&gt; VEGF pathway guides developmental migrations of blood cells, and we speculate that the ancestral function of VEGF pathways was to guide blood cell movement.&lt;/p&gt;","DOI":"10.1016/S0092-8674(02)00676-1","ISSN":"0092-8674, 1097-4172","note":"PMID: 11955438","journalAbbreviation":"Cell","language":"English","author":[{"family":"Cho","given":"Nam K."},{"family":"Keyes","given":"Linda"},{"family":"Johnson","given":"Eric"},{"family":"Heller","given":"Jonathan"},{"family":"Ryner","given":"Lisa"},{"family":"Karim","given":"Felix"},{"family":"Krasnow","given":"Mark A."}],"issued":{"date-parts":[["2002",3,22]]}}},{"id":1456,"uris":["http://zotero.org/users/952979/items/X6M5JDRI"],"uri":["http://zotero.org/users/952979/items/X6M5JDRI"],"itemData":{"id":1456,"type":"article-journal","title":"Distinct mechanisms regulate hemocyte chemotaxis during development and wound healing in Drosophila melanogaster","container-title":"The Journal of Cell Biology","page":"405-416","volume":"173","issue":"3","source":"PubMed Central","abstract":"Drosophila melanogaster hemocytes are highly motile macrophage-like cells that undergo a stereotypic pattern of migration to populate the whole embryo by late embryogenesis. We demonstrate that the migratory patterns of hemocytes at the embryonic ventral midline are orchestrated by chemotactic signals from the PDGF/VEGF ligands Pvf2 and -3 and that these directed migrations occur independently of phosphoinositide 3-kinase (PI3K) signaling. In contrast, using both laser ablation and a novel wounding assay that allows localized treatment with inhibitory drugs, we show that PI3K is essential for hemocyte chemotaxis toward wounds and that Pvf signals and PDGF/VEGF receptor expression are not required for this rapid chemotactic response. Our results demonstrate that at least two separate mechanisms operate in D. melanogaster embryos to direct hemocyte migration and show that although PI3K is crucial for hemocytes to sense a chemotactic gradient from a wound, it is not required to sense the growth factor signals that coordinate their developmental migrations along the ventral midline during embryogenesis.","DOI":"10.1083/jcb.200508161","ISSN":"0021-9525","note":"PMID: 16651377\nPMCID: PMC2063841","journalAbbreviation":"J Cell Biol","author":[{"family":"Wood","given":"Will"},{"family":"Faria","given":"Celia"},{"family":"Jacinto","given":"Antonio"}],"issued":{"date-parts":[["2006",5,8]]}}}],"schema":"https://github.com/citation-style-language/schema/raw/master/csl-citation.json"} </w:instrText>
      </w:r>
      <w:r>
        <w:fldChar w:fldCharType="separate"/>
      </w:r>
      <w:r w:rsidR="004A1963" w:rsidRPr="004A1963">
        <w:rPr>
          <w:rFonts w:ascii="Calibri" w:hAnsi="Calibri"/>
        </w:rPr>
        <w:t>(215,216)</w:t>
      </w:r>
      <w:r>
        <w:fldChar w:fldCharType="end"/>
      </w:r>
      <w:r>
        <w:t xml:space="preserve">. The Pvfs signal through the Pvr receptor which is expressed on hemocytes and promotes their proliferation and survival </w:t>
      </w:r>
      <w:r>
        <w:fldChar w:fldCharType="begin"/>
      </w:r>
      <w:r w:rsidR="000A209C">
        <w:instrText xml:space="preserve"> ADDIN ZOTERO_ITEM CSL_CITATION {"citationID":"2v2DbzH0","properties":{"formattedCitation":"(215,217,218)","plainCitation":"(215,217,218)","noteIndex":0},"citationItems":[{"id":13,"uris":["http://zotero.org/users/952979/items/CSRMK44H"],"uri":["http://zotero.org/users/952979/items/CSRMK44H"],"itemData":{"id":13,"type":"article-journal","title":"Developmental Control of Blood Cell Migration by the Drosophila VEGF Pathway","container-title":"Cell","page":"865-876","volume":"108","issue":"6","source":"www.cell.com","abstract":"&lt;h2&gt;Abstract&lt;/h2&gt;&lt;p&gt;We show that a vascular endothelial growth factor (VEGF) pathway controls embryonic migrations of blood cells (hemocytes) in &lt;i&gt;Drosophila&lt;/i&gt;. The VEGF receptor homolog is expressed in hemocytes, and three VEGF homologs are expressed along hemocyte migration routes. A receptor mutation arrests progression of blood cell movement. Mutations in &lt;i&gt;Vegf17E&lt;/i&gt; or &lt;i&gt;Vegf27Cb&lt;/i&gt; have no effect, but simultaneous inactivation of all three &lt;i&gt;Vegf&lt;/i&gt; genes phenocopied the receptor mutant, and ectopic expression of &lt;i&gt;Vegf27Cb&lt;/i&gt; redirected migration. Genetic experiments indicate that the VEGF pathway functions independently of pathways governing hemocyte homing on apoptotic cells. The results suggest that the &lt;i&gt;Drosophila&lt;/i&gt; VEGF pathway guides developmental migrations of blood cells, and we speculate that the ancestral function of VEGF pathways was to guide blood cell movement.&lt;/p&gt;","DOI":"10.1016/S0092-8674(02)00676-1","ISSN":"0092-8674, 1097-4172","note":"PMID: 11955438","journalAbbreviation":"Cell","language":"English","author":[{"family":"Cho","given":"Nam K."},{"family":"Keyes","given":"Linda"},{"family":"Johnson","given":"Eric"},{"family":"Heller","given":"Jonathan"},{"family":"Ryner","given":"Lisa"},{"family":"Karim","given":"Felix"},{"family":"Krasnow","given":"Mark A."}],"issued":{"date-parts":[["2002",3,22]]}}},{"id":11,"uris":["http://zotero.org/users/952979/items/LXICE38G"],"uri":["http://zotero.org/users/952979/items/LXICE38G"],"itemData":{"id":11,"type":"article-journal","title":"The Drosophila VEGF receptor homolog is expressed in hemocytes","container-title":"Mechanisms of Development","page":"69-77","volume":"109","issue":"1","source":"PubMed","abstract":"Several signalling pathways have been defined by studies of genes originally characterised in Drosophila. However, some mammalian signalling systems have so far escaped discovery in the fly. Here, we describe the identification and characterisation of fly homologs for the mammalian vascular endothelial growth factor/platelet derived growth factor (VEGF/PDGF) and the VEGF receptor. The Drosophila factor (DmVEGF-1) gene has two splice variants and is expressed during all stages, the signal distribution during embryogenesis being ubiquitous. The receptor (DmVEGFR) gene has several splice variants; the variations affecting only the extracellular domain. The most prominent form is expressed in cells of the embryonic haematopoietic cell lineage, starting in the mesodermal area of the head around stage 10 of embryogenesis. Expression persists in hemocytes as embryonic development proceeds and the cells migrate posteriorly. In a fly strain carrying a deletion uncovering the DmVEGFR gene, hemocytes are still present, but their migration is hampered and the hemocytes remain mainly in the anterior end close to their origin. These data suggest that the VEGF/PDGF signalling system may regulate the migration of the Drosophila embryonic haemocyte precursor cells.","ISSN":"0925-4773","note":"PMID: 11677054","journalAbbreviation":"Mech. Dev.","language":"eng","author":[{"family":"Heino","given":"T. I."},{"family":"Kärpänen","given":"T."},{"family":"Wahlström","given":"G."},{"family":"Pulkkinen","given":"M."},{"family":"Eriksson","given":"U."},{"family":"Alitalo","given":"K."},{"family":"Roos","given":"C."}],"issued":{"date-parts":[["2001",11]]}}},{"id":1454,"uris":["http://zotero.org/users/952979/items/K2GQP4ZR"],"uri":["http://zotero.org/users/952979/items/K2GQP4ZR"],"itemData":{"id":1454,"type":"article-journal","title":"The PDGF/VEGF receptor controls blood cell survival in Drosophila","container-title":"Developmental Cell","page":"73-84","volume":"7","issue":"1","source":"PubMed","abstract":"The Drosophila PDGF/VEGF receptor (PVR) has known functions in the guidance of cell migration. We now demonstrate that during embryonic hematopoiesis, PVR has a role in the control of antiapoptotic cell survival. In Pvr mutants, a large fraction of the embryonic hemocyte population undergoes apoptosis, and the remaining blood cells cannibalistically phagocytose their dying peers. Consequently, total hemocyte numbers drop dramatically during embryogenesis, and large aggregates of engorged macrophages carrying multiple apoptotic corpses form. Hemocyte-specific expression of the pan-caspase inhibitor p35 in Pvr mutants eliminates hemocyte aggregates and restores blood cell counts and morphology. Additional rescue experiments suggest involvement of the Ras pathway in PVR-mediated blood cell survival. In cell culture, we demonstrate that PVR directly controls survival of a hemocyte cell line. This function of PVR shows striking conservation with mammalian hematopoiesis and establishes Drosophila as a model to study hematopoietic cell survival in development and disease.","DOI":"10.1016/j.devcel.2004.06.007","ISSN":"1534-5807","note":"PMID: 15239955","journalAbbreviation":"Dev. Cell","language":"eng","author":[{"family":"Brückner","given":"Katja"},{"family":"Kockel","given":"Lutz"},{"family":"Duchek","given":"Peter"},{"family":"Luque","given":"Carlos M."},{"family":"Rørth","given":"Pernille"},{"family":"Perrimon","given":"Norbert"}],"issued":{"date-parts":[["2004",7]]}}}],"schema":"https://github.com/citation-style-language/schema/raw/master/csl-citation.json"} </w:instrText>
      </w:r>
      <w:r>
        <w:fldChar w:fldCharType="separate"/>
      </w:r>
      <w:r w:rsidR="004A1963" w:rsidRPr="004A1963">
        <w:rPr>
          <w:rFonts w:ascii="Calibri" w:hAnsi="Calibri"/>
        </w:rPr>
        <w:t>(215,217,218)</w:t>
      </w:r>
      <w:r>
        <w:fldChar w:fldCharType="end"/>
      </w:r>
      <w:r>
        <w:t xml:space="preserve">. Misexpression of Pvf2 can redirect hemocytes, confirming the importance of this signalling in hemocyte developmental migration </w:t>
      </w:r>
      <w:r>
        <w:fldChar w:fldCharType="begin"/>
      </w:r>
      <w:r w:rsidR="000A209C">
        <w:instrText xml:space="preserve"> ADDIN ZOTERO_ITEM CSL_CITATION {"citationID":"sv3SMnjE","properties":{"formattedCitation":"(219)","plainCitation":"(219)","noteIndex":0},"citationItems":[{"id":10,"uris":["http://zotero.org/users/952979/items/L8RGVZDT"],"uri":["http://zotero.org/users/952979/items/L8RGVZDT"],"itemData":{"id":10,"type":"article-journal","title":"Interdependence of macrophage migration and ventral nerve cord development in Drosophila embryos","container-title":"Development","page":"1625-1633","volume":"137","issue":"10","source":"dev.biologists.org.sheffield.idm.oclc.org","abstract":"Skip to Next Section\nDuring embryonic development, Drosophila macrophages (haemocytes) undergo a series of stereotypical migrations to disperse throughout the embryo. One major migratory route is along the ventral nerve cord (VNC), where haemocytes are required for the correct development of this tissue. We show, for the first time, that a reciprocal relationship exists between haemocytes and the VNC and that defects in nerve cord development prevent haemocyte migration along this structure. Using live imaging, we demonstrate that the axonal guidance cue Slit and its receptor Robo are both required for haemocyte migration, but signalling is not autonomously required in haemocytes. We show that the failure of haemocyte migration along the VNC in slit mutants is not due to a lack of chemotactic signals within this structure, but rather to a failure in its detachment from the overlying epithelium, creating a physical barrier to haemocyte migration. This block of haemocyte migration in turn disrupts the formation of the dorsoventral channels within the VNC, further highlighting the importance of haemocyte migration for correct neural development. This study illustrates the important role played by the three-dimensional environment in directing cell migration in vivo and reveals an intriguing interplay between the developing nervous system and the blood cells within the fly, demonstrating that their development is both closely coupled and interdependent.","DOI":"10.1242/dev.046797","ISSN":"0950-1991, 1477-9129","note":"PMID: 20392742","journalAbbreviation":"Development","language":"en","author":[{"family":"Evans","given":"Iwan R."},{"family":"Hu","given":"Nan"},{"family":"Skaer","given":"Helen"},{"family":"Wood","given":"Will"}],"issued":{"date-parts":[["2010",5,15]]}}}],"schema":"https://github.com/citation-style-language/schema/raw/master/csl-citation.json"} </w:instrText>
      </w:r>
      <w:r>
        <w:fldChar w:fldCharType="separate"/>
      </w:r>
      <w:r w:rsidR="004A1963" w:rsidRPr="004A1963">
        <w:rPr>
          <w:rFonts w:ascii="Calibri" w:hAnsi="Calibri"/>
        </w:rPr>
        <w:t>(219)</w:t>
      </w:r>
      <w:r>
        <w:fldChar w:fldCharType="end"/>
      </w:r>
      <w:r>
        <w:t xml:space="preserve">. Furthermore, loss of </w:t>
      </w:r>
      <w:r w:rsidRPr="00195587">
        <w:rPr>
          <w:i/>
        </w:rPr>
        <w:t>pvr</w:t>
      </w:r>
      <w:r>
        <w:t xml:space="preserve"> results in a failure of hemocyte egress from head mesoderm </w:t>
      </w:r>
      <w:r>
        <w:fldChar w:fldCharType="begin"/>
      </w:r>
      <w:r w:rsidR="000A209C">
        <w:instrText xml:space="preserve"> ADDIN ZOTERO_ITEM CSL_CITATION {"citationID":"RVPA1Ljg","properties":{"formattedCitation":"(215,217)","plainCitation":"(215,217)","noteIndex":0},"citationItems":[{"id":13,"uris":["http://zotero.org/users/952979/items/CSRMK44H"],"uri":["http://zotero.org/users/952979/items/CSRMK44H"],"itemData":{"id":13,"type":"article-journal","title":"Developmental Control of Blood Cell Migration by the Drosophila VEGF Pathway","container-title":"Cell","page":"865-876","volume":"108","issue":"6","source":"www.cell.com","abstract":"&lt;h2&gt;Abstract&lt;/h2&gt;&lt;p&gt;We show that a vascular endothelial growth factor (VEGF) pathway controls embryonic migrations of blood cells (hemocytes) in &lt;i&gt;Drosophila&lt;/i&gt;. The VEGF receptor homolog is expressed in hemocytes, and three VEGF homologs are expressed along hemocyte migration routes. A receptor mutation arrests progression of blood cell movement. Mutations in &lt;i&gt;Vegf17E&lt;/i&gt; or &lt;i&gt;Vegf27Cb&lt;/i&gt; have no effect, but simultaneous inactivation of all three &lt;i&gt;Vegf&lt;/i&gt; genes phenocopied the receptor mutant, and ectopic expression of &lt;i&gt;Vegf27Cb&lt;/i&gt; redirected migration. Genetic experiments indicate that the VEGF pathway functions independently of pathways governing hemocyte homing on apoptotic cells. The results suggest that the &lt;i&gt;Drosophila&lt;/i&gt; VEGF pathway guides developmental migrations of blood cells, and we speculate that the ancestral function of VEGF pathways was to guide blood cell movement.&lt;/p&gt;","DOI":"10.1016/S0092-8674(02)00676-1","ISSN":"0092-8674, 1097-4172","note":"PMID: 11955438","journalAbbreviation":"Cell","language":"English","author":[{"family":"Cho","given":"Nam K."},{"family":"Keyes","given":"Linda"},{"family":"Johnson","given":"Eric"},{"family":"Heller","given":"Jonathan"},{"family":"Ryner","given":"Lisa"},{"family":"Karim","given":"Felix"},{"family":"Krasnow","given":"Mark A."}],"issued":{"date-parts":[["2002",3,22]]}}},{"id":11,"uris":["http://zotero.org/users/952979/items/LXICE38G"],"uri":["http://zotero.org/users/952979/items/LXICE38G"],"itemData":{"id":11,"type":"article-journal","title":"The Drosophila VEGF receptor homolog is expressed in hemocytes","container-title":"Mechanisms of Development","page":"69-77","volume":"109","issue":"1","source":"PubMed","abstract":"Several signalling pathways have been defined by studies of genes originally characterised in Drosophila. However, some mammalian signalling systems have so far escaped discovery in the fly. Here, we describe the identification and characterisation of fly homologs for the mammalian vascular endothelial growth factor/platelet derived growth factor (VEGF/PDGF) and the VEGF receptor. The Drosophila factor (DmVEGF-1) gene has two splice variants and is expressed during all stages, the signal distribution during embryogenesis being ubiquitous. The receptor (DmVEGFR) gene has several splice variants; the variations affecting only the extracellular domain. The most prominent form is expressed in cells of the embryonic haematopoietic cell lineage, starting in the mesodermal area of the head around stage 10 of embryogenesis. Expression persists in hemocytes as embryonic development proceeds and the cells migrate posteriorly. In a fly strain carrying a deletion uncovering the DmVEGFR gene, hemocytes are still present, but their migration is hampered and the hemocytes remain mainly in the anterior end close to their origin. These data suggest that the VEGF/PDGF signalling system may regulate the migration of the Drosophila embryonic haemocyte precursor cells.","ISSN":"0925-4773","note":"PMID: 11677054","journalAbbreviation":"Mech. Dev.","language":"eng","author":[{"family":"Heino","given":"T. I."},{"family":"Kärpänen","given":"T."},{"family":"Wahlström","given":"G."},{"family":"Pulkkinen","given":"M."},{"family":"Eriksson","given":"U."},{"family":"Alitalo","given":"K."},{"family":"Roos","given":"C."}],"issued":{"date-parts":[["2001",11]]}}}],"schema":"https://github.com/citation-style-language/schema/raw/master/csl-citation.json"} </w:instrText>
      </w:r>
      <w:r>
        <w:fldChar w:fldCharType="separate"/>
      </w:r>
      <w:r w:rsidR="004A1963" w:rsidRPr="004A1963">
        <w:rPr>
          <w:rFonts w:ascii="Calibri" w:hAnsi="Calibri"/>
        </w:rPr>
        <w:t>(215,217)</w:t>
      </w:r>
      <w:r>
        <w:fldChar w:fldCharType="end"/>
      </w:r>
      <w:r>
        <w:t xml:space="preserve">. Migration along the VNC leads to hemocytes forming a single line along the midline during stage 13. Hemocytes then migrate laterally to the edges of the VNC to form 3 lines by stage 15 </w:t>
      </w:r>
      <w:r>
        <w:fldChar w:fldCharType="begin"/>
      </w:r>
      <w:r w:rsidR="000A209C">
        <w:instrText xml:space="preserve"> ADDIN ZOTERO_ITEM CSL_CITATION {"citationID":"Fshp8FgR","properties":{"formattedCitation":"(216)","plainCitation":"(216)","noteIndex":0},"citationItems":[{"id":1456,"uris":["http://zotero.org/users/952979/items/X6M5JDRI"],"uri":["http://zotero.org/users/952979/items/X6M5JDRI"],"itemData":{"id":1456,"type":"article-journal","title":"Distinct mechanisms regulate hemocyte chemotaxis during development and wound healing in Drosophila melanogaster","container-title":"The Journal of Cell Biology","page":"405-416","volume":"173","issue":"3","source":"PubMed Central","abstract":"Drosophila melanogaster hemocytes are highly motile macrophage-like cells that undergo a stereotypic pattern of migration to populate the whole embryo by late embryogenesis. We demonstrate that the migratory patterns of hemocytes at the embryonic ventral midline are orchestrated by chemotactic signals from the PDGF/VEGF ligands Pvf2 and -3 and that these directed migrations occur independently of phosphoinositide 3-kinase (PI3K) signaling. In contrast, using both laser ablation and a novel wounding assay that allows localized treatment with inhibitory drugs, we show that PI3K is essential for hemocyte chemotaxis toward wounds and that Pvf signals and PDGF/VEGF receptor expression are not required for this rapid chemotactic response. Our results demonstrate that at least two separate mechanisms operate in D. melanogaster embryos to direct hemocyte migration and show that although PI3K is crucial for hemocytes to sense a chemotactic gradient from a wound, it is not required to sense the growth factor signals that coordinate their developmental migrations along the ventral midline during embryogenesis.","DOI":"10.1083/jcb.200508161","ISSN":"0021-9525","note":"PMID: 16651377\nPMCID: PMC2063841","journalAbbreviation":"J Cell Biol","author":[{"family":"Wood","given":"Will"},{"family":"Faria","given":"Celia"},{"family":"Jacinto","given":"Antonio"}],"issued":{"date-parts":[["2006",5,8]]}}}],"schema":"https://github.com/citation-style-language/schema/raw/master/csl-citation.json"} </w:instrText>
      </w:r>
      <w:r>
        <w:fldChar w:fldCharType="separate"/>
      </w:r>
      <w:r w:rsidR="004A1963" w:rsidRPr="004A1963">
        <w:rPr>
          <w:rFonts w:ascii="Calibri" w:hAnsi="Calibri"/>
        </w:rPr>
        <w:t>(216)</w:t>
      </w:r>
      <w:r>
        <w:fldChar w:fldCharType="end"/>
      </w:r>
      <w:r>
        <w:t xml:space="preserve">. This lateral migration coincides with a decrease in Pvf2 expression and is tightly regulated by spatial and temporal expression of both Pvf2 and Pvf3. Dorsal migration of hemocytes requires invasion into the germ band </w:t>
      </w:r>
      <w:r>
        <w:fldChar w:fldCharType="begin"/>
      </w:r>
      <w:r w:rsidR="000A209C">
        <w:instrText xml:space="preserve"> ADDIN ZOTERO_ITEM CSL_CITATION {"citationID":"wT3xPX7g","properties":{"formattedCitation":"(220\\uc0\\u8211{}222)","plainCitation":"(220–222)","noteIndex":0},"citationItems":[{"id":8,"uris":["http://zotero.org/users/952979/items/73CM3BBD"],"uri":["http://zotero.org/users/952979/items/73CM3BBD"],"itemData":{"id":8,"type":"article-journal","title":"RhoL controls invasion and Rap1 localization during immune cell transmigration in Drosophila","container-title":"Nature Cell Biology","page":"605-610","volume":"12","issue":"6","source":"PubMed","abstract":"Human immune cells have to penetrate an endothelial barrier during their beneficial pursuit of infection and their destructive infiltration of tissues in autoimmune diseases. This transmigration requires Rap1 GTPase to activate integrin affinity. We define a new model system for this process by demonstrating, with live imaging and genetics, that during embryonic development Drosophila melanogaster immune cells penetrate an epithelial, Drosophila E-cadherin (DE-cadherin)-based tissue barrier. A mutant in RhoL, a GTPase homologue that is specifically expressed in haemocytes, blocks this invasive step but not other aspects of guided migration. RhoL mediates integrin adhesion caused by Drosophila Rap1 overexpression and moves Rap1 away from a concentration in the cytoplasm to the leading edge during invasive migration. These findings indicate that a programmed migratory step during Drosophila development bears striking molecular similarities to vertebrate immune cell transmigration during inflammation, and identify RhoL as a new regulator of invasion, adhesion and Rap1 localization. Our work establishes the utility of Drosophila for identifying novel components of immune cell transmigration and for understanding the in vivo interplay of immune cells with the barriers they penetrate.","DOI":"10.1038/ncb2063","ISSN":"1476-4679","note":"PMID: 20495554\nPMCID: PMC3006444","journalAbbreviation":"Nat. Cell Biol.","language":"eng","author":[{"family":"Siekhaus","given":"Daria"},{"family":"Haesemeyer","given":"Martin"},{"family":"Moffitt","given":"Olivia"},{"family":"Lehmann","given":"Ruth"}],"issued":{"date-parts":[["2010",6]]}}},{"id":1269,"uris":["http://zotero.org/users/952979/items/EE4A5MIV"],"uri":["http://zotero.org/users/952979/items/EE4A5MIV"],"itemData":{"id":1269,"type":"article-journal","title":"Drosophila immune cell migration and adhesion during embryonic development and larval immune responses","container-title":"Current Opinion in Cell Biology","collection-title":"Cell adhesion and migration","page":"71-79","volume":"36","source":"ScienceDirect","abstract":"The majority of immune cells in Drosophila melanogaster are plasmatocytes; they carry out similar functions to vertebrate macrophages, influencing development as well as protecting against infection and cancer. Plasmatocytes, sometimes referred to with the broader term of hemocytes, migrate widely during embryonic development and cycle in the larvae between sessile and circulating positions. Here we discuss the similarities of plasmatocyte developmental migration and its functions to that of vertebrate macrophages, considering the recent controversy regarding the functions of Drosophila PDGF/VEGF related ligands. We also examine recent findings on the significance of adhesion for plasmatocyte migration in the embryo, as well as proliferation, trans-differentiation, and tumor responses in the larva. We spotlight parallels throughout to vertebrate immune responses.","DOI":"10.1016/j.ceb.2015.07.003","ISSN":"0955-0674","journalAbbreviation":"Current Opinion in Cell Biology","author":[{"family":"Ratheesh","given":"Aparna"},{"family":"Belyaeva","given":"Vera"},{"family":"Siekhaus","given":"Daria E"}],"issued":{"date-parts":[["2015",10]]}}},{"id":9,"uris":["http://zotero.org/users/952979/items/SEECXZQB"],"uri":["http://zotero.org/users/952979/items/SEECXZQB"],"itemData":{"id":9,"type":"article-journal","title":"The Drosophila Platelet-derived Growth Factor and Vascular Endothelial Growth Factor-Receptor Related (Pvr) Protein Ligands Pvf2 and Pvf3 Control Hemocyte Viability and Invasive Migration","container-title":"Journal of Biological Chemistry","page":"20173-20183","volume":"288","issue":"28","source":"www.jbc.org","abstract":"Vascular endothelial growth factor (VEGF) and platelet-derived growth factor (PDGF) family members are essential and evolutionary conserved determinants of blood cell development and dispersal. In addition, VEGFs are integral to vascular growth and permeability with detrimental contributions to ischemic diseases and metastatic cancers. The PDGF/VEGF-receptor related (Pvr) protein is implicated in the migration and trophic maintenance of macrophage-like hemocytes in Drosophila melanogaster embryos. pvr mutants have a depleted hemocyte population and a breakdown in hemocyte distribution. Previous studies suggested redundant functions for the Pvr ligands, Pvf2 and Pvf3 in the regulation of hemocyte migration, proliferation, and size. However, the precise roles that Pvf2 and Pvf3 play in hematopoiesis remain unclear due to the lack of available mutants. To determine Pvf2 and Pvf3 functions in vivo, we generated a genomic deletion that simultaneously disrupts Pvf2 and Pvf3. From our studies, we identified contributions of Pvf2 and Pvf3 to the Pvr trophic maintenance of hemocytes. Furthermore, we uncovered a novel role for Pvfs in invasive migrations. We showed that Pvf2 and Pvf3 are not required for the directed migration of hemocytes, but act locally in epithelial cells to coordinate trans-epithelial migration of hemocytes. Our findings redefine Pvf roles in hemocyte migration and highlight novel Pvf roles in hemocyte invasive migration. These new parallels between the Pvr and PDGF/VEGF pathways extend the utility of the Drosophila embryonic system to dissect physiological and pathological roles of PDGF/VEGF-like growth factors.","DOI":"10.1074/jbc.M113.483818","ISSN":"0021-9258, 1083-351X","note":"PMID: 23737520","journalAbbreviation":"J. Biol. Chem.","language":"en","author":[{"family":"Parsons","given":"Brendon"},{"family":"Foley","given":"Edan"}],"issued":{"date-parts":[["2013",7,12]]}}}],"schema":"https://github.com/citation-style-language/schema/raw/master/csl-citation.json"} </w:instrText>
      </w:r>
      <w:r>
        <w:fldChar w:fldCharType="separate"/>
      </w:r>
      <w:r w:rsidR="004A1963" w:rsidRPr="004A1963">
        <w:rPr>
          <w:rFonts w:ascii="Calibri" w:hAnsi="Calibri" w:cs="Times New Roman"/>
        </w:rPr>
        <w:t>(220–222)</w:t>
      </w:r>
      <w:r>
        <w:fldChar w:fldCharType="end"/>
      </w:r>
      <w:r>
        <w:t xml:space="preserve">. This invasion is akin to the macrophage transmigration through the endothelium observed in mammalian systems. The expression of RhoL is required for the transmigration of hemocytes to control the localisation of Rap1 to the cell surface. This then promotes integrin binding to cadherin allowing the transmigration through the epithelium </w:t>
      </w:r>
      <w:r>
        <w:fldChar w:fldCharType="begin"/>
      </w:r>
      <w:r w:rsidR="000A209C">
        <w:instrText xml:space="preserve"> ADDIN ZOTERO_ITEM CSL_CITATION {"citationID":"qFTsW4G5","properties":{"formattedCitation":"(220)","plainCitation":"(220)","noteIndex":0},"citationItems":[{"id":8,"uris":["http://zotero.org/users/952979/items/73CM3BBD"],"uri":["http://zotero.org/users/952979/items/73CM3BBD"],"itemData":{"id":8,"type":"article-journal","title":"RhoL controls invasion and Rap1 localization during immune cell transmigration in Drosophila","container-title":"Nature Cell Biology","page":"605-610","volume":"12","issue":"6","source":"PubMed","abstract":"Human immune cells have to penetrate an endothelial barrier during their beneficial pursuit of infection and their destructive infiltration of tissues in autoimmune diseases. This transmigration requires Rap1 GTPase to activate integrin affinity. We define a new model system for this process by demonstrating, with live imaging and genetics, that during embryonic development Drosophila melanogaster immune cells penetrate an epithelial, Drosophila E-cadherin (DE-cadherin)-based tissue barrier. A mutant in RhoL, a GTPase homologue that is specifically expressed in haemocytes, blocks this invasive step but not other aspects of guided migration. RhoL mediates integrin adhesion caused by Drosophila Rap1 overexpression and moves Rap1 away from a concentration in the cytoplasm to the leading edge during invasive migration. These findings indicate that a programmed migratory step during Drosophila development bears striking molecular similarities to vertebrate immune cell transmigration during inflammation, and identify RhoL as a new regulator of invasion, adhesion and Rap1 localization. Our work establishes the utility of Drosophila for identifying novel components of immune cell transmigration and for understanding the in vivo interplay of immune cells with the barriers they penetrate.","DOI":"10.1038/ncb2063","ISSN":"1476-4679","note":"PMID: 20495554\nPMCID: PMC3006444","journalAbbreviation":"Nat. Cell Biol.","language":"eng","author":[{"family":"Siekhaus","given":"Daria"},{"family":"Haesemeyer","given":"Martin"},{"family":"Moffitt","given":"Olivia"},{"family":"Lehmann","given":"Ruth"}],"issued":{"date-parts":[["2010",6]]}}}],"schema":"https://github.com/citation-style-language/schema/raw/master/csl-citation.json"} </w:instrText>
      </w:r>
      <w:r>
        <w:fldChar w:fldCharType="separate"/>
      </w:r>
      <w:r w:rsidR="004A1963" w:rsidRPr="004A1963">
        <w:rPr>
          <w:rFonts w:ascii="Calibri" w:hAnsi="Calibri"/>
        </w:rPr>
        <w:t>(220)</w:t>
      </w:r>
      <w:r>
        <w:fldChar w:fldCharType="end"/>
      </w:r>
      <w:r>
        <w:t xml:space="preserve">. Recently, Eiger has been shown to be released from neighbouring tissues in this region, which lowers the amount of active myosin which is essential to relieve tissue tension and facilitates the invasive migration of hemocytes into the germband from the head regions </w:t>
      </w:r>
      <w:r>
        <w:fldChar w:fldCharType="begin"/>
      </w:r>
      <w:r w:rsidR="000A209C">
        <w:instrText xml:space="preserve"> ADDIN ZOTERO_ITEM CSL_CITATION {"citationID":"DCCIZCi6","properties":{"formattedCitation":"(223)","plainCitation":"(223)","noteIndex":0},"citationItems":[{"id":7,"uris":["http://zotero.org/users/952979/items/9FA499N8"],"uri":["http://zotero.org/users/952979/items/9FA499N8"],"itemData":{"id":7,"type":"article-journal","title":"Drosophila TNF Modulates Tissue Tension in the Embryo to Facilitate Macrophage Invasive Migration","container-title":"Developmental Cell","page":"331-346.e7","volume":"45","issue":"3","source":"PubMed","abstract":"Migrating cells penetrate tissue barriers during development, inflammatory responses, and tumor metastasis. We study if migration in vivo in such three-dimensionally confined environments requires changes in the mechanical properties of the surrounding cells using embryonic Drosophila melanogaster hemocytes, also called macrophages, as a model. We find that macrophage invasion into the germband through transient separation of the apposing ectoderm and mesoderm requires cell deformations and reductions in apical tension in the ectoderm. Interestingly, the genetic pathway governing these mechanical shifts acts downstream of the only known tumor necrosis factor superfamily member in Drosophila, Eiger, and its receptor, Grindelwald. Eiger-Grindelwald signaling reduces levels of active Myosin in the germband ectodermal cortex through the localization of a Crumbs complex component, Patj (Pals-1-associated tight junction protein). We therefore elucidate a distinct molecular pathway that controls tissue tension and demonstrate the importance of such regulation for invasive migration in vivo.","DOI":"10.1016/j.devcel.2018.04.002","ISSN":"1878-1551","note":"PMID: 29738712","journalAbbreviation":"Dev. Cell","language":"eng","author":[{"family":"Ratheesh","given":"Aparna"},{"family":"Biebl","given":"Julia"},{"family":"Vesela","given":"Jana"},{"family":"Smutny","given":"Michael"},{"family":"Papusheva","given":"Ekaterina"},{"family":"Krens","given":"S. F. Gabriel"},{"family":"Kaufmann","given":"Walter"},{"family":"Gyoergy","given":"Attila"},{"family":"Casano","given":"Alessandra Maria"},{"family":"Siekhaus","given":"Daria E."}],"issued":{"date-parts":[["2018"]],"season":"07"}}}],"schema":"https://github.com/citation-style-language/schema/raw/master/csl-citation.json"} </w:instrText>
      </w:r>
      <w:r>
        <w:fldChar w:fldCharType="separate"/>
      </w:r>
      <w:r w:rsidR="004A1963" w:rsidRPr="004A1963">
        <w:rPr>
          <w:rFonts w:ascii="Calibri" w:hAnsi="Calibri"/>
        </w:rPr>
        <w:t>(223)</w:t>
      </w:r>
      <w:r>
        <w:fldChar w:fldCharType="end"/>
      </w:r>
      <w:r>
        <w:t xml:space="preserve">. The importance of these developmental migration is highlighted by the observations that hemocyte prioritise migratory cues above wounding cues </w:t>
      </w:r>
      <w:r>
        <w:fldChar w:fldCharType="begin"/>
      </w:r>
      <w:r w:rsidR="000A209C">
        <w:instrText xml:space="preserve"> ADDIN ZOTERO_ITEM CSL_CITATION {"citationID":"gjdEVyeL","properties":{"formattedCitation":"(224)","plainCitation":"(224)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schema":"https://github.com/citation-style-language/schema/raw/master/csl-citation.json"} </w:instrText>
      </w:r>
      <w:r>
        <w:fldChar w:fldCharType="separate"/>
      </w:r>
      <w:r w:rsidR="004A1963" w:rsidRPr="004A1963">
        <w:rPr>
          <w:rFonts w:ascii="Calibri" w:hAnsi="Calibri"/>
        </w:rPr>
        <w:t>(224)</w:t>
      </w:r>
      <w:r>
        <w:fldChar w:fldCharType="end"/>
      </w:r>
      <w:r>
        <w:t xml:space="preserve">, with the engulfment of apoptotic cells being essential for future migration of hemocytes to sites of wounding </w:t>
      </w:r>
      <w:r>
        <w:fldChar w:fldCharType="begin"/>
      </w:r>
      <w:r w:rsidR="000A209C">
        <w:instrText xml:space="preserve"> ADDIN ZOTERO_ITEM CSL_CITATION {"citationID":"pVfJh8ox","properties":{"formattedCitation":"(225)","plainCitation":"(225)","noteIndex":0},"citationItems":[{"id":1085,"uris":["http://zotero.org/users/952979/items/4F4Z9XXE"],"uri":["http://zotero.org/users/952979/items/4F4Z9XXE"],"itemData":{"id":1085,"type":"article-journal","title":"SCAR/WAVE-mediated processing of engulfed apoptotic corpses is essential for effective macrophage migration in Drosophila","container-title":"Cell Death and Differentiation","page":"709-720","volume":"20","issue":"5","source":"PubMed","abstract":"In vitro studies have shown that SCAR/WAVE activates the Arp2/3 complex to generate actin filaments, which in many cell types are organised into lamellipodia that are thought to have an important role in cell migration. Here we demonstrate that SCAR is utilised by Drosophila macrophages to drive their developmental and inflammatory migrations and that it is regulated via the Hem/Kette/Nap1-containing SCAR/WAVE complex. SCAR is also important in protecting against bacterial pathogens and in wound repair as SCAR mutant embryos succumb more readily to both sterile and infected wounds. However, in addition to driving the formation of lamellipodia in macrophages, SCAR is required cell autonomously for the correct processing of phagocytosed apoptotic corpses by these professional phagocytes. Removal of this phagocytic burden by preventing apoptosis rescues macrophage lamellipodia formation and partially restores motility. Our results show that efficient processing of phagosomes is critical for effective macrophage migration in vivo. These findings have important implications for the resolution of macrophages from chronic wounds and the behaviour of those associated with tumours, because phagocytosis of debris may serve to prolong the presence of these cells at these sites of pathology.","DOI":"10.1038/cdd.2012.166","ISSN":"1476-5403","note":"PMID: 23328632\nPMCID: PMC3619236","journalAbbreviation":"Cell Death Differ.","language":"eng","author":[{"family":"Evans","given":"I. R."},{"family":"Ghai","given":"P. A."},{"family":"Urbančič","given":"V."},{"family":"Tan","given":"K.-L."},{"family":"Wood","given":"W."}],"issued":{"date-parts":[["2013",5]]}}}],"schema":"https://github.com/citation-style-language/schema/raw/master/csl-citation.json"} </w:instrText>
      </w:r>
      <w:r>
        <w:fldChar w:fldCharType="separate"/>
      </w:r>
      <w:r w:rsidR="004A1963" w:rsidRPr="004A1963">
        <w:rPr>
          <w:rFonts w:ascii="Calibri" w:hAnsi="Calibri"/>
        </w:rPr>
        <w:t>(225)</w:t>
      </w:r>
      <w:r>
        <w:fldChar w:fldCharType="end"/>
      </w:r>
      <w:r>
        <w:t xml:space="preserve">. </w:t>
      </w:r>
    </w:p>
    <w:p w14:paraId="5DA94B7A" w14:textId="77777777" w:rsidR="001D1AB8" w:rsidRDefault="001D1AB8" w:rsidP="001D1AB8"/>
    <w:p w14:paraId="42C1723E" w14:textId="77777777" w:rsidR="001D1AB8" w:rsidRDefault="001D1AB8" w:rsidP="001D1AB8">
      <w:pPr>
        <w:pStyle w:val="Heading4"/>
        <w:ind w:left="720" w:firstLine="720"/>
      </w:pPr>
      <w:r>
        <w:t>1.5.3.2 Plasmatocyte clearance of apoptotic cells</w:t>
      </w:r>
    </w:p>
    <w:p w14:paraId="12489615" w14:textId="77777777" w:rsidR="001D1AB8" w:rsidRDefault="001D1AB8" w:rsidP="001D1AB8"/>
    <w:p w14:paraId="05B26A24" w14:textId="31B8B409" w:rsidR="001D1AB8" w:rsidRDefault="001D1AB8" w:rsidP="001D1AB8">
      <w:pPr>
        <w:pStyle w:val="Thesisnormal"/>
        <w:spacing w:before="240"/>
      </w:pPr>
      <w:r w:rsidRPr="005B284B">
        <w:t>One</w:t>
      </w:r>
      <w:r>
        <w:t xml:space="preserve"> of the most important developmental roles of plasmatocytes is clearance of apoptotic cells </w:t>
      </w:r>
      <w:r>
        <w:fldChar w:fldCharType="begin"/>
      </w:r>
      <w:r w:rsidR="000A209C">
        <w:instrText xml:space="preserve"> ADDIN ZOTERO_ITEM CSL_CITATION {"citationID":"XU3xx29f","properties":{"formattedCitation":"(226)","plainCitation":"(226)","noteIndex":0},"citationItems":[{"id":1373,"uris":["http://zotero.org/users/952979/items/R7QVPP25"],"uri":["http://zotero.org/users/952979/items/R7QVPP25"],"itemData":{"id":1373,"type":"article-journal","title":"Phagocytosis of apoptotic cells in homeostasis","container-title":"Nature Immunology","page":"907-917","volume":"16","issue":"9","source":"PubMed","abstract":"Human bodies collectively turn over about 200 billion to 300 billion cells every day. Such turnover is an integral part of embryonic and postnatal development, as well as routine tissue homeostasis. This process involves the induction of programmed cell death in specific cells within the tissues and the specific recognition and removal of dying cells by a clearance 'crew' composed of professional, non-professional and specialized phagocytes. In the past few years, considerable progress has been made in identifying many features of apoptotic cell clearance. Some of these new observations challenge the way dying cells themselves are viewed, as well as how healthy cells interact with and respond to dying cells. Here we focus on the homeostatic removal of apoptotic cells in tissues.","DOI":"10.1038/ni.3253","ISSN":"1529-2916","note":"PMID: 26287597","journalAbbreviation":"Nat. Immunol.","language":"eng","author":[{"family":"Arandjelovic","given":"Sanja"},{"family":"Ravichandran","given":"Kodi S."}],"issued":{"date-parts":[["2015",8,19]]}}}],"schema":"https://github.com/citation-style-language/schema/raw/master/csl-citation.json"} </w:instrText>
      </w:r>
      <w:r>
        <w:fldChar w:fldCharType="separate"/>
      </w:r>
      <w:r w:rsidR="004A1963" w:rsidRPr="004A1963">
        <w:rPr>
          <w:rFonts w:ascii="Calibri" w:hAnsi="Calibri"/>
        </w:rPr>
        <w:t>(226)</w:t>
      </w:r>
      <w:r>
        <w:fldChar w:fldCharType="end"/>
      </w:r>
      <w:r>
        <w:t xml:space="preserve">. In order to perform this function, plasmatocytes must recognise and engulf dying cells. Essential to this recognition is the receptor Croquemort (Crq), a member of the CD36 family of receptors </w:t>
      </w:r>
      <w:r>
        <w:fldChar w:fldCharType="begin"/>
      </w:r>
      <w:r w:rsidR="000A209C">
        <w:instrText xml:space="preserve"> ADDIN ZOTERO_ITEM CSL_CITATION {"citationID":"4909WLer","properties":{"formattedCitation":"(227,228)","plainCitation":"(227,228)","noteIndex":0},"citationItems":[{"id":1450,"uris":["http://zotero.org/users/952979/items/5G2G6FD5"],"uri":["http://zotero.org/users/952979/items/5G2G6FD5"],"itemData":{"id":1450,"type":"article-journal","title":"Requirement for croquemort in phagocytosis of apoptotic cells in Drosophila","container-title":"Science (New York, N.Y.)","page":"1991-1994","volume":"284","issue":"5422","source":"PubMed","abstract":"Macrophages in the Drosophila embryo are responsible for the phagocytosis of apoptotic cells and are competent to engulf bacteria. Croquemort (CRQ) is a CD36-related receptor expressed exclusively on these macrophages. Genetic evidence showed that crq was essential for efficient phagocytosis of apoptotic corpses but was not required for the engulfment of bacteria. The expression of CRQ was regulated by the amount of apoptosis. These data define distinct pathways for the phagocytosis of corpses and bacteria in Drosophila.","ISSN":"0036-8075","note":"PMID: 10373118","journalAbbreviation":"Science","language":"eng","author":[{"family":"Franc","given":"N. C."},{"family":"Heitzler","given":"P."},{"family":"Ezekowitz","given":"R. A."},{"family":"White","given":"K."}],"issued":{"date-parts":[["1999",6,18]]}}},{"id":1345,"uris":["http://zotero.org/users/952979/items/XCJ7MMB4"],"uri":["http://zotero.org/users/952979/items/XCJ7MMB4"],"itemData":{"id":1345,"type":"article-journal","title":"Croquemort, a novel Drosophila hemocyte/macrophage receptor that recognizes apoptotic cells","container-title":"Immunity","page":"431-443","volume":"4","issue":"5","source":"PubMed","abstract":"Programmed cell death is first observed at stage 11 of embryogenesis in Drosophila. The systematic removal of apoptotic cells is mediated by cells that are derived from the procephalic mesoderm and differentiate into macrophages. We describe a macrophage receptor for apoptotic cells. This receptor, croquemort (catcher of death), is a member of the CD36 superfamily. Croquemort-mediated phagocytosis represents the concept that phagocytosis evolved primarily as a cellular process for the removal of effete cells. Our findings support the idea that the primordial function of macrophages may have been in tissue modeling and that their adapted role is in host defense.","ISSN":"1074-7613","note":"PMID: 8630729","journalAbbreviation":"Immunity","language":"eng","author":[{"family":"Franc","given":"N. C."},{"family":"Dimarcq","given":"J. L."},{"family":"Lagueux","given":"M."},{"family":"Hoffmann","given":"J."},{"family":"Ezekowitz","given":"R. A."}],"issued":{"date-parts":[["1996",5]]}}}],"schema":"https://github.com/citation-style-language/schema/raw/master/csl-citation.json"} </w:instrText>
      </w:r>
      <w:r>
        <w:fldChar w:fldCharType="separate"/>
      </w:r>
      <w:r w:rsidR="004A1963" w:rsidRPr="004A1963">
        <w:rPr>
          <w:rFonts w:ascii="Calibri" w:hAnsi="Calibri"/>
        </w:rPr>
        <w:t>(227,228)</w:t>
      </w:r>
      <w:r>
        <w:fldChar w:fldCharType="end"/>
      </w:r>
      <w:r>
        <w:t xml:space="preserve">. Knockout of </w:t>
      </w:r>
      <w:r w:rsidR="009E54C5">
        <w:rPr>
          <w:i/>
        </w:rPr>
        <w:t>c</w:t>
      </w:r>
      <w:r w:rsidRPr="009E54C5">
        <w:rPr>
          <w:i/>
        </w:rPr>
        <w:t>rq</w:t>
      </w:r>
      <w:r>
        <w:t xml:space="preserve"> in the embryo prevented phagocytosis of apoptotic cells which could be rescued with overexpression of </w:t>
      </w:r>
      <w:r w:rsidR="009E54C5">
        <w:t>c</w:t>
      </w:r>
      <w:r w:rsidRPr="009E54C5">
        <w:rPr>
          <w:i/>
        </w:rPr>
        <w:t>rq</w:t>
      </w:r>
      <w:r>
        <w:t xml:space="preserve"> </w:t>
      </w:r>
      <w:r>
        <w:fldChar w:fldCharType="begin"/>
      </w:r>
      <w:r w:rsidR="000A209C">
        <w:instrText xml:space="preserve"> ADDIN ZOTERO_ITEM CSL_CITATION {"citationID":"LuGAg4e6","properties":{"formattedCitation":"(227)","plainCitation":"(227)","noteIndex":0},"citationItems":[{"id":1450,"uris":["http://zotero.org/users/952979/items/5G2G6FD5"],"uri":["http://zotero.org/users/952979/items/5G2G6FD5"],"itemData":{"id":1450,"type":"article-journal","title":"Requirement for croquemort in phagocytosis of apoptotic cells in Drosophila","container-title":"Science (New York, N.Y.)","page":"1991-1994","volume":"284","issue":"5422","source":"PubMed","abstract":"Macrophages in the Drosophila embryo are responsible for the phagocytosis of apoptotic cells and are competent to engulf bacteria. Croquemort (CRQ) is a CD36-related receptor expressed exclusively on these macrophages. Genetic evidence showed that crq was essential for efficient phagocytosis of apoptotic corpses but was not required for the engulfment of bacteria. The expression of CRQ was regulated by the amount of apoptosis. These data define distinct pathways for the phagocytosis of corpses and bacteria in Drosophila.","ISSN":"0036-8075","note":"PMID: 10373118","journalAbbreviation":"Science","language":"eng","author":[{"family":"Franc","given":"N. C."},{"family":"Heitzler","given":"P."},{"family":"Ezekowitz","given":"R. A."},{"family":"White","given":"K."}],"issued":{"date-parts":[["1999",6,18]]}}}],"schema":"https://github.com/citation-style-language/schema/raw/master/csl-citation.json"} </w:instrText>
      </w:r>
      <w:r>
        <w:fldChar w:fldCharType="separate"/>
      </w:r>
      <w:r w:rsidR="004A1963" w:rsidRPr="004A1963">
        <w:rPr>
          <w:rFonts w:ascii="Calibri" w:hAnsi="Calibri"/>
        </w:rPr>
        <w:t>(227)</w:t>
      </w:r>
      <w:r>
        <w:fldChar w:fldCharType="end"/>
      </w:r>
      <w:r>
        <w:t xml:space="preserve">. This paper also suggested that Crq was not involved in the phagocytosis of bacteria, although Crq has recently been shown to be involved in bacterial clearance </w:t>
      </w:r>
      <w:r>
        <w:fldChar w:fldCharType="begin"/>
      </w:r>
      <w:r w:rsidR="000A209C">
        <w:instrText xml:space="preserve"> ADDIN ZOTERO_ITEM CSL_CITATION {"citationID":"Tr9n8is1","properties":{"formattedCitation":"(229)","plainCitation":"(229)","noteIndex":0},"citationItems":[{"id":19,"uris":["http://zotero.org/users/952979/items/N8GP3CH7"],"uri":["http://zotero.org/users/952979/items/N8GP3CH7"],"itemData":{"id":19,"type":"article-journal","title":"The Drosophila CD36 Homologue croquemort Is Required to Maintain Immune and Gut Homeostasis during Development and Aging","container-title":"PLoS Pathogens","volume":"12","issue":"10","source":"PubMed Central","abstract":"Phagocytosis is an ancient mechanism central to both tissue homeostasis and immune defense. Both the identity of the receptors that mediate bacterial phagocytosis and the nature of the interactions between phagocytosis and other defense mechanisms remain elusive. Here, we report that Croquemort (Crq), a Drosophila member of the CD36 family of scavenger receptors, is required for microbial phagocytosis and efficient bacterial clearance. Flies mutant for crq are susceptible to environmental microbes during development and succumb to a variety of microbial infections as adults. Crq acts parallel to the Toll and Imd pathways to eliminate bacteria via phagocytosis. crq mutant flies exhibit enhanced and prolonged immune and cytokine induction accompanied by premature gut dysplasia and decreased lifespan. The chronic state of immune activation in crq mutant flies is further regulated by negative regulators of the Imd pathway. Altogether, our data demonstrate that Crq plays a key role in maintaining immune and organismal homeostasis., Phagocytosis is a first-line host defense mechanism against microbes. Interactions between phagocytosis and other immune mechanisms, such as the humoral response, however, remain elusive. Defective phagocytosis can lead to immune deficiencies and chronic auto-inflammation. Here, we show that Croquemort (Crq), a Drosophila member of the CD36 family of scavenger receptors, plays a role in microbial phagocytosis. Crq is required in phagocytes for efficient uptake of bacteria and fungi, and mutants for crq succumb to both environmental microbes and infections. Crq is also required for phagosome maturation, and crq mutants lack the ability to fully clear bacterial infection. As a result, crq mutant flies enter a state of chronic immune activation. Notably, they show increased production of the cytokine Upd3 that induces intestinal stem cell proliferation. Consequently, crq mutant flies show early signs of gut dysplasia, as well as a shortened lifespan. Altogether, our study demonstrates a new link between phagocytosis and tissue homeostasis, and illustrates how the chronic induction of cytokine production secondary to defective phagocytosis can alter gut homeostasis and shorten lifespan.","URL":"https://www.ncbi.nlm.nih.gov/pmc/articles/PMC5079587/","DOI":"10.1371/journal.ppat.1005961","ISSN":"1553-7366","note":"PMID: 27780230\nPMCID: PMC5079587","journalAbbreviation":"PLoS Pathog","author":[{"family":"Guillou","given":"Aurélien"},{"family":"Troha","given":"Katia"},{"family":"Wang","given":"Hui"},{"family":"Franc","given":"Nathalie C."},{"family":"Buchon","given":"Nicolas"}],"issued":{"date-parts":[["2016",10,25]]},"accessed":{"date-parts":[["2019",1,14]]}}}],"schema":"https://github.com/citation-style-language/schema/raw/master/csl-citation.json"} </w:instrText>
      </w:r>
      <w:r>
        <w:fldChar w:fldCharType="separate"/>
      </w:r>
      <w:r w:rsidR="004A1963" w:rsidRPr="004A1963">
        <w:rPr>
          <w:rFonts w:ascii="Calibri" w:hAnsi="Calibri"/>
        </w:rPr>
        <w:t>(229)</w:t>
      </w:r>
      <w:r>
        <w:fldChar w:fldCharType="end"/>
      </w:r>
      <w:r>
        <w:t>. Another apoptotic cell receptor is Draper, a homologue of CED-1 (</w:t>
      </w:r>
      <w:r>
        <w:rPr>
          <w:i/>
        </w:rPr>
        <w:t>C. elegans</w:t>
      </w:r>
      <w:r>
        <w:t xml:space="preserve">), which is expressed in hemocytes and glia </w:t>
      </w:r>
      <w:r>
        <w:fldChar w:fldCharType="begin"/>
      </w:r>
      <w:r w:rsidR="000A209C">
        <w:instrText xml:space="preserve"> ADDIN ZOTERO_ITEM CSL_CITATION {"citationID":"zuOLBFnq","properties":{"formattedCitation":"(230)","plainCitation":"(230)","noteIndex":0},"citationItems":[{"id":1354,"uris":["http://zotero.org/users/952979/items/295BF3K2"],"uri":["http://zotero.org/users/952979/items/295BF3K2"],"itemData":{"id":1354,"type":"article-journal","title":"Draper-mediated and phosphatidylserine-independent phagocytosis of apoptotic cells by Drosophila hemocytes/macrophages","container-title":"The Journal of Biological Chemistry","page":"48466-48476","volume":"279","issue":"46","source":"PubMed","abstract":"The mechanism of phagocytic elimination of dying cells in Drosophila is poorly understood. This study was undertaken to examine the recognition and engulfment of apoptotic cells by Drosophila hemocytes/macrophages in vitro and in vivo. In the in vitro analysis, l(2)mbn cells (a cell line established from larval hemocytes of a tumorous Drosophila mutant) were used as phagocytes. When l(2)mbn cells were treated with the molting hormone 20-hydroxyecdysone, the cells acquired the ability to phagocytose apoptotic S2 cells, another Drosophila cell line. S2 cells undergoing cycloheximide-induced apoptosis exposed phosphatidylserine on their surface, but their engulfment by l(2)mbn cells did not seem to be mediated by phosphatidylserine. The level of Croquemort, a candidate phagocytosis receptor of Drosophila hemocytes/macrophages, increased in l(2)mbn cells after treatment with 20-hydroxyecdysone, whereas that of Draper, another candidate phagocytosis receptor, remained unchanged. However, apoptotic cell phagocytosis was reduced when the expression of Draper, but not of Croquemort, was inhibited by RNA interference in hormone-treated l(2)mbn cells. We next examined whether Draper is responsible for the phagocytosis of apoptotic cells in vivo using an assay for engulfment based on assessing DNA degradation of apoptotic cells in dICAD mutant embryos (which only occurred after ingestion by the phagocytes). RNA interference-mediated decrease in the level of Draper in embryos of mutant flies was accompanied by a decrease in the number of cells containing fragmented DNA. Furthermore, histochemical analyses of dispersed embryonic cells revealed that the level of phagocytosis of apoptotic cells by hemocytes/macrophages was reduced when Draper expression was inhibited. These results indicate that Drosophila hemocytes/macrophages execute Draper-mediated phagocytosis to eliminate apoptotic cells.","DOI":"10.1074/jbc.M408597200","ISSN":"0021-9258","note":"PMID: 15342648","journalAbbreviation":"J. Biol. Chem.","language":"eng","author":[{"family":"Manaka","given":"Junko"},{"family":"Kuraishi","given":"Takayuki"},{"family":"Shiratsuchi","given":"Akiko"},{"family":"Nakai","given":"Yuji"},{"family":"Higashida","given":"Haruhiro"},{"family":"Henson","given":"Peter"},{"family":"Nakanishi","given":"Yoshinobu"}],"issued":{"date-parts":[["2004",11,12]]}}}],"schema":"https://github.com/citation-style-language/schema/raw/master/csl-citation.json"} </w:instrText>
      </w:r>
      <w:r>
        <w:fldChar w:fldCharType="separate"/>
      </w:r>
      <w:r w:rsidR="004A1963" w:rsidRPr="004A1963">
        <w:rPr>
          <w:rFonts w:ascii="Calibri" w:hAnsi="Calibri"/>
        </w:rPr>
        <w:t>(230)</w:t>
      </w:r>
      <w:r>
        <w:fldChar w:fldCharType="end"/>
      </w:r>
      <w:r>
        <w:t xml:space="preserve">. However, there are suggestions that Draper is involved in the post-engulfment degradation </w:t>
      </w:r>
      <w:r>
        <w:lastRenderedPageBreak/>
        <w:t xml:space="preserve">of apoptotic cells, acting downstream of a different receptor, Six-microns-under/Nimrod C4 (Simu/NimC4) </w:t>
      </w:r>
      <w:r>
        <w:fldChar w:fldCharType="begin"/>
      </w:r>
      <w:r w:rsidR="000A209C">
        <w:instrText xml:space="preserve"> ADDIN ZOTERO_ITEM CSL_CITATION {"citationID":"1QlgZW6R","properties":{"formattedCitation":"(231)","plainCitation":"(231)","noteIndex":0},"citationItems":[{"id":6,"uris":["http://zotero.org/users/952979/items/Z9L2A89L"],"uri":["http://zotero.org/users/952979/items/Z9L2A89L"],"itemData":{"id":6,"type":"article-journal","title":"Six-microns-under acts upstream of Draper in the glial phagocytosis of apoptotic neurons","container-title":"Cell","page":"498-509","volume":"133","issue":"3","source":"PubMed","abstract":"The removal of apoptotic cells by phagocytic neighbors is essential for metazoan development but remains poorly characterized. Here we report the discovery of a Drosophila phagocytosis receptor, Six-microns-under (SIMU), which is expressed in highly phagocytic cell types during development and required for efficient apoptotic cell clearance by glia in the nervous system and by macrophages elsewhere. SIMU is part of a conserved family of proteins that includes CED-1 and Draper (DRPR). Phenotypic analysis reveals that simu acts upstream of drpr in the same pathway and affects the recognition and engulfment of apoptotic cells, while drpr affects their subsequent degradation. SIMU strongly binds to apoptotic cells, presumably through its EMILIN-like domain, but requires no membrane anchoring, suggesting that it can function as a bridging molecule. Our study introduces an important factor in tissue-resident apoptotic clearance and underscores the prominent role of glia as \"semiprofessional\" phagocytes in the nervous system.","DOI":"10.1016/j.cell.2008.02.052","ISSN":"1097-4172","note":"PMID: 18455990\nPMCID: PMC2730188","journalAbbreviation":"Cell","language":"eng","author":[{"family":"Kurant","given":"Estee"},{"family":"Axelrod","given":"Sofia"},{"family":"Leaman","given":"Dan"},{"family":"Gaul","given":"Ulrike"}],"issued":{"date-parts":[["2008",5,2]]}}}],"schema":"https://github.com/citation-style-language/schema/raw/master/csl-citation.json"} </w:instrText>
      </w:r>
      <w:r>
        <w:fldChar w:fldCharType="separate"/>
      </w:r>
      <w:r w:rsidR="004A1963" w:rsidRPr="004A1963">
        <w:rPr>
          <w:rFonts w:ascii="Calibri" w:hAnsi="Calibri"/>
        </w:rPr>
        <w:t>(231)</w:t>
      </w:r>
      <w:r>
        <w:fldChar w:fldCharType="end"/>
      </w:r>
      <w:r>
        <w:t xml:space="preserve">. In </w:t>
      </w:r>
      <w:r w:rsidRPr="007956AB">
        <w:rPr>
          <w:i/>
        </w:rPr>
        <w:t>simu</w:t>
      </w:r>
      <w:r>
        <w:t xml:space="preserve"> null embryos there is an increase in unengulfed apoptotic cells. Additionally, when the transmembrane domain of Simu is removed, the secreted protein can rescue the </w:t>
      </w:r>
      <w:r w:rsidRPr="007956AB">
        <w:rPr>
          <w:i/>
        </w:rPr>
        <w:t>simu</w:t>
      </w:r>
      <w:r>
        <w:t xml:space="preserve"> null phenotypes. This suggests that Simu may act as a bridging molecule between apoptotic cells and hemocytes, especially as it lacks a significant transmembrane region </w:t>
      </w:r>
      <w:r>
        <w:fldChar w:fldCharType="begin"/>
      </w:r>
      <w:r w:rsidR="000A209C">
        <w:instrText xml:space="preserve"> ADDIN ZOTERO_ITEM CSL_CITATION {"citationID":"ny2GuTev","properties":{"formattedCitation":"(231)","plainCitation":"(231)","noteIndex":0},"citationItems":[{"id":6,"uris":["http://zotero.org/users/952979/items/Z9L2A89L"],"uri":["http://zotero.org/users/952979/items/Z9L2A89L"],"itemData":{"id":6,"type":"article-journal","title":"Six-microns-under acts upstream of Draper in the glial phagocytosis of apoptotic neurons","container-title":"Cell","page":"498-509","volume":"133","issue":"3","source":"PubMed","abstract":"The removal of apoptotic cells by phagocytic neighbors is essential for metazoan development but remains poorly characterized. Here we report the discovery of a Drosophila phagocytosis receptor, Six-microns-under (SIMU), which is expressed in highly phagocytic cell types during development and required for efficient apoptotic cell clearance by glia in the nervous system and by macrophages elsewhere. SIMU is part of a conserved family of proteins that includes CED-1 and Draper (DRPR). Phenotypic analysis reveals that simu acts upstream of drpr in the same pathway and affects the recognition and engulfment of apoptotic cells, while drpr affects their subsequent degradation. SIMU strongly binds to apoptotic cells, presumably through its EMILIN-like domain, but requires no membrane anchoring, suggesting that it can function as a bridging molecule. Our study introduces an important factor in tissue-resident apoptotic clearance and underscores the prominent role of glia as \"semiprofessional\" phagocytes in the nervous system.","DOI":"10.1016/j.cell.2008.02.052","ISSN":"1097-4172","note":"PMID: 18455990\nPMCID: PMC2730188","journalAbbreviation":"Cell","language":"eng","author":[{"family":"Kurant","given":"Estee"},{"family":"Axelrod","given":"Sofia"},{"family":"Leaman","given":"Dan"},{"family":"Gaul","given":"Ulrike"}],"issued":{"date-parts":[["2008",5,2]]}}}],"schema":"https://github.com/citation-style-language/schema/raw/master/csl-citation.json"} </w:instrText>
      </w:r>
      <w:r>
        <w:fldChar w:fldCharType="separate"/>
      </w:r>
      <w:r w:rsidR="004A1963" w:rsidRPr="004A1963">
        <w:rPr>
          <w:rFonts w:ascii="Calibri" w:hAnsi="Calibri"/>
        </w:rPr>
        <w:t>(231)</w:t>
      </w:r>
      <w:r>
        <w:fldChar w:fldCharType="end"/>
      </w:r>
      <w:r>
        <w:t xml:space="preserve">. Unlike in vertebrates, engulfment of apoptotic cells in </w:t>
      </w:r>
      <w:r>
        <w:rPr>
          <w:i/>
        </w:rPr>
        <w:t>Drosophila</w:t>
      </w:r>
      <w:r>
        <w:t xml:space="preserve"> has not yet been linked to anti-inflammatory phenotypes, instead this primes plasmatocytes for future responses to injury </w:t>
      </w:r>
      <w:r>
        <w:fldChar w:fldCharType="begin"/>
      </w:r>
      <w:r w:rsidR="000A209C">
        <w:instrText xml:space="preserve"> ADDIN ZOTERO_ITEM CSL_CITATION {"citationID":"mWFEJLDK","properties":{"formattedCitation":"(232)","plainCitation":"(232)","noteIndex":0},"citationItems":[{"id":1214,"uris":["http://zotero.org/users/952979/items/7CHK2E4X"],"uri":["http://zotero.org/users/952979/items/7CHK2E4X"],"itemData":{"id":1214,"type":"article-journal","title":"Corpse Engulfment Generates a Molecular Memory that Primes the Macrophage Inflammatory Response","container-title":"Cell","page":"1658-1671","volume":"165","issue":"7","source":"PubMed Central","abstract":"Macrophages are multifunctional cells that perform diverse roles in health and disease. Emerging evidence has suggested that these innate immune cells might also be capable of developing immunological memory, a trait previously associated with the adaptive system alone. While recent studies have focused on the dramatic macrophage reprogramming that follows infection and protects against secondary microbial attack, can macrophages also develop memory in response to other cues? Here, we show that apoptotic corpse engulfment by Drosophila macrophages is an essential primer for their inflammatory response to tissue damage and infection in vivo. Priming is triggered via calcium-induced JNK signaling, which leads to upregulation of the damage receptor Draper, thus providing a molecular memory that allows the cell to rapidly respond to subsequent injury or infection. This remarkable plasticity and capacity for memory places macrophages as key therapeutic targets for treatment of inflammatory disorders., \n          \n            \n              •\n              Phagocytosis of apoptotic cells primes macrophages for future inflammatory response\n            \n            \n              •\n              Naive macrophages are insensitive to tissue damage and bacterial infection\n            \n            \n              •\n              Corpse uptake triggers macrophage calcium bursts that potentiate priming\n            \n            \n              •\n              Calcium-induced JNK primes macrophages by upregulating the damage receptor Draper\n            \n          \n        , Macrophages that consume apoptotic corpses during fly development become primed for inflammatory responses later in life, establishing a form of molecular memory that aids in the response to bacterial infection and tissue damage.","DOI":"10.1016/j.cell.2016.04.049","ISSN":"0092-8674","note":"PMID: 27212238\nPMCID: PMC4912690","journalAbbreviation":"Cell","author":[{"family":"Weavers","given":"Helen"},{"family":"Evans","given":"Iwan R."},{"family":"Martin","given":"Paul"},{"family":"Wood","given":"Will"}],"issued":{"date-parts":[["2016",6,16]]}}}],"schema":"https://github.com/citation-style-language/schema/raw/master/csl-citation.json"} </w:instrText>
      </w:r>
      <w:r>
        <w:fldChar w:fldCharType="separate"/>
      </w:r>
      <w:r w:rsidR="004A1963" w:rsidRPr="004A1963">
        <w:rPr>
          <w:rFonts w:ascii="Calibri" w:hAnsi="Calibri"/>
        </w:rPr>
        <w:t>(232)</w:t>
      </w:r>
      <w:r>
        <w:fldChar w:fldCharType="end"/>
      </w:r>
      <w:r>
        <w:t xml:space="preserve">. </w:t>
      </w:r>
    </w:p>
    <w:p w14:paraId="289E97A2" w14:textId="77777777" w:rsidR="001D1AB8" w:rsidRDefault="001D1AB8" w:rsidP="001D1AB8">
      <w:pPr>
        <w:pStyle w:val="Thesisnormal"/>
      </w:pPr>
    </w:p>
    <w:p w14:paraId="672BF04D" w14:textId="270E5495" w:rsidR="001D1AB8" w:rsidRDefault="001D1AB8" w:rsidP="001D1AB8">
      <w:pPr>
        <w:pStyle w:val="Thesisnormal"/>
      </w:pPr>
      <w:r w:rsidRPr="00B83472">
        <w:t>The</w:t>
      </w:r>
      <w:r>
        <w:t xml:space="preserve"> importance of hemocytes </w:t>
      </w:r>
      <w:r w:rsidRPr="00220A9C">
        <w:t>during</w:t>
      </w:r>
      <w:r>
        <w:t xml:space="preserve"> development is revealed by removing the population at different points in development. Genetic ablation of hemocytes in the larvae reduces survival, with such larvae prone to infection. Ablation during the embryonic stage is more severe,  preventing organism survival </w:t>
      </w:r>
      <w:r>
        <w:fldChar w:fldCharType="begin"/>
      </w:r>
      <w:r w:rsidR="000A209C">
        <w:instrText xml:space="preserve"> ADDIN ZOTERO_ITEM CSL_CITATION {"citationID":"RSDl8O2S","properties":{"formattedCitation":"(233)","plainCitation":"(233)","noteIndex":0},"citationItems":[{"id":1398,"uris":["http://zotero.org/users/952979/items/58X8K9NI"],"uri":["http://zotero.org/users/952979/items/58X8K9NI"],"itemData":{"id":1398,"type":"article-journal","title":"Genetic ablation of Drosophila phagocytes reveals their contribution to both development and resistance to bacterial infection","container-title":"Journal of Innate Immunity","page":"322-334","volume":"1","issue":"4","source":"PubMed","abstract":"Drosophila phagocytes participate in development and immune responses through their abilities to perform phagocytosis and/or secrete extra-cellular matrix components, antimicrobial peptides, clotting factors and signalling molecules. However, our knowledge of their functional impact on development and host resistance to infection is limited. To address this, we have used a genetic cell ablation strategy to generate Drosophila individuals lacking functional phagocytes. Our results highlight the essential contribution of phagocytes to embryonic development including central nervous system morphogenesis. Phagocytes also ensure optimal viability during post-embryonic development through immune functions. The use of phagocyte-depleted flies reveals the contribution of phagocytes in the resistance of Drosophila adults upon systemic infections with specific bacteria. Phagocytes were not involved in the expression of antimicrobial peptides by the fat body indicating a clear separation between cellular and humoral immune responses at this stage. Finally, we confirm that phagocytosis is a critical effector mechanism of the cellular arm by demonstrating that phagocytosis contributes to resistance to infection with Staphylococcus aureus in adults. Our results highlight the power of this cell ablation strategy to reveal the contribution of phagocytes to specific biological processes. We now provide a blueprint of phagocyte importance during both development and innate immune responses in Drosophila.","DOI":"10.1159/000210264","ISSN":"1662-8128","note":"PMID: 20375589","journalAbbreviation":"J Innate Immun","language":"eng","author":[{"family":"Defaye","given":"Arnaud"},{"family":"Evans","given":"Iwan"},{"family":"Crozatier","given":"Michèle"},{"family":"Wood","given":"Will"},{"family":"Lemaitre","given":"Bruno"},{"family":"Leulier","given":"François"}],"issued":{"date-parts":[["2009"]]}}}],"schema":"https://github.com/citation-style-language/schema/raw/master/csl-citation.json"} </w:instrText>
      </w:r>
      <w:r>
        <w:fldChar w:fldCharType="separate"/>
      </w:r>
      <w:r w:rsidR="004A1963" w:rsidRPr="004A1963">
        <w:rPr>
          <w:rFonts w:ascii="Calibri" w:hAnsi="Calibri"/>
        </w:rPr>
        <w:t>(233)</w:t>
      </w:r>
      <w:r>
        <w:fldChar w:fldCharType="end"/>
      </w:r>
      <w:r>
        <w:t xml:space="preserve">. Loss of hemocytes during embryogenesis causes various defects, including a failure of condensation of the VNC or morphogenesis of the malphigian tubules </w:t>
      </w:r>
      <w:r>
        <w:fldChar w:fldCharType="begin"/>
      </w:r>
      <w:r w:rsidR="000A209C">
        <w:instrText xml:space="preserve"> ADDIN ZOTERO_ITEM CSL_CITATION {"citationID":"v7LsqLyF","properties":{"formattedCitation":"(234,235)","plainCitation":"(234,235)","noteIndex":0},"citationItems":[{"id":1812,"uris":["http://zotero.org/users/952979/items/2N737SU3"],"uri":["http://zotero.org/users/952979/items/2N737SU3"],"itemData":{"id":1812,"type":"article-journal","title":"Hemocyte-Secreted Type IV Collagen Enhances BMP Signaling to Guide Renal Tubule Morphogenesis in Drosophila","container-title":"Developmental Cell","page":"296-306","volume":"19","issue":"2","source":"PubMed Central","abstract":"Details of the mechanisms that determine the shape and positioning of organs in the body cavity remain largely obscure. We show that stereotypic positioning of outgrowing Drosophila renal tubules depends on signaling in a subset of tubule cells and results from enhanced sensitivity to guidance signals by targeted matrix deposition. VEGF/PDGF ligands from the tubules attract hemocytes, which secrete components of the basement membrane to ensheath them. Collagen IV sensitizes tubule cells to localized BMP guidance cues. Signaling results in pathway activation in a subset of tubule cells that lead outgrowth through the body cavity. Failure of hemocyte migration, loss of collagen IV, or abrogation of BMP signaling results in tubule misrouting and defective organ shape and positioning. Such regulated interplay between cell-cell and cell-matrix interactions is likely to have wide relevance in organogenesis and congenital disease., </w:instrText>
      </w:r>
      <w:r w:rsidR="000A209C">
        <w:rPr>
          <w:rFonts w:ascii="Arial" w:hAnsi="Arial" w:cs="Arial"/>
        </w:rPr>
        <w:instrText>►</w:instrText>
      </w:r>
      <w:r w:rsidR="000A209C">
        <w:instrText xml:space="preserve"> Tubule morphogenesis is guided by a dynamic subset of leader cells </w:instrText>
      </w:r>
      <w:r w:rsidR="000A209C">
        <w:rPr>
          <w:rFonts w:ascii="Arial" w:hAnsi="Arial" w:cs="Arial"/>
        </w:rPr>
        <w:instrText>►</w:instrText>
      </w:r>
      <w:r w:rsidR="000A209C">
        <w:instrText xml:space="preserve"> Blood-cell-derived collagen around the tubules is required for morphogenesis </w:instrText>
      </w:r>
      <w:r w:rsidR="000A209C">
        <w:rPr>
          <w:rFonts w:ascii="Arial" w:hAnsi="Arial" w:cs="Arial"/>
        </w:rPr>
        <w:instrText>►</w:instrText>
      </w:r>
      <w:r w:rsidR="000A209C">
        <w:instrText xml:space="preserve"> Collagen potentiates signaling through BMP for tubule morphogenesis </w:instrText>
      </w:r>
      <w:r w:rsidR="000A209C">
        <w:rPr>
          <w:rFonts w:ascii="Arial" w:hAnsi="Arial" w:cs="Arial"/>
        </w:rPr>
        <w:instrText>►</w:instrText>
      </w:r>
      <w:r w:rsidR="000A209C">
        <w:instrText xml:space="preserve"> Morphogenesis depends on BMP signaling in tubule leader cells","DOI":"10.1016/j.devcel.2010.07.019","ISSN":"1534-5807","note":"PMID: 20708591\nPMCID: PMC2941037","journalAbbreviation":"Dev Cell","author":[{"family":"Bunt","given":"Stephanie"},{"family":"Hooley","given":"Clare"},{"family":"Hu","given":"Nan"},{"family":"Scahill","given":"Catherine"},{"family":"Weavers","given":"Helen"},{"family":"Skaer","given":"Helen"}],"issued":{"date-parts":[["2010",8,17]]}}},{"id":1811,"uris":["http://zotero.org/users/952979/items/XIDSN6P8"],"uri":["http://zotero.org/users/952979/items/XIDSN6P8"],"itemData":{"id":1811,"type":"article-journal","title":"Condensation of the central nervous system in embryonic Drosophila is inhibited by blocking hemocyte migration or neural activity","container-title":"Developmental Biology","page":"233-243","volume":"279","issue":"1","source":"PubMed","abstract":"Condensation is a process whereby a tissue undergoes a coordinated decrease in size and increase in cellular density during development. Although it occurs in many developmental contexts, the mechanisms underlying this process are largely unknown. Here, we investigate condensation in the embryonic Drosophila ventral nerve cord (VNC). Two major events coincide with condensation during embryogenesis: the deposition of extracellular matrix by hemocytes, and the onset of central nervous system activity. We find that preventing hemocyte migration by removing the function of the Drosophila VEGF receptor homologue, Pvr, or by disrupting Rac1 function in these cells, inhibits condensation. In the absence of hemocytes migrating adjacent to the developing VNC, the extracellular matrix components Collagen IV, Viking and Peroxidasin are not deposited around this tissue. Blocking neural activity by targeted expression of tetanus toxin light chain or an inwardly rectifying potassium channel also inhibits condensation. We find that disrupting Rac1 function in either glia or neurons, including those located in the nerve cord, causes a similar phenotype. Our data suggest that condensation of the VNC during Drosophila embryogenesis depends on both hemocyte-deposited extracellular matrix and neural activity, and allow us to propose a mechanism whereby these processes work together to shape the developing central nervous system.","DOI":"10.1016/j.ydbio.2004.12.020","ISSN":"0012-1606","note":"PMID: 15708571","journalAbbreviation":"Dev. Biol.","language":"eng","author":[{"family":"Olofsson","given":"Birgitta"},{"family":"Page","given":"Damon T."}],"issued":{"date-parts":[["2005",3,1]]}}}],"schema":"https://github.com/citation-style-language/schema/raw/master/csl-citation.json"} </w:instrText>
      </w:r>
      <w:r>
        <w:fldChar w:fldCharType="separate"/>
      </w:r>
      <w:r w:rsidR="004A1963" w:rsidRPr="004A1963">
        <w:rPr>
          <w:rFonts w:ascii="Calibri" w:hAnsi="Calibri"/>
        </w:rPr>
        <w:t>(234,235)</w:t>
      </w:r>
      <w:r>
        <w:fldChar w:fldCharType="end"/>
      </w:r>
      <w:r>
        <w:t xml:space="preserve">. </w:t>
      </w:r>
    </w:p>
    <w:p w14:paraId="1BAE9AA2" w14:textId="77777777" w:rsidR="001D1AB8" w:rsidRDefault="001D1AB8" w:rsidP="001D1AB8">
      <w:pPr>
        <w:pStyle w:val="Thesisnormal"/>
      </w:pPr>
    </w:p>
    <w:p w14:paraId="146EF878" w14:textId="77777777" w:rsidR="001D1AB8" w:rsidRDefault="001D1AB8" w:rsidP="001D1AB8">
      <w:pPr>
        <w:pStyle w:val="Heading4"/>
      </w:pPr>
      <w:r>
        <w:tab/>
      </w:r>
      <w:r>
        <w:tab/>
      </w:r>
      <w:bookmarkStart w:id="56" w:name="_Toc502936294"/>
      <w:r>
        <w:t>1.5.3.3 Role of plasmatocytes in disease</w:t>
      </w:r>
      <w:bookmarkEnd w:id="56"/>
    </w:p>
    <w:p w14:paraId="003ECF3E" w14:textId="77777777" w:rsidR="001D1AB8" w:rsidRDefault="001D1AB8" w:rsidP="001D1AB8">
      <w:pPr>
        <w:pStyle w:val="Thesisnormal"/>
      </w:pPr>
    </w:p>
    <w:p w14:paraId="04A1211E" w14:textId="1F9015C1" w:rsidR="001D1AB8" w:rsidRPr="0095244F" w:rsidRDefault="001D1AB8" w:rsidP="001D1AB8">
      <w:pPr>
        <w:pStyle w:val="Thesisnormal"/>
      </w:pPr>
      <w:r>
        <w:t xml:space="preserve">During larval and adult stages, plasmatocytes act as sentinels to combat bacterial infections and tissue damage </w:t>
      </w:r>
      <w:r>
        <w:fldChar w:fldCharType="begin"/>
      </w:r>
      <w:r w:rsidR="000A209C">
        <w:instrText xml:space="preserve"> ADDIN ZOTERO_ITEM CSL_CITATION {"citationID":"GmOOGLkc","properties":{"formattedCitation":"(159,164,236)","plainCitation":"(159,164,236)","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S."},{"family":"Brückner","given":"Katja"}],"issued":{"date-parts":[["2016",4,22]]}}},{"id":1346,"uris":["http://zotero.org/users/952979/items/6679XUHE"],"uri":["http://zotero.org/users/952979/items/6679XUHE"],"itemData":{"id":1346,"type":"article-journal","title":"Circulating blood cells function as a surveillance system for damaged tissue in Drosophila larvae","container-title":"Proceedings of the National Academy of Sciences of the United States of America","page":"10017-10022","volume":"105","issue":"29","source":"PubMed","abstract":"Insects have an open circulatory system in which the heart pumps blood (hemolymph) into the body cavity, where it directly bathes the internal organs and epidermis. The blood contains free and tissue-bound immune cells that function in the inflammatory response. Here, we use live imaging of transgenic Drosophila larvae with fluorescently labeled blood cells (hemocytes) to investigate the circulatory dynamics of larval blood cells and their response to tissue injury. We find that, under normal conditions, the free cells rapidly circulate, whereas the tissue-bound cells are sessile. After epidermal wounding, tissue-bound cells around the wound site remain sessile and unresponsive, whereas circulating cells are rapidly recruited to the site of damage by adhesive capture. After capture, these cells distribute across the wound, appear phagocytically active, and are subsequently released back into circulation by the healing epidermis. The results demonstrate that circulating cells function as a surveillance system that monitors larval tissues for damage, and that adhesive capture, an important mechanism of recruitment of circulating cells to inflammatory sites in vertebrates, is shared by insects and vertebrates despite the vastly different architectures of their circulatory systems.","DOI":"10.1073/pnas.0709951105","ISSN":"1091-6490","note":"PMID: 18632567\nPMCID: PMC2474562","journalAbbreviation":"Proc. Natl. Acad. Sci. U.S.A.","language":"eng","author":[{"family":"Babcock","given":"Daniel T."},{"family":"Brock","given":"Amanda R."},{"family":"Fish","given":"Greg S."},{"family":"Wang","given":"Yan"},{"family":"Perrin","given":"Laurent"},{"family":"Krasnow","given":"Mark A."},{"family":"Galko","given":"Michael J."}],"issued":{"date-parts":[["2008",7,22]]}}}],"schema":"https://github.com/citation-style-language/schema/raw/master/csl-citation.json"} </w:instrText>
      </w:r>
      <w:r>
        <w:fldChar w:fldCharType="separate"/>
      </w:r>
      <w:r w:rsidR="004A1963" w:rsidRPr="004A1963">
        <w:rPr>
          <w:rFonts w:ascii="Calibri" w:hAnsi="Calibri"/>
        </w:rPr>
        <w:t>(159,164,236)</w:t>
      </w:r>
      <w:r>
        <w:fldChar w:fldCharType="end"/>
      </w:r>
      <w:r>
        <w:t xml:space="preserve">. Indeed, when hemocytes are ablated during the larval stages, only 43% of larvae progress to adults </w:t>
      </w:r>
      <w:r>
        <w:fldChar w:fldCharType="begin"/>
      </w:r>
      <w:r w:rsidR="000A209C">
        <w:instrText xml:space="preserve"> ADDIN ZOTERO_ITEM CSL_CITATION {"citationID":"OFWBURmH","properties":{"formattedCitation":"(233)","plainCitation":"(233)","noteIndex":0},"citationItems":[{"id":1398,"uris":["http://zotero.org/users/952979/items/58X8K9NI"],"uri":["http://zotero.org/users/952979/items/58X8K9NI"],"itemData":{"id":1398,"type":"article-journal","title":"Genetic ablation of Drosophila phagocytes reveals their contribution to both development and resistance to bacterial infection","container-title":"Journal of Innate Immunity","page":"322-334","volume":"1","issue":"4","source":"PubMed","abstract":"Drosophila phagocytes participate in development and immune responses through their abilities to perform phagocytosis and/or secrete extra-cellular matrix components, antimicrobial peptides, clotting factors and signalling molecules. However, our knowledge of their functional impact on development and host resistance to infection is limited. To address this, we have used a genetic cell ablation strategy to generate Drosophila individuals lacking functional phagocytes. Our results highlight the essential contribution of phagocytes to embryonic development including central nervous system morphogenesis. Phagocytes also ensure optimal viability during post-embryonic development through immune functions. The use of phagocyte-depleted flies reveals the contribution of phagocytes in the resistance of Drosophila adults upon systemic infections with specific bacteria. Phagocytes were not involved in the expression of antimicrobial peptides by the fat body indicating a clear separation between cellular and humoral immune responses at this stage. Finally, we confirm that phagocytosis is a critical effector mechanism of the cellular arm by demonstrating that phagocytosis contributes to resistance to infection with Staphylococcus aureus in adults. Our results highlight the power of this cell ablation strategy to reveal the contribution of phagocytes to specific biological processes. We now provide a blueprint of phagocyte importance during both development and innate immune responses in Drosophila.","DOI":"10.1159/000210264","ISSN":"1662-8128","note":"PMID: 20375589","journalAbbreviation":"J Innate Immun","language":"eng","author":[{"family":"Defaye","given":"Arnaud"},{"family":"Evans","given":"Iwan"},{"family":"Crozatier","given":"Michèle"},{"family":"Wood","given":"Will"},{"family":"Lemaitre","given":"Bruno"},{"family":"Leulier","given":"François"}],"issued":{"date-parts":[["2009"]]}}}],"schema":"https://github.com/citation-style-language/schema/raw/master/csl-citation.json"} </w:instrText>
      </w:r>
      <w:r>
        <w:fldChar w:fldCharType="separate"/>
      </w:r>
      <w:r w:rsidR="004A1963" w:rsidRPr="004A1963">
        <w:rPr>
          <w:rFonts w:ascii="Calibri" w:hAnsi="Calibri"/>
        </w:rPr>
        <w:t>(233)</w:t>
      </w:r>
      <w:r>
        <w:fldChar w:fldCharType="end"/>
      </w:r>
      <w:r>
        <w:t xml:space="preserve"> which are highly susceptible to infection, most likely due to the loss of phagocytosis </w:t>
      </w:r>
      <w:r>
        <w:fldChar w:fldCharType="begin"/>
      </w:r>
      <w:r w:rsidR="000A209C">
        <w:instrText xml:space="preserve"> ADDIN ZOTERO_ITEM CSL_CITATION {"citationID":"I6cwG3CS","properties":{"formattedCitation":"(237)","plainCitation":"(237)","noteIndex":0},"citationItems":[{"id":1331,"uris":["http://zotero.org/users/952979/items/7HXZJ8QI"],"uri":["http://zotero.org/users/952979/items/7HXZJ8QI"],"itemData":{"id":1331,"type":"article-journal","title":"Elimination of plasmatocytes by targeted apoptosis reveals their role in multiple aspects of the Drosophila immune response","container-title":"Proceedings of the National Academy of Sciences","page":"9797-9802","volume":"106","issue":"24","source":"www.pnas.org.libproxy.ncl.ac.uk","abstract":"Drosophila hemocytes have strong phagocytic capacities and produce antimicrobial peptides (AMPs). However, the precise role of blood cells during immune responses and developmental processes has only been studied using indirect means. To overcome this limitation, we generated plasmatocyte-depleted flies by specifically overexpressing the proapoptotic protein Hid into plasmatocytes. Unexpectedly, these plasmatocyte-depleted animals have a normal larval and pupal development and do not exhibit any obvious defect after birth. Remarkably, plasmatocyte-depleted adults show a strong susceptibility to infections by various microorganisms, although activation of systemic AMP gene transcription via the Toll and immune deficiency (IMD) pathways is wild-type. Our data show that this susceptibility, which correlates with overproliferation of bacteria, is likely due to the absence of phagocytosis. We also demonstrate that during larval stages, plasmatocytes play an essential role in mediating AMP production by the fat body after oral bacterial infection. Finally, we show that plasmatocytes are involved in immune surveillance during pupal development, because they prevent bacterial infection that causes pupal lethality.","DOI":"10.1073/pnas.0903971106","ISSN":"0027-8424, 1091-6490","note":"PMID: 19482944","journalAbbreviation":"PNAS","language":"en","author":[{"family":"Charroux","given":"Bernard"},{"family":"Royet","given":"Julien"}],"issued":{"date-parts":[["2009",6,16]]}}}],"schema":"https://github.com/citation-style-language/schema/raw/master/csl-citation.json"} </w:instrText>
      </w:r>
      <w:r>
        <w:fldChar w:fldCharType="separate"/>
      </w:r>
      <w:r w:rsidR="004A1963" w:rsidRPr="004A1963">
        <w:rPr>
          <w:rFonts w:ascii="Calibri" w:hAnsi="Calibri"/>
        </w:rPr>
        <w:t>(237)</w:t>
      </w:r>
      <w:r>
        <w:fldChar w:fldCharType="end"/>
      </w:r>
      <w:r>
        <w:t xml:space="preserve">. There are two key signalling pathways that control the immune response to bacteria and fungi; the immune deficiency pathway (Imd) and the Toll pathway </w:t>
      </w:r>
      <w:r>
        <w:fldChar w:fldCharType="begin"/>
      </w:r>
      <w:r w:rsidR="000A209C">
        <w:instrText xml:space="preserve"> ADDIN ZOTERO_ITEM CSL_CITATION {"citationID":"9ETVe1sL","properties":{"formattedCitation":"(192,238)","plainCitation":"(192,238)","noteIndex":0},"citationItems":[{"id":1379,"uris":["http://zotero.org/users/952979/items/5KWCRKRU"],"uri":["http://zotero.org/users/952979/items/5KWCRKRU"],"itemData":{"id":1379,"type":"article-journal","title":"Immunity in Drosophila melanogaster--from microbial recognition to whole-organism physiology","container-title":"Nature Reviews. Immunology","page":"796-810","volume":"14","issue":"12","source":"PubMed","abstract":"Since the discovery of antimicrobial peptide responses 40 years ago, the fruit fly Drosophila melanogaster has proven to be a powerful model for the study of innate immunity. Early work focused on innate immune mechanisms of microbial recognition and subsequent nuclear factor-κB signal transduction. More recently, D. melanogaster has been used to understand how the immune response is regulated and coordinated at the level of the whole organism. For example, researchers have used this model in studies investigating interactions between the microbiota and the immune system at barrier epithelial surfaces that ensure proper nutritional and immune homeostasis both locally and systemically. In addition, studies in D. melanogaster have been pivotal in uncovering how the immune response is regulated by both endocrine and metabolic signalling systems, and how the immune response modifies these systems as part of a homeostatic circuit. In this Review, we briefly summarize microbial recognition and antiviral immunity in D. melanogaster, and we highlight recent studies that have explored the effects of organism-wide regulation of the immune response and, conversely, the effects of the immune response on organism physiology.","DOI":"10.1038/nri3763","ISSN":"1474-1741","note":"PMID: 25421701","journalAbbreviation":"Nat. Rev. Immunol.","language":"eng","author":[{"family":"Buchon","given":"Nicolas"},{"family":"Silverman","given":"Neal"},{"family":"Cherry","given":"Sara"}],"issued":{"date-parts":[["2014",12]]}}},{"id":1482,"uris":["http://zotero.org/users/952979/items/97X53VH7"],"uri":["http://zotero.org/users/952979/items/97X53VH7"],"itemData":{"id":1482,"type":"article-journal","title":"Models of infectious diseases in the fruit fly Drosophila melanogaster","container-title":"Disease Models &amp; Mechanisms","page":"43-49","volume":"1","issue":"1","source":"dmm.biologists.org","abstract":"Skip to Next Section\nWe examined the immune response of a fly as physicians might, by looking at the genesis of diseases caused by microorganisms. Fly infections are complex and there are few simple rules that can predict how an infected fly might fare. As we observed the finer details of the infections, we found that almost every microbe caused a different type of pathology in the fly. Two pattern recognition pathways, Toll and immune deficiency (Imd), were found to detect, and respond to, infections. The physiological response of the fly was modified further by Eiger, insulin, Wnt inhibitor of dorsal (WntD) and nitric oxide (NO) signaling. As in humans, some of the damage that occurred during the fly immune response was caused by an over-aggressive response rather than by the microbes themselves. When looking at the matrix of signaling pathways and the microbes being tested, it was immediately obvious that most of the pathways would need to be studied in more detail before defining the rules that govern their role in pathogenesis. This detailed analysis of signaling and pathogenesis has the potential to allow the fly to be used as a model patient instead of as simply an innate immune system model.","DOI":"10.1242/dmm.000307","ISSN":"1754-8403, 1754-8411","note":"PMID: 19048052","language":"en","author":[{"family":"Dionne","given":"Marc S."},{"family":"Schneider","given":"David S."}],"issued":{"date-parts":[["2008",7,1]]}}}],"schema":"https://github.com/citation-style-language/schema/raw/master/csl-citation.json"} </w:instrText>
      </w:r>
      <w:r>
        <w:fldChar w:fldCharType="separate"/>
      </w:r>
      <w:r w:rsidR="004A1963" w:rsidRPr="004A1963">
        <w:rPr>
          <w:rFonts w:ascii="Calibri" w:hAnsi="Calibri"/>
        </w:rPr>
        <w:t>(192,238)</w:t>
      </w:r>
      <w:r>
        <w:fldChar w:fldCharType="end"/>
      </w:r>
      <w:r>
        <w:t xml:space="preserve">. The Toll pathway can be activated by the ligand Spätzle (Spz) </w:t>
      </w:r>
      <w:r>
        <w:fldChar w:fldCharType="begin"/>
      </w:r>
      <w:r w:rsidR="000A209C">
        <w:instrText xml:space="preserve"> ADDIN ZOTERO_ITEM CSL_CITATION {"citationID":"va8aQ2dW","properties":{"formattedCitation":"(155)","plainCitation":"(155)","noteIndex":0},"citationItems":[{"id":1221,"uris":["http://zotero.org/users/952979/items/SVUXX27K"],"uri":["http://zotero.org/users/952979/items/SVUXX27K"],"itemData":{"id":1221,"type":"article-journal","title":"The dorsoventral regulatory gene cassette spätzle/Toll/cactus controls the potent antifungal response in Drosophila adults","container-title":"Cell","page":"973-983","volume":"86","issue":"6","source":"PubMed","abstract":"The cytokine-induced activation cascade of NF-kappaB in mammals and the activation of the morphogen dorsal in Drosophila embryos show striking structural and functional similarities (Toll/IL-1, Cactus/I-kappaB, and dorsal/NF-kappaB). Here we demonstrate that these parallels extend to the immune response of Drosophila. In particular, the intracellular components of the dorsoventral signaling pathway (except for dorsal) and the extracellular Toll ligand, spätzle, control expression of the antifungal peptide gene drosomycin in adults. We also show that mutations in the Toll signaling pathway dramatically reduce survival after fungal infection. Antibacterial genes are induced either by a distinct pathway involving the immune deficiency gene (imd) or by combined activation of both imd and dorsoventral pathways.","ISSN":"0092-8674","note":"PMID: 8808632","journalAbbreviation":"Cell","language":"ENG","author":[{"family":"Lemaitre","given":"B."},{"family":"Nicolas","given":"E."},{"family":"Michaut","given":"L."},{"family":"Reichhart","given":"J. M."},{"family":"Hoffmann","given":"J. A."}],"issued":{"date-parts":[["1996",9,20]]}}}],"schema":"https://github.com/citation-style-language/schema/raw/master/csl-citation.json"} </w:instrText>
      </w:r>
      <w:r>
        <w:fldChar w:fldCharType="separate"/>
      </w:r>
      <w:r w:rsidR="004A1963" w:rsidRPr="004A1963">
        <w:rPr>
          <w:rFonts w:ascii="Calibri" w:hAnsi="Calibri"/>
        </w:rPr>
        <w:t>(155)</w:t>
      </w:r>
      <w:r>
        <w:fldChar w:fldCharType="end"/>
      </w:r>
      <w:r>
        <w:t xml:space="preserve">. Unlike in vertebrates, Toll does not act as a pattern recognition receptor; Spz is cleaved and activated by secreted recognition molecules upon recognition of a pathogen </w:t>
      </w:r>
      <w:r>
        <w:fldChar w:fldCharType="begin"/>
      </w:r>
      <w:r w:rsidR="000A209C">
        <w:instrText xml:space="preserve"> ADDIN ZOTERO_ITEM CSL_CITATION {"citationID":"fESZD5w0","properties":{"formattedCitation":"(159)","plainCitation":"(159)","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Immunol.","language":"eng","author":[{"family":"Lemaitre","given":"Bruno"},{"family":"Hoffmann","given":"Jules"}],"issued":{"date-parts":[["2007"]]}}}],"schema":"https://github.com/citation-style-language/schema/raw/master/csl-citation.json"} </w:instrText>
      </w:r>
      <w:r>
        <w:fldChar w:fldCharType="separate"/>
      </w:r>
      <w:r w:rsidR="004A1963" w:rsidRPr="004A1963">
        <w:rPr>
          <w:rFonts w:ascii="Calibri" w:hAnsi="Calibri"/>
        </w:rPr>
        <w:t>(159)</w:t>
      </w:r>
      <w:r>
        <w:fldChar w:fldCharType="end"/>
      </w:r>
      <w:r>
        <w:t xml:space="preserve">. Recognition is not limited to bacteria, with the Toll pathway also recognising fungi via Toll receptor-mediated recognition of fungal cell wall components </w:t>
      </w:r>
      <w:r>
        <w:fldChar w:fldCharType="begin"/>
      </w:r>
      <w:r w:rsidR="000A209C">
        <w:instrText xml:space="preserve"> ADDIN ZOTERO_ITEM CSL_CITATION {"citationID":"8WY3ltF7","properties":{"formattedCitation":"(155)","plainCitation":"(155)","noteIndex":0},"citationItems":[{"id":1221,"uris":["http://zotero.org/users/952979/items/SVUXX27K"],"uri":["http://zotero.org/users/952979/items/SVUXX27K"],"itemData":{"id":1221,"type":"article-journal","title":"The dorsoventral regulatory gene cassette spätzle/Toll/cactus controls the potent antifungal response in Drosophila adults","container-title":"Cell","page":"973-983","volume":"86","issue":"6","source":"PubMed","abstract":"The cytokine-induced activation cascade of NF-kappaB in mammals and the activation of the morphogen dorsal in Drosophila embryos show striking structural and functional similarities (Toll/IL-1, Cactus/I-kappaB, and dorsal/NF-kappaB). Here we demonstrate that these parallels extend to the immune response of Drosophila. In particular, the intracellular components of the dorsoventral signaling pathway (except for dorsal) and the extracellular Toll ligand, spätzle, control expression of the antifungal peptide gene drosomycin in adults. We also show that mutations in the Toll signaling pathway dramatically reduce survival after fungal infection. Antibacterial genes are induced either by a distinct pathway involving the immune deficiency gene (imd) or by combined activation of both imd and dorsoventral pathways.","ISSN":"0092-8674","note":"PMID: 8808632","journalAbbreviation":"Cell","language":"ENG","author":[{"family":"Lemaitre","given":"B."},{"family":"Nicolas","given":"E."},{"family":"Michaut","given":"L."},{"family":"Reichhart","given":"J. M."},{"family":"Hoffmann","given":"J. A."}],"issued":{"date-parts":[["1996",9,20]]}}}],"schema":"https://github.com/citation-style-language/schema/raw/master/csl-citation.json"} </w:instrText>
      </w:r>
      <w:r>
        <w:fldChar w:fldCharType="separate"/>
      </w:r>
      <w:r w:rsidR="004A1963" w:rsidRPr="004A1963">
        <w:rPr>
          <w:rFonts w:ascii="Calibri" w:hAnsi="Calibri"/>
        </w:rPr>
        <w:t>(155)</w:t>
      </w:r>
      <w:r>
        <w:fldChar w:fldCharType="end"/>
      </w:r>
      <w:r>
        <w:t xml:space="preserve">. The Imd pathway is similar to the TNF pathway in mammals, triggered by the recognition of gram negative bacteria </w:t>
      </w:r>
      <w:r>
        <w:fldChar w:fldCharType="begin"/>
      </w:r>
      <w:r w:rsidR="000A209C">
        <w:instrText xml:space="preserve"> ADDIN ZOTERO_ITEM CSL_CITATION {"citationID":"1vjihtTV","properties":{"formattedCitation":"(192)","plainCitation":"(192)","noteIndex":0},"citationItems":[{"id":1379,"uris":["http://zotero.org/users/952979/items/5KWCRKRU"],"uri":["http://zotero.org/users/952979/items/5KWCRKRU"],"itemData":{"id":1379,"type":"article-journal","title":"Immunity in Drosophila melanogaster--from microbial recognition to whole-organism physiology","container-title":"Nature Reviews. Immunology","page":"796-810","volume":"14","issue":"12","source":"PubMed","abstract":"Since the discovery of antimicrobial peptide responses 40 years ago, the fruit fly Drosophila melanogaster has proven to be a powerful model for the study of innate immunity. Early work focused on innate immune mechanisms of microbial recognition and subsequent nuclear factor-κB signal transduction. More recently, D. melanogaster has been used to understand how the immune response is regulated and coordinated at the level of the whole organism. For example, researchers have used this model in studies investigating interactions between the microbiota and the immune system at barrier epithelial surfaces that ensure proper nutritional and immune homeostasis both locally and systemically. In addition, studies in D. melanogaster have been pivotal in uncovering how the immune response is regulated by both endocrine and metabolic signalling systems, and how the immune response modifies these systems as part of a homeostatic circuit. In this Review, we briefly summarize microbial recognition and antiviral immunity in D. melanogaster, and we highlight recent studies that have explored the effects of organism-wide regulation of the immune response and, conversely, the effects of the immune response on organism physiology.","DOI":"10.1038/nri3763","ISSN":"1474-1741","note":"PMID: 25421701","journalAbbreviation":"Nat. Rev. Immunol.","language":"eng","author":[{"family":"Buchon","given":"Nicolas"},{"family":"Silverman","given":"Neal"},{"family":"Cherry","given":"Sara"}],"issued":{"date-parts":[["2014",12]]}}}],"schema":"https://github.com/citation-style-language/schema/raw/master/csl-citation.json"} </w:instrText>
      </w:r>
      <w:r>
        <w:fldChar w:fldCharType="separate"/>
      </w:r>
      <w:r w:rsidR="004A1963" w:rsidRPr="004A1963">
        <w:rPr>
          <w:rFonts w:ascii="Calibri" w:hAnsi="Calibri"/>
        </w:rPr>
        <w:t>(192)</w:t>
      </w:r>
      <w:r>
        <w:fldChar w:fldCharType="end"/>
      </w:r>
      <w:r>
        <w:t xml:space="preserve">. Both pathways lead to nuclear factor-κB (NF-κB) signalling and the expression of overlapping but distinct effector genes, such as the AMPs </w:t>
      </w:r>
      <w:r>
        <w:fldChar w:fldCharType="begin"/>
      </w:r>
      <w:r w:rsidR="000A209C">
        <w:instrText xml:space="preserve"> ADDIN ZOTERO_ITEM CSL_CITATION {"citationID":"LmfwXE4w","properties":{"formattedCitation":"(239\\uc0\\u8211{}241)","plainCitation":"(239–241)","noteIndex":0},"citationItems":[{"id":1881,"uris":["http://zotero.org/users/952979/items/5HBT5QRM"],"uri":["http://zotero.org/users/952979/items/5HBT5QRM"],"itemData":{"id":1881,"type":"article-journal","title":"A model of bacterial intestinal infections in Drosophila melanogaster","container-title":"PLoS pathogens","page":"e173","volume":"3","issue":"11","source":"PubMed","abstract":"Serratia marcescens is an entomopathogenic bacterium that opportunistically infects a wide range of hosts, including humans. In a model of septic injury, if directly introduced into the body cavity of Drosophila, this pathogen is insensitive to the host's systemic immune response and kills flies in a day. We find that S. marcescens resistance to the Drosophila immune deficiency (imd)-mediated humoral response requires the bacterial lipopolysaccharide O-antigen. If ingested by Drosophila, bacteria cross the gut and penetrate the body cavity. During this passage, the bacteria can be observed within the cells of the intestinal epithelium. In such an oral infection model, the flies succumb to infection only after 6 days. We demonstrate that two complementary host defense mechanisms act together against such food-borne infection: an antimicrobial response in the intestine that is regulated by the imd pathway and phagocytosis by hemocytes of bacteria that have escaped into the hemolymph. Interestingly, bacteria present in the hemolymph elicit a systemic immune response only when phagocytosis is blocked. Our observations support a model wherein peptidoglycan fragments released during bacterial growth activate the imd pathway and do not back a proposed role for phagocytosis in the immune activation of the fat body. Thanks to the genetic tools available in both host and pathogen, the molecular dissection of the interactions between S. marcescens and Drosophila will provide a useful paradigm for deciphering intestinal pathogenesis.","DOI":"10.1371/journal.ppat.0030173","ISSN":"1553-7374","note":"PMID: 18039029\nPMCID: PMC2094306","journalAbbreviation":"PLoS Pathog.","language":"eng","author":[{"family":"Nehme","given":"Nadine T."},{"family":"Liégeois","given":"Samuel"},{"family":"Kele","given":"Beatrix"},{"family":"Giammarinaro","given":"Philippe"},{"family":"Pradel","given":"Elizabeth"},{"family":"Hoffmann","given":"Jules A."},{"family":"Ewbank","given":"Jonathan J."},{"family":"Ferrandon","given":"Dominique"}],"issued":{"date-parts":[["2007",11]]}}},{"id":4,"uris":["http://zotero.org/users/952979/items/KLQ9V299"],"uri":["http://zotero.org/users/952979/items/KLQ9V299"],"itemData":{"id":4,"type":"article-journal","title":"PGRP-LC and PGRP-LE have essential yet distinct functions in the drosophila immune response to monomeric DAP-type peptidoglycan","container-title":"Nature Immunology","page":"715-723","volume":"7","issue":"7","source":"PubMed","abstract":"Drosophila rely entirely on an innate immune response to combat microbial infection. Diaminopimelic acid-containing peptidoglycan, produced by Gram-negative bacteria, is recognized by two receptors, PGRP-LC and PGRP-LE, and activates a homolog of transcription factor NF-kappaB through the Imd signaling pathway. Here we show that full-length PGRP-LE acted as an intracellular receptor for monomeric peptidoglycan, whereas a version of PGRP-LE containing only the PGRP domain functioned extracellularly, like the mammalian CD14 molecule, to enhance PGRP-LC-mediated peptidoglycan recognition on the cell surface. Interaction with the imd signaling protein was not required for PGRP-LC signaling. Instead, PGRP-LC and PGRP-LE signaled through a receptor-interacting protein homotypic interaction motif-like motif. These data demonstrate that like mammals, drosophila use both extracellular and intracellular receptors, which have conserved signaling mechanisms, for innate immune recognition.","DOI":"10.1038/ni1356","ISSN":"1529-2908","note":"PMID: 16767093","journalAbbreviation":"Nat. Immunol.","language":"eng","author":[{"family":"Kaneko","given":"Takashi"},{"family":"Yano","given":"Tamaki"},{"family":"Aggarwal","given":"Kamna"},{"family":"Lim","given":"Jae-Hong"},{"family":"Ueda","given":"Kazunori"},{"family":"Oshima","given":"Yoshiteru"},{"family":"Peach","given":"Camilla"},{"family":"Erturk-Hasdemir","given":"Deniz"},{"family":"Goldman","given":"William E."},{"family":"Oh","given":"Byung-Ha"},{"family":"Kurata","given":"Shoichiro"},{"family":"Silverman","given":"Neal"}],"issued":{"date-parts":[["2006",7]]}}},{"id":2,"uris":["http://zotero.org/users/952979/items/GYQK3JG4"],"uri":["http://zotero.org/users/952979/items/GYQK3JG4"],"itemData":{"id":2,"type":"article-journal","title":"Structural basis of recognition of pathogen-associated molecular patterns and inhibition of proinflammatory cytokines by camel peptidoglycan recognition protein","container-title":"The Journal of Biological Chemistry","page":"16208-16217","volume":"286","issue":"18","source":"PubMed","abstract":"Peptidoglycan recognition proteins (PGRPs) are involved in the recognition of pathogen-associated molecular patterns. The well known pathogen-associated molecular patterns include LPS from Gram-negative bacteria and lipoteichoic acid (LTA) from Gram-positive bacteria. In this work, the crystal structures of two complexes of the short form of camel PGRP (CPGRP-S) with LPS and LTA determined at 1.7- and 2.1-Å resolutions, respectively, are reported. Both compounds were held firmly inside the complex formed with four CPGRP-S molecules designated A, B, C, and D. The binding cleft is located at the interface of molecules C and D, which is extendable to the interface of molecules A and C. The interface of molecules A and B is tightly packed, whereas that of molecules B and D forms a wide channel. The hydrophilic moieties of these compounds occupy a common region, whereas hydrophobic chains interact with distinct regions in the binding site. The binding studies showed that CPGRP-S binds to LPS and LTA with affinities of 1.6 × 10(-9) and 2.4 × 10(-8) M, respectively. The flow cytometric studies showed that both LPS- and LTA-induced expression of the proinflammatory cytokines TNF-α and IL-6 was inhibited by CPGRP-S. The results of animal studies using mouse models indicated that both LPS- and LTA-induced mortality rates decreased drastically when CPGRP-S was administered. The recognition of both LPS and LTA, their high binding affinities for CPGRP-S, the significant decrease in the production of LPS- and LTA-induced TNF-α and IL-6, and the drastic reduction in the mortality rates in mice by CPGRP-S indicate its useful properties as an antibiotic agent.","DOI":"10.1074/jbc.M111.228163","ISSN":"1083-351X","note":"PMID: 21454594\nPMCID: PMC3091228","journalAbbreviation":"J. Biol. Chem.","language":"eng","author":[{"family":"Sharma","given":"Pradeep"},{"family":"Dube","given":"Divya"},{"family":"Singh","given":"Amar"},{"family":"Mishra","given":"Biswajit"},{"family":"Singh","given":"Nagendra"},{"family":"Sinha","given":"Mau"},{"family":"Dey","given":"Sharmistha"},{"family":"Kaur","given":"Punit"},{"family":"Mitra","given":"Dipendra K."},{"family":"Sharma","given":"Sujata"},{"family":"Singh","given":"Tej P."}],"issued":{"date-parts":[["2011",5,6]]}}}],"schema":"https://github.com/citation-style-language/schema/raw/master/csl-citation.json"} </w:instrText>
      </w:r>
      <w:r>
        <w:fldChar w:fldCharType="separate"/>
      </w:r>
      <w:r w:rsidR="004A1963" w:rsidRPr="004A1963">
        <w:rPr>
          <w:rFonts w:ascii="Calibri" w:hAnsi="Calibri" w:cs="Times New Roman"/>
        </w:rPr>
        <w:t>(239–241)</w:t>
      </w:r>
      <w:r>
        <w:fldChar w:fldCharType="end"/>
      </w:r>
      <w:r>
        <w:t xml:space="preserve">. AMPs represent a systemic immune response with hemocytes acting as important relays between the local and </w:t>
      </w:r>
      <w:r>
        <w:lastRenderedPageBreak/>
        <w:t xml:space="preserve">systemic responses </w:t>
      </w:r>
      <w:r>
        <w:fldChar w:fldCharType="begin"/>
      </w:r>
      <w:r w:rsidR="000A209C">
        <w:instrText xml:space="preserve"> ADDIN ZOTERO_ITEM CSL_CITATION {"citationID":"XNxbp6fJ","properties":{"formattedCitation":"(242)","plainCitation":"(242)","noteIndex":0},"citationItems":[{"id":5,"uris":["http://zotero.org/users/952979/items/52RJXW6Q"],"uri":["http://zotero.org/users/952979/items/52RJXW6Q"],"itemData":{"id":5,"type":"article-journal","title":"Toll-dependent antimicrobial responses in Drosophila larval fat body require Spätzle secreted by haemocytes","container-title":"Journal of Cell Science","page":"4505-4515","volume":"122","issue":"Pt 24","source":"PubMed","abstract":"In Drosophila, the humoral response characterised by the synthesis of antimicrobial peptides (AMPs) in the fat body (the equivalent of the mammalian liver) and the cellular response mediated by haemocytes (blood cells) engaged in phagocytosis represent two major reactions that counter pathogens. Although considerable analysis has permitted the elucidation of mechanisms pertaining to the two responses individually, the mechanism of their coordination has been unclear. To characterise the signals with which infection might be communicated between blood cells and fat body, we ablated circulating haemocytes and defined the parameters of AMP gene activation in larvae. We found that targeted ablation of blood cells influenced the levels of AMP gene expression in the fat body following both septic injury and oral infection. Expression of the AMP gene drosomycin (a Toll target) was blocked when expression of the Toll ligand Spätzle was knocked down in haemocytes. These results show that in larvae, integration of the two responses in a systemic reaction depend on the production of a cytokine (spz), a process that strongly parallels the mammalian immune response.","DOI":"10.1242/jcs.049155","ISSN":"1477-9137","note":"PMID: 19934223\nPMCID: PMC2787462","journalAbbreviation":"J. Cell. Sci.","language":"eng","author":[{"family":"Shia","given":"Alice K. H."},{"family":"Glittenberg","given":"Marcus"},{"family":"Thompson","given":"Gavin"},{"family":"Weber","given":"Alexander N."},{"family":"Reichhart","given":"Jean-Marc"},{"family":"Ligoxygakis","given":"Petros"}],"issued":{"date-parts":[["2009",12,15]]}}}],"schema":"https://github.com/citation-style-language/schema/raw/master/csl-citation.json"} </w:instrText>
      </w:r>
      <w:r>
        <w:fldChar w:fldCharType="separate"/>
      </w:r>
      <w:r w:rsidR="004A1963" w:rsidRPr="004A1963">
        <w:rPr>
          <w:rFonts w:ascii="Calibri" w:hAnsi="Calibri"/>
        </w:rPr>
        <w:t>(242)</w:t>
      </w:r>
      <w:r>
        <w:fldChar w:fldCharType="end"/>
      </w:r>
      <w:r>
        <w:t xml:space="preserve">. This crosstalk works in both directions with numerous tissues capable of activating hemocytes, as shown via Toll signalling </w:t>
      </w:r>
      <w:r>
        <w:fldChar w:fldCharType="begin"/>
      </w:r>
      <w:r w:rsidR="000A209C">
        <w:instrText xml:space="preserve"> ADDIN ZOTERO_ITEM CSL_CITATION {"citationID":"Ywti8wqC","properties":{"formattedCitation":"(243)","plainCitation":"(243)","noteIndex":0},"citationItems":[{"id":1334,"uris":["http://zotero.org/users/952979/items/GVVGNCQ8"],"uri":["http://zotero.org/users/952979/items/GVVGNCQ8"],"itemData":{"id":1334,"type":"article-journal","title":"Control of Drosophila Blood Cell Activation via Toll Signaling in the Fat Body","container-title":"PLoS ONE","page":"e102568","volume":"9","issue":"8","source":"PLoS Journals","abstract":"The Toll signaling pathway, first discovered in Drosophila, has a well-established role in immune responses in insects as well as in mammals. In Drosophila, the Toll-dependent induction of antimicrobial peptide production has been intensely studied as a model for innate immune responses in general. Besides this humoral immune response, Toll signaling is also known to activate blood cells in a reaction that is similar to the cellular immune response to parasite infections, but the mechanisms of this response are poorly understood. Here we have studied this response in detail, and found that Toll signaling in several different tissues can activate a cellular immune defense, and that this response does not require Toll signaling in the blood cells themselves. Like in the humoral immune response, we show that Toll signaling in the fat body (analogous to the liver in vertebrates) is of major importance in the Toll-dependent activation of blood cells. However, this Toll-dependent mechanism of blood cell activation contributes very little to the immune response against the parasitoid wasp, Leptopilina boulardi, probably because the wasp is able to suppress Toll induction. Other redundant pathways may be more important in the defense against this pathogen.","DOI":"10.1371/journal.pone.0102568","journalAbbreviation":"PLoS ONE","author":[{"family":"Schmid","given":"Martin R."},{"family":"Anderl","given":"Ines"},{"family":"Vesala","given":"Laura"},{"family":"Vanha-aho","given":"Leena-Maija"},{"family":"Deng","given":"Xiao-Juan"},{"family":"Rämet","given":"Mika"},{"family":"Hultmark","given":"Dan"}],"issued":{"date-parts":[["2014",8,7]]}}}],"schema":"https://github.com/citation-style-language/schema/raw/master/csl-citation.json"} </w:instrText>
      </w:r>
      <w:r>
        <w:fldChar w:fldCharType="separate"/>
      </w:r>
      <w:r w:rsidR="004A1963" w:rsidRPr="004A1963">
        <w:rPr>
          <w:rFonts w:ascii="Calibri" w:hAnsi="Calibri"/>
        </w:rPr>
        <w:t>(243)</w:t>
      </w:r>
      <w:r>
        <w:fldChar w:fldCharType="end"/>
      </w:r>
      <w:r>
        <w:t xml:space="preserve">. There are several known scavenger receptors including Eater </w:t>
      </w:r>
      <w:r>
        <w:fldChar w:fldCharType="begin"/>
      </w:r>
      <w:r w:rsidR="000A209C">
        <w:instrText xml:space="preserve"> ADDIN ZOTERO_ITEM CSL_CITATION {"citationID":"wQKvzGvn","properties":{"formattedCitation":"(244)","plainCitation":"(244)","noteIndex":0},"citationItems":[{"id":3,"uris":["http://zotero.org/users/952979/items/ZHR7LDMN"],"uri":["http://zotero.org/users/952979/items/ZHR7LDMN"],"itemData":{"id":3,"type":"article-journal","title":"Eater, a transmembrane protein mediating phagocytosis of bacterial pathogens in Drosophila","container-title":"Cell","page":"335-346","volume":"123","issue":"2","source":"PubMed","abstract":"Phagocytosis is a complex, evolutionarily conserved process that plays a central role in host defense against infection. We have identified a predicted transmembrane protein, Eater, which is involved in phagocytosis in Drosophila. Transcriptional silencing of the eater gene in a macrophage cell line led to a significant reduction in the binding and internalization of bacteria. Moreover, the N terminus of the Eater protein mediated direct microbial binding which could be inhibited with scavenger receptor ligands, acetylated, and oxidized low-density lipoprotein. In vivo, eater expression was restricted to blood cells. Flies lacking the eater gene displayed normal responses in NF-kappaB-like Toll and IMD signaling pathways but showed impaired phagocytosis and decreased survival after bacterial infection. Our results suggest that Eater is a major phagocytic receptor for a broad range of bacterial pathogens in Drosophila and provide a powerful model to address the role of phagocytosis in vivo.","DOI":"10.1016/j.cell.2005.08.034","ISSN":"0092-8674","note":"PMID: 16239149","journalAbbreviation":"Cell","language":"eng","author":[{"family":"Kocks","given":"Christine"},{"family":"Cho","given":"Ju Hyun"},{"family":"Nehme","given":"Nadine"},{"family":"Ulvila","given":"Johanna"},{"family":"Pearson","given":"Alan M."},{"family":"Meister","given":"Marie"},{"family":"Strom","given":"Charles"},{"family":"Conto","given":"Stephanie L."},{"family":"Hetru","given":"Charles"},{"family":"Stuart","given":"Lynda M."},{"family":"Stehle","given":"Thilo"},{"family":"Hoffmann","given":"Jules A."},{"family":"Reichhart","given":"Jean-Marc"},{"family":"Ferrandon","given":"Dominique"},{"family":"Rämet","given":"Mika"},{"family":"Ezekowitz","given":"R. Alan B."}],"issued":{"date-parts":[["2005",10,21]]}}}],"schema":"https://github.com/citation-style-language/schema/raw/master/csl-citation.json"} </w:instrText>
      </w:r>
      <w:r>
        <w:fldChar w:fldCharType="separate"/>
      </w:r>
      <w:r w:rsidR="004A1963" w:rsidRPr="004A1963">
        <w:rPr>
          <w:rFonts w:ascii="Calibri" w:hAnsi="Calibri"/>
        </w:rPr>
        <w:t>(244)</w:t>
      </w:r>
      <w:r>
        <w:fldChar w:fldCharType="end"/>
      </w:r>
      <w:r>
        <w:t xml:space="preserve"> and Nimrod </w:t>
      </w:r>
      <w:r>
        <w:fldChar w:fldCharType="begin"/>
      </w:r>
      <w:r w:rsidR="000A209C">
        <w:instrText xml:space="preserve"> ADDIN ZOTERO_ITEM CSL_CITATION {"citationID":"pamvBwnd","properties":{"formattedCitation":"(245)","plainCitation":"(245)","noteIndex":0},"citationItems":[{"id":1880,"uris":["http://zotero.org/users/952979/items/NMGUTBD8"],"uri":["http://zotero.org/users/952979/items/NMGUTBD8"],"itemData":{"id":1880,"type":"article-journal","title":"Nimrod, a putative phagocytosis receptor with EGF repeats in Drosophila plasmatocytes","container-title":"Current biology: CB","page":"649-654","volume":"17","issue":"7","source":"PubMed","abstract":"The hemocytes, the blood cells of Drosophila, participate in the humoral and cellular immune defense reactions against microbes and parasites [1-8]. The plasmatocytes, one class of hemocytes, are phagocytically active and play an important role in immunity and development by removing microorganisms as well as apoptotic cells. On the surface of circulating and sessile plasmatocytes, we have now identified a protein, Nimrod C1 (NimC1), which is involved in the phagocytosis of bacteria. Suppression of NimC1 expression in plasmatocytes inhibited the phagocytosis of Staphylococcus aureus. Conversely, overexpression of NimC1 in S2 cells stimulated the phagocytosis of both S. aureus and Escherichia coli. NimC1 is a 90-100 kDa single-pass transmembrane protein with ten characteristic EGF-like repeats (NIM repeats). The nimC1 gene is part of a cluster of ten related nimrod genes at 34E on chromosome 2, and similar clusters of nimrod-like genes are conserved in other insects such as Anopheles and Apis. The Nimrod proteins are related to other putative phagocytosis receptors such as Eater and Draper from D. melanogaster and CED-1 from C. elegans. Together, they form a superfamily that also includes proteins that are encoded in the human genome.","DOI":"10.1016/j.cub.2007.02.041","ISSN":"0960-9822","note":"PMID: 17363253","journalAbbreviation":"Curr. Biol.","language":"eng","author":[{"family":"Kurucz","given":"Eva"},{"family":"Márkus","given":"Róbert"},{"family":"Zsámboki","given":"János"},{"family":"Folkl-Medzihradszky","given":"Katalin"},{"family":"Darula","given":"Zsuzsanna"},{"family":"Vilmos","given":"Péter"},{"family":"Udvardy","given":"Andor"},{"family":"Krausz","given":"Ildikó"},{"family":"Lukacsovich","given":"Tamás"},{"family":"Gateff","given":"Elisabeth"},{"family":"Zettervall","given":"Carl-Johan"},{"family":"Hultmark","given":"Dan"},{"family":"Andó","given":"István"}],"issued":{"date-parts":[["2007",4,3]]}}}],"schema":"https://github.com/citation-style-language/schema/raw/master/csl-citation.json"} </w:instrText>
      </w:r>
      <w:r>
        <w:fldChar w:fldCharType="separate"/>
      </w:r>
      <w:r w:rsidR="004A1963" w:rsidRPr="004A1963">
        <w:rPr>
          <w:rFonts w:ascii="Calibri" w:hAnsi="Calibri"/>
        </w:rPr>
        <w:t>(245)</w:t>
      </w:r>
      <w:r>
        <w:fldChar w:fldCharType="end"/>
      </w:r>
      <w:r>
        <w:t xml:space="preserve">. Initial data suggested that Crq was not involved in the phagocytosis of bacteria </w:t>
      </w:r>
      <w:r>
        <w:fldChar w:fldCharType="begin"/>
      </w:r>
      <w:r w:rsidR="000A209C">
        <w:instrText xml:space="preserve"> ADDIN ZOTERO_ITEM CSL_CITATION {"citationID":"mF9v4iUQ","properties":{"formattedCitation":"(227)","plainCitation":"(227)","noteIndex":0},"citationItems":[{"id":1450,"uris":["http://zotero.org/users/952979/items/5G2G6FD5"],"uri":["http://zotero.org/users/952979/items/5G2G6FD5"],"itemData":{"id":1450,"type":"article-journal","title":"Requirement for croquemort in phagocytosis of apoptotic cells in Drosophila","container-title":"Science (New York, N.Y.)","page":"1991-1994","volume":"284","issue":"5422","source":"PubMed","abstract":"Macrophages in the Drosophila embryo are responsible for the phagocytosis of apoptotic cells and are competent to engulf bacteria. Croquemort (CRQ) is a CD36-related receptor expressed exclusively on these macrophages. Genetic evidence showed that crq was essential for efficient phagocytosis of apoptotic corpses but was not required for the engulfment of bacteria. The expression of CRQ was regulated by the amount of apoptosis. These data define distinct pathways for the phagocytosis of corpses and bacteria in Drosophila.","ISSN":"0036-8075","note":"PMID: 10373118","journalAbbreviation":"Science","language":"eng","author":[{"family":"Franc","given":"N. C."},{"family":"Heitzler","given":"P."},{"family":"Ezekowitz","given":"R. A."},{"family":"White","given":"K."}],"issued":{"date-parts":[["1999",6,18]]}}}],"schema":"https://github.com/citation-style-language/schema/raw/master/csl-citation.json"} </w:instrText>
      </w:r>
      <w:r>
        <w:fldChar w:fldCharType="separate"/>
      </w:r>
      <w:r w:rsidR="004A1963" w:rsidRPr="004A1963">
        <w:rPr>
          <w:rFonts w:ascii="Calibri" w:hAnsi="Calibri"/>
        </w:rPr>
        <w:t>(227)</w:t>
      </w:r>
      <w:r>
        <w:fldChar w:fldCharType="end"/>
      </w:r>
      <w:r>
        <w:t xml:space="preserve"> but this has recently been challenged, with Crq having been shown to act alongside the Toll and Imd pathways to clear bacterial infections </w:t>
      </w:r>
      <w:r>
        <w:fldChar w:fldCharType="begin"/>
      </w:r>
      <w:r w:rsidR="000A209C">
        <w:instrText xml:space="preserve"> ADDIN ZOTERO_ITEM CSL_CITATION {"citationID":"2Ni8jsWc","properties":{"formattedCitation":"(229)","plainCitation":"(229)","noteIndex":0},"citationItems":[{"id":19,"uris":["http://zotero.org/users/952979/items/N8GP3CH7"],"uri":["http://zotero.org/users/952979/items/N8GP3CH7"],"itemData":{"id":19,"type":"article-journal","title":"The Drosophila CD36 Homologue croquemort Is Required to Maintain Immune and Gut Homeostasis during Development and Aging","container-title":"PLoS Pathogens","volume":"12","issue":"10","source":"PubMed Central","abstract":"Phagocytosis is an ancient mechanism central to both tissue homeostasis and immune defense. Both the identity of the receptors that mediate bacterial phagocytosis and the nature of the interactions between phagocytosis and other defense mechanisms remain elusive. Here, we report that Croquemort (Crq), a Drosophila member of the CD36 family of scavenger receptors, is required for microbial phagocytosis and efficient bacterial clearance. Flies mutant for crq are susceptible to environmental microbes during development and succumb to a variety of microbial infections as adults. Crq acts parallel to the Toll and Imd pathways to eliminate bacteria via phagocytosis. crq mutant flies exhibit enhanced and prolonged immune and cytokine induction accompanied by premature gut dysplasia and decreased lifespan. The chronic state of immune activation in crq mutant flies is further regulated by negative regulators of the Imd pathway. Altogether, our data demonstrate that Crq plays a key role in maintaining immune and organismal homeostasis., Phagocytosis is a first-line host defense mechanism against microbes. Interactions between phagocytosis and other immune mechanisms, such as the humoral response, however, remain elusive. Defective phagocytosis can lead to immune deficiencies and chronic auto-inflammation. Here, we show that Croquemort (Crq), a Drosophila member of the CD36 family of scavenger receptors, plays a role in microbial phagocytosis. Crq is required in phagocytes for efficient uptake of bacteria and fungi, and mutants for crq succumb to both environmental microbes and infections. Crq is also required for phagosome maturation, and crq mutants lack the ability to fully clear bacterial infection. As a result, crq mutant flies enter a state of chronic immune activation. Notably, they show increased production of the cytokine Upd3 that induces intestinal stem cell proliferation. Consequently, crq mutant flies show early signs of gut dysplasia, as well as a shortened lifespan. Altogether, our study demonstrates a new link between phagocytosis and tissue homeostasis, and illustrates how the chronic induction of cytokine production secondary to defective phagocytosis can alter gut homeostasis and shorten lifespan.","URL":"https://www.ncbi.nlm.nih.gov/pmc/articles/PMC5079587/","DOI":"10.1371/journal.ppat.1005961","ISSN":"1553-7366","note":"PMID: 27780230\nPMCID: PMC5079587","journalAbbreviation":"PLoS Pathog","author":[{"family":"Guillou","given":"Aurélien"},{"family":"Troha","given":"Katia"},{"family":"Wang","given":"Hui"},{"family":"Franc","given":"Nathalie C."},{"family":"Buchon","given":"Nicolas"}],"issued":{"date-parts":[["2016",10,25]]},"accessed":{"date-parts":[["2019",1,14]]}}}],"schema":"https://github.com/citation-style-language/schema/raw/master/csl-citation.json"} </w:instrText>
      </w:r>
      <w:r>
        <w:fldChar w:fldCharType="separate"/>
      </w:r>
      <w:r w:rsidR="004A1963" w:rsidRPr="004A1963">
        <w:rPr>
          <w:rFonts w:ascii="Calibri" w:hAnsi="Calibri"/>
        </w:rPr>
        <w:t>(229)</w:t>
      </w:r>
      <w:r>
        <w:fldChar w:fldCharType="end"/>
      </w:r>
      <w:r>
        <w:t xml:space="preserve">. </w:t>
      </w:r>
      <w:r>
        <w:rPr>
          <w:i/>
        </w:rPr>
        <w:t>Drosophila</w:t>
      </w:r>
      <w:r>
        <w:t xml:space="preserve"> integrin and CD36 (Crq) have been shown to recognise </w:t>
      </w:r>
      <w:r>
        <w:rPr>
          <w:i/>
        </w:rPr>
        <w:t xml:space="preserve">S. aureus </w:t>
      </w:r>
      <w:r>
        <w:t xml:space="preserve">and phagocytose this bacterium </w:t>
      </w:r>
      <w:r>
        <w:fldChar w:fldCharType="begin"/>
      </w:r>
      <w:r w:rsidR="000A209C">
        <w:instrText xml:space="preserve"> ADDIN ZOTERO_ITEM CSL_CITATION {"citationID":"0XLthmhU","properties":{"formattedCitation":"(246,247)","plainCitation":"(246,247)","noteIndex":0},"citationItems":[{"id":1449,"uris":["http://zotero.org/users/952979/items/SRGMAR7J"],"uri":["http://zotero.org/users/952979/items/SRGMAR7J"],"itemData":{"id":1449,"type":"article-journal","title":"Independent recognition of Staphylococcus aureus by two receptors for phagocytosis in Drosophila","container-title":"The Journal of Biological Chemistry","page":"21663-21672","volume":"287","issue":"26","source":"PubMed","abstract":"Integrin βν, one of two β subunits of Drosophila integrin, acts as a receptor in the phagocytosis of apoptotic cells. We here examined the involvement of this receptor in defense against infection by Staphylococcus aureus. Flies lacking integrin βν died earlier than control flies upon a septic but not oral infection with this bacterium. A loss of integrin βν reduced the phagocytosis of S. aureus and increased bacterial growth in flies. In contrast, the level of mRNA of an antimicrobial peptide produced upon infection was unchanged in integrin βν-lacking flies. The simultaneous loss of integrin βν and Draper, another receptor involved in the phagocytosis of S. aureus, brought about a further decrease in the level of phagocytosis and accelerated death of flies compared with the loss of either receptor alone. A strain of S. aureus lacking lipoteichoic acid, a cell wall component serving as a ligand for Draper, was susceptible to integrin βν-mediated phagocytosis. In contrast, a S. aureus mutant strain that produces small amounts of peptidoglycan was less efficiently phagocytosed by larval hemocytes, and a loss of integrin βν in hemocytes reduced a difference in the susceptibility to phagocytosis between parental and mutant strains. Furthermore, a series of experiments revealed the binding of integrin βν to peptidoglycan of S. aureus. Taken together, these results suggested that Draper and integrin βν cooperate in the phagocytic elimination of S. aureus by recognizing distinct cell wall components, and that this dual recognition system is necessary for the host organism to survive infection.","DOI":"10.1074/jbc.M111.333807","ISSN":"1083-351X","note":"PMID: 22547074\nPMCID: PMC3381130","journalAbbreviation":"J. Biol. Chem.","language":"eng","author":[{"family":"Shiratsuchi","given":"Akiko"},{"family":"Mori","given":"Toshinobu"},{"family":"Sakurai","given":"Kenji"},{"family":"Nagaosa","given":"Kaz"},{"family":"Sekimizu","given":"Kazuhisa"},{"family":"Lee","given":"Bok Luel"},{"family":"Nakanishi","given":"Yoshinobu"}],"issued":{"date-parts":[["2012",6,22]]}}},{"id":1336,"uris":["http://zotero.org/users/952979/items/NBNAP5UE"],"uri":["http://zotero.org/users/952979/items/NBNAP5UE"],"itemData":{"id":1336,"type":"article-journal","title":"Response to Staphylococcus aureus requires CD36-mediated phagocytosis triggered by the COOH-terminal cytoplasmic domain","container-title":"The Journal of Cell Biology","page":"477-485","volume":"170","issue":"3","source":"jcb.rupress.org","abstract":"Phagocyte recognition and clearance of bacteria play essential roles in the host response to infection. In an on-going forward genetic screen, we identify the Drosophila melanogaster scavenger receptor Croquemort as a receptor for Staphylococcus aureus, implicating for the first time the CD36 family as phagocytic receptors for bacteria. In transfection assays, the mammalian Croquemort paralogue CD36 confers binding and internalization of Gram-positive and, to a lesser extent, Gram-negative bacteria. By mutational analysis, we show that internalization of S. aureus and its component lipoteichoic acid requires the COOH-terminal cytoplasmic portion of CD36, specifically Y463 and C464, which activates Toll-like receptor (TLR) 2/6 signaling. Macrophages lacking CD36 demonstrate reduced internalization of S. aureus and its component lipoteichoic acid, accompanied by a marked defect in tumor necrosis factor-α and IL-12 production. As a result, Cd36−/− mice fail to efficiently clear S. aureus in vivo resulting in profound bacteraemia. Thus, response to S. aureus requires CD36-mediated phagocytosis triggered by the COOH-terminal cytoplasmic domain, which initiates TLR2/6 signaling.","DOI":"10.1083/jcb.200501113","ISSN":"0021-9525, 1540-8140","note":"PMID: 16061696","journalAbbreviation":"J Cell Biol","language":"en","author":[{"family":"Stuart","given":"Lynda M."},{"family":"Deng","given":"Jiusheng"},{"family":"Silver","given":"Jessica M."},{"family":"Takahashi","given":"Kazue"},{"family":"Tseng","given":"Anita A."},{"family":"Hennessy","given":"Elizabeth J."},{"family":"Ezekowitz","given":"R. Alan B."},{"family":"Moore","given":"Kathryn J."}],"issued":{"date-parts":[["2005",8,1]]}}}],"schema":"https://github.com/citation-style-language/schema/raw/master/csl-citation.json"} </w:instrText>
      </w:r>
      <w:r>
        <w:fldChar w:fldCharType="separate"/>
      </w:r>
      <w:r w:rsidR="004A1963" w:rsidRPr="004A1963">
        <w:rPr>
          <w:rFonts w:ascii="Calibri" w:hAnsi="Calibri"/>
        </w:rPr>
        <w:t>(246,247)</w:t>
      </w:r>
      <w:r>
        <w:fldChar w:fldCharType="end"/>
      </w:r>
      <w:r>
        <w:t xml:space="preserve">. </w:t>
      </w:r>
    </w:p>
    <w:p w14:paraId="34803A17" w14:textId="77777777" w:rsidR="001D1AB8" w:rsidRDefault="001D1AB8" w:rsidP="001D1AB8">
      <w:pPr>
        <w:pStyle w:val="Thesisnormal"/>
      </w:pPr>
    </w:p>
    <w:p w14:paraId="3641636D" w14:textId="00924DC1" w:rsidR="001D1AB8" w:rsidRDefault="001D1AB8" w:rsidP="001D1AB8">
      <w:pPr>
        <w:pStyle w:val="Thesisnormal"/>
      </w:pPr>
      <w:r w:rsidRPr="00845F39">
        <w:t>Recruitment</w:t>
      </w:r>
      <w:r>
        <w:t xml:space="preserve"> of hemocytes to sites of injury has been shown to share similarities to mammalian immune cell recruitment to sites of inflammation </w:t>
      </w:r>
      <w:r>
        <w:fldChar w:fldCharType="begin"/>
      </w:r>
      <w:r w:rsidR="000A209C">
        <w:instrText xml:space="preserve"> ADDIN ZOTERO_ITEM CSL_CITATION {"citationID":"iAG5paZ0","properties":{"formattedCitation":"(248)","plainCitation":"(248)","noteIndex":0},"citationItems":[{"id":1408,"uris":["http://zotero.org/users/952979/items/8V5NZCDI"],"uri":["http://zotero.org/users/952979/items/8V5NZCDI"],"itemData":{"id":1408,"type":"article-journal","title":"Live imaging of wound inflammation in Drosophila embryos reveals key roles for small GTPases during in vivo cell migration","container-title":"The Journal of Cell Biology","page":"567-573","volume":"168","issue":"4","source":"PubMed","abstract":"Aa robust inflammatory response to tissue damage and infection is conserved across almost all animal phyla. Neutrophils and macrophages, or their equivalents, are drawn to the wound site where they engulf cell and matrix debris and release signals that direct components of the repair process. This orchestrated cell migration is clinically important, and yet, to date, leukocyte chemotaxis has largely been studied in vitro. Here, we describe a genetically tractable in vivo wound model of inflammation in the Drosophila melanogaster embryo that is amenable to cinemicroscopy. For the first time, we are able to examine the roles of Rho-family small GTPases during inflammation in vivo and show that Rac-mediated lamellae are essential for hemocyte motility and Rho signaling is necessary for cells to retract from sites of matrix- and cell-cell contacts. Cdc42 is necessary for maintaining cellular polarity and yet, despite in vitro evidence, is dispensable for sensing and crawling toward wound cues.","DOI":"10.1083/jcb.200405120","ISSN":"0021-9525","note":"PMID: 15699212\nPMCID: PMC2171743","journalAbbreviation":"J. Cell Biol.","language":"eng","author":[{"family":"Stramer","given":"Brian"},{"family":"Wood","given":"Will"},{"family":"Galko","given":"Michael J."},{"family":"Redd","given":"Michael J."},{"family":"Jacinto","given":"Antonio"},{"family":"Parkhurst","given":"Susan M."},{"family":"Martin","given":"Paul"}],"issued":{"date-parts":[["2005",2,14]]}}}],"schema":"https://github.com/citation-style-language/schema/raw/master/csl-citation.json"} </w:instrText>
      </w:r>
      <w:r>
        <w:fldChar w:fldCharType="separate"/>
      </w:r>
      <w:r w:rsidR="004A1963" w:rsidRPr="004A1963">
        <w:rPr>
          <w:rFonts w:ascii="Calibri" w:hAnsi="Calibri"/>
        </w:rPr>
        <w:t>(248)</w:t>
      </w:r>
      <w:r>
        <w:fldChar w:fldCharType="end"/>
      </w:r>
      <w:r>
        <w:t>, for example following aseptic or septic injury, unpaired 3 (</w:t>
      </w:r>
      <w:r>
        <w:rPr>
          <w:i/>
        </w:rPr>
        <w:t>Upd3)</w:t>
      </w:r>
      <w:r>
        <w:t xml:space="preserve"> (a </w:t>
      </w:r>
      <w:r>
        <w:rPr>
          <w:i/>
        </w:rPr>
        <w:t>Drosophila</w:t>
      </w:r>
      <w:r>
        <w:t xml:space="preserve"> equivalent of vertebrate interleukins) is up-regulated in hemocytes </w:t>
      </w:r>
      <w:r>
        <w:fldChar w:fldCharType="begin"/>
      </w:r>
      <w:r w:rsidR="000A209C">
        <w:instrText xml:space="preserve"> ADDIN ZOTERO_ITEM CSL_CITATION {"citationID":"r1pusGeO","properties":{"formattedCitation":"(249,250)","plainCitation":"(249,250)","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id":1469,"uris":["http://zotero.org/users/952979/items/57JGAX4E"],"uri":["http://zotero.org/users/952979/items/57JGAX4E"],"itemData":{"id":1469,"type":"article-journal","title":"Signaling role of hemocytes in Drosophila JAK/STAT-dependent response to septic injury","container-title":"Developmental Cell","page":"441-450","volume":"5","issue":"3","source":"PubMed","abstract":"To characterize the features of JAK/STAT signaling in Drosophila immune response, we have identified totA as a gene that is regulated by the JAK/STAT pathway in response to septic injury. We show that septic injury triggers the hemocyte-specific expression of upd3, a gene encoding a novel Upd-like cytokine that is necessary for the JAK/STAT-dependent activation of totA in the Drosophila counterpart of the mammalian liver, the fat body. In addition, we demonstrate that totA activation also requires the NF-KB-like Relish pathway, indicating that fat body cells integrate the activity of NF-KB and JAK/STAT signaling pathways upon immune response. This study reveals that, in addition to the pattern recognition receptor-mediated NF-KB-dependent immune response, Drosophila undergoes a complex systemic response that is mediated by the production of cytokines in blood cells, a process that is similar to the acute phase response in mammals.","ISSN":"1534-5807","note":"PMID: 12967563","journalAbbreviation":"Dev. Cell","language":"eng","author":[{"family":"Agaisse","given":"Hervé"},{"family":"Petersen","given":"Ulla Maja"},{"family":"Boutros","given":"Michael"},{"family":"Mathey-Prevot","given":"Bernard"},{"family":"Perrimon","given":"Norbert"}],"issued":{"date-parts":[["2003",9]]}}}],"schema":"https://github.com/citation-style-language/schema/raw/master/csl-citation.json"} </w:instrText>
      </w:r>
      <w:r>
        <w:fldChar w:fldCharType="separate"/>
      </w:r>
      <w:r w:rsidR="004A1963" w:rsidRPr="004A1963">
        <w:rPr>
          <w:rFonts w:ascii="Calibri" w:hAnsi="Calibri"/>
        </w:rPr>
        <w:t>(249,250)</w:t>
      </w:r>
      <w:r>
        <w:fldChar w:fldCharType="end"/>
      </w:r>
      <w:r>
        <w:t xml:space="preserve">. Following laser ablation of the epithelium , there is a rapid migration of hemocytes to such wound sites where they phagocytose cellular debris </w:t>
      </w:r>
      <w:r>
        <w:fldChar w:fldCharType="begin"/>
      </w:r>
      <w:r w:rsidR="000A209C">
        <w:instrText xml:space="preserve"> ADDIN ZOTERO_ITEM CSL_CITATION {"citationID":"GAE2xyIl","properties":{"formattedCitation":"(248)","plainCitation":"(248)","noteIndex":0},"citationItems":[{"id":1408,"uris":["http://zotero.org/users/952979/items/8V5NZCDI"],"uri":["http://zotero.org/users/952979/items/8V5NZCDI"],"itemData":{"id":1408,"type":"article-journal","title":"Live imaging of wound inflammation in Drosophila embryos reveals key roles for small GTPases during in vivo cell migration","container-title":"The Journal of Cell Biology","page":"567-573","volume":"168","issue":"4","source":"PubMed","abstract":"Aa robust inflammatory response to tissue damage and infection is conserved across almost all animal phyla. Neutrophils and macrophages, or their equivalents, are drawn to the wound site where they engulf cell and matrix debris and release signals that direct components of the repair process. This orchestrated cell migration is clinically important, and yet, to date, leukocyte chemotaxis has largely been studied in vitro. Here, we describe a genetically tractable in vivo wound model of inflammation in the Drosophila melanogaster embryo that is amenable to cinemicroscopy. For the first time, we are able to examine the roles of Rho-family small GTPases during inflammation in vivo and show that Rac-mediated lamellae are essential for hemocyte motility and Rho signaling is necessary for cells to retract from sites of matrix- and cell-cell contacts. Cdc42 is necessary for maintaining cellular polarity and yet, despite in vitro evidence, is dispensable for sensing and crawling toward wound cues.","DOI":"10.1083/jcb.200405120","ISSN":"0021-9525","note":"PMID: 15699212\nPMCID: PMC2171743","journalAbbreviation":"J. Cell Biol.","language":"eng","author":[{"family":"Stramer","given":"Brian"},{"family":"Wood","given":"Will"},{"family":"Galko","given":"Michael J."},{"family":"Redd","given":"Michael J."},{"family":"Jacinto","given":"Antonio"},{"family":"Parkhurst","given":"Susan M."},{"family":"Martin","given":"Paul"}],"issued":{"date-parts":[["2005",2,14]]}}}],"schema":"https://github.com/citation-style-language/schema/raw/master/csl-citation.json"} </w:instrText>
      </w:r>
      <w:r>
        <w:fldChar w:fldCharType="separate"/>
      </w:r>
      <w:r w:rsidR="004A1963" w:rsidRPr="004A1963">
        <w:rPr>
          <w:rFonts w:ascii="Calibri" w:hAnsi="Calibri"/>
        </w:rPr>
        <w:t>(248)</w:t>
      </w:r>
      <w:r>
        <w:fldChar w:fldCharType="end"/>
      </w:r>
      <w:r>
        <w:t xml:space="preserve">. Wound signals appear highly conserved across evolution </w:t>
      </w:r>
      <w:r>
        <w:fldChar w:fldCharType="begin"/>
      </w:r>
      <w:r w:rsidR="000A209C">
        <w:instrText xml:space="preserve"> ADDIN ZOTERO_ITEM CSL_CITATION {"citationID":"ZjJ6AETf","properties":{"formattedCitation":"(151)","plainCitation":"(151)","noteIndex":0},"citationItems":[{"id":1230,"uris":["http://zotero.org/users/952979/items/9G59Q34B"],"uri":["http://zotero.org/users/952979/items/9G59Q34B"],"itemData":{"id":1230,"type":"article-journal","title":"The early wound signals","container-title":"Current Opinion in Genetics &amp; Development","collection-title":"Cell reprogramming, regeneration and repair","page":"17-22","volume":"40","source":"ScienceDirect","abstract":"Wounding of tissue barriers, such as epithelia, disrupts homeostasis and allows infection. Within minutes, animals detect injury and respond to it by recruitment of phagocytes and barrier breach closure. The signals that activate these first events are scarcely known. Commonly considered are cytoplasmic factors released into the extracellular space by lysing cells (Damage Associated Molecular Patterns, DAMPs). DAMPs activate inflammatory gene transcription through pattern recognition receptors. But the promptness of wound responses is difficult to explain by transcriptional mechanisms alone. This review highlights the emerging role of nonlytic stress signals in the rapid detection of wounds.","DOI":"10.1016/j.gde.2016.05.001","ISSN":"0959-437X","journalAbbreviation":"Current Opinion in Genetics &amp; Development","author":[{"family":"Niethammer","given":"Philipp"}],"issued":{"date-parts":[["2016",10]]}}}],"schema":"https://github.com/citation-style-language/schema/raw/master/csl-citation.json"} </w:instrText>
      </w:r>
      <w:r>
        <w:fldChar w:fldCharType="separate"/>
      </w:r>
      <w:r w:rsidR="004A1963" w:rsidRPr="004A1963">
        <w:rPr>
          <w:rFonts w:ascii="Calibri" w:hAnsi="Calibri"/>
        </w:rPr>
        <w:t>(151)</w:t>
      </w:r>
      <w:r>
        <w:fldChar w:fldCharType="end"/>
      </w:r>
      <w:r>
        <w:t xml:space="preserve">; following wounding there is a calcium flash within local epidermal cells which spreads out from the wound edge </w:t>
      </w:r>
      <w:r>
        <w:fldChar w:fldCharType="begin"/>
      </w:r>
      <w:r w:rsidR="000A209C">
        <w:instrText xml:space="preserve"> ADDIN ZOTERO_ITEM CSL_CITATION {"citationID":"ZXSs8wkP","properties":{"formattedCitation":"(251)","plainCitation":"(251)","noteIndex":0},"citationItems":[{"id":1086,"uris":["http://zotero.org/users/952979/items/CNMFRE8U"],"uri":["http://zotero.org/users/952979/items/CNMFRE8U"],"itemData":{"id":1086,"type":"article-journal","title":"Calcium flashes orchestrate the wound inflammatory response through DUOX activation and hydrogen peroxide release","container-title":"Current biology: CB","page":"424-429","volume":"23","issue":"5","source":"PubMed","abstract":"A crucial early wound response is the recruitment of inflammatory cells drawn by danger cues released by the damaged tissue. Hydrogen peroxide (H2O2) has recently been identified as the earliest wound attractant in Drosophila embryos and zebrafish larvae. The H2O2 signal is generated by activation of an NADPH oxidase, DUOX, and as a consequence, the first inflammatory cells are recruited to the wound within minutes. To date, nothing is known about how wounding activates DUOX. Here, we show that laser wounding of the Drosophila embryo epidermis triggers an instantaneous calcium flash, which travels as a wave via gap junctions several cell rows back from the wound edge. Blocking this calcium flash inhibits H2O2 release at the wound site and leads to a reduction in the number of immune cells migrating to the wound. We suggest that the wound-induced calcium flash activates DUOX via an EF hand calcium-binding motif and thus triggers the production of the attractant damage cue H2O2. Therefore, calcium represents the earliest signal in the wound inflammatory response.","DOI":"10.1016/j.cub.2013.01.058","ISSN":"1879-0445","note":"PMID: 23394834\nPMCID: PMC3629559","journalAbbreviation":"Curr. Biol.","language":"eng","author":[{"family":"Razzell","given":"William"},{"family":"Evans","given":"Iwan Robert"},{"family":"Martin","given":"Paul"},{"family":"Wood","given":"Will"}],"issued":{"date-parts":[["2013",3,4]]}}}],"schema":"https://github.com/citation-style-language/schema/raw/master/csl-citation.json"} </w:instrText>
      </w:r>
      <w:r>
        <w:fldChar w:fldCharType="separate"/>
      </w:r>
      <w:r w:rsidR="004A1963" w:rsidRPr="004A1963">
        <w:rPr>
          <w:rFonts w:ascii="Calibri" w:hAnsi="Calibri"/>
        </w:rPr>
        <w:t>(251)</w:t>
      </w:r>
      <w:r>
        <w:fldChar w:fldCharType="end"/>
      </w:r>
      <w:r>
        <w:t>. This elevated cytoplasmic calcium signals through the EF-hand calcium-binding domain on Dual Oxidase (DUOX), resulting in the production of hydrogen peroxide. This H</w:t>
      </w:r>
      <w:r>
        <w:rPr>
          <w:vertAlign w:val="subscript"/>
        </w:rPr>
        <w:t>2</w:t>
      </w:r>
      <w:r>
        <w:t>O</w:t>
      </w:r>
      <w:r>
        <w:rPr>
          <w:vertAlign w:val="subscript"/>
        </w:rPr>
        <w:t>2</w:t>
      </w:r>
      <w:r>
        <w:t xml:space="preserve"> is hypothesised to form a gradient from the wound site and is chemotactic for hemocytes </w:t>
      </w:r>
      <w:r>
        <w:fldChar w:fldCharType="begin"/>
      </w:r>
      <w:r w:rsidR="000A209C">
        <w:instrText xml:space="preserve"> ADDIN ZOTERO_ITEM CSL_CITATION {"citationID":"pq1r5tML","properties":{"formattedCitation":"(152,224)","plainCitation":"(152,224)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id":1448,"uris":["http://zotero.org/users/952979/items/INVXV64F"],"uri":["http://zotero.org/users/952979/items/INVXV64F"],"itemData":{"id":1448,"type":"article-journal","title":"A tissue-scale gradient of hydrogen peroxide mediates rapid wound detection in zebrafish","container-title":"Nature","page":"996-999","volume":"459","issue":"7249","source":"PubMed","abstract":"Barrier structures (for example, epithelia around tissues and plasma membranes around cells) are required for internal homeostasis and protection from pathogens. Wound detection and healing represent a dormant morphogenetic program that can be rapidly executed to restore barrier integrity and tissue homeostasis. In animals, initial steps include recruitment of leukocytes to the site of injury across distances of hundreds of micrometres within minutes of wounding. The spatial signals that direct this immediate tissue response are unknown. Owing to their fast diffusion and versatile biological activities, reactive oxygen species, including hydrogen peroxide (H(2)O(2)), are interesting candidates for wound-to-leukocyte signalling. Here we probe the role of H(2)O(2) during the early events of wound responses in zebrafish larvae expressing a genetically encoded H(2)O(2) sensor. This reporter revealed a sustained rise in H(2)O(2) concentration at the wound margin, starting approximately 3 min after wounding and peaking at approximately 20 min, which extended approximately 100-200 microm into the tail-fin epithelium as a decreasing concentration gradient. Using pharmacological and genetic inhibition, we show that this gradient is created by dual oxidase (Duox), and that it is required for rapid recruitment of leukocytes to the wound. This is the first observation, to our knowledge, of a tissue-scale H(2)O(2) pattern, and the first evidence that H(2)O(2) signals to leukocytes in tissues, in addition to its known antiseptic role.","DOI":"10.1038/nature08119","ISSN":"1476-4687","note":"PMID: 19494811\nPMCID: PMC2803098","journalAbbreviation":"Nature","language":"eng","author":[{"family":"Niethammer","given":"Philipp"},{"family":"Grabher","given":"Clemens"},{"family":"Look","given":"A. Thomas"},{"family":"Mitchison","given":"Timothy J."}],"issued":{"date-parts":[["2009",6,18]]}}}],"schema":"https://github.com/citation-style-language/schema/raw/master/csl-citation.json"} </w:instrText>
      </w:r>
      <w:r>
        <w:fldChar w:fldCharType="separate"/>
      </w:r>
      <w:r w:rsidR="004A1963" w:rsidRPr="004A1963">
        <w:rPr>
          <w:rFonts w:ascii="Calibri" w:hAnsi="Calibri"/>
        </w:rPr>
        <w:t>(152,224)</w:t>
      </w:r>
      <w:r>
        <w:fldChar w:fldCharType="end"/>
      </w:r>
      <w:r>
        <w:t>; However, this has been recently disputed where it has been shown by computational modelling of wound cues that the chemoattractant cue diffuses at a reduced rate compared to H</w:t>
      </w:r>
      <w:r>
        <w:rPr>
          <w:vertAlign w:val="subscript"/>
        </w:rPr>
        <w:t>2</w:t>
      </w:r>
      <w:r>
        <w:t>O</w:t>
      </w:r>
      <w:r>
        <w:rPr>
          <w:vertAlign w:val="subscript"/>
        </w:rPr>
        <w:t>2</w:t>
      </w:r>
      <w:r>
        <w:t>, suggesting that H</w:t>
      </w:r>
      <w:r>
        <w:rPr>
          <w:vertAlign w:val="subscript"/>
        </w:rPr>
        <w:t>2</w:t>
      </w:r>
      <w:r>
        <w:t>O</w:t>
      </w:r>
      <w:r>
        <w:rPr>
          <w:vertAlign w:val="subscript"/>
        </w:rPr>
        <w:t>2</w:t>
      </w:r>
      <w:r>
        <w:t xml:space="preserve"> cannot be the chemoattractant cue </w:t>
      </w:r>
      <w:r>
        <w:fldChar w:fldCharType="begin"/>
      </w:r>
      <w:r w:rsidR="000A209C">
        <w:instrText xml:space="preserve"> ADDIN ZOTERO_ITEM CSL_CITATION {"citationID":"fhayK4QE","properties":{"formattedCitation":"(252)","plainCitation":"(252)","noteIndex":0},"citationItems":[{"id":1568,"uris":["http://zotero.org/users/952979/items/K4ZBKV75"],"uri":["http://zotero.org/users/952979/items/K4ZBKV75"],"itemData":{"id":1568,"type":"article-journal","title":"Systems Analysis of the Dynamic Inflammatory Response to Tissue Damage Reveals Spatiotemporal Properties of the Wound Attractant Gradient","container-title":"Current Biology","page":"1975-1989","volume":"26","issue":"15","source":"PubMed Central","abstract":"•\n              Computational modeling of in vivo inflammatory response to tissue damage is applied\n            \n            \n              •\n              The model infers novel spatiotemporal properties of the wound attractant gradient\n            \n            \n              •\n              Wound signal is released from the wound edge for 30 min and diffuses at 200 μm2/min\n            \n            \n              •\n              Modeling two competing wounds reveals a period of immune cell desensitization\n            \n          \n        , Weavers et al. use Bayesian modeling of the inflammatory response to tissue damage in Drosophila to extract novel spatiotemporal properties of the wound attractant, including its diffusion coefficient, duration, and source of signal production. Modeling the response to two competing attractants uncovers a period of immune cell desensitization.","DOI":"10.1016/j.cub.2016.06.012","ISSN":"0960-9822","note":"PMID: 27426513\nPMCID: PMC4985561","journalAbbreviation":"Curr Biol","author":[{"family":"Weavers","given":"Helen"},{"family":"Liepe","given":"Juliane"},{"family":"Sim","given":"Aaron"},{"family":"Wood","given":"Will"},{"family":"Martin","given":"Paul"},{"family":"Stumpf","given":"Michael P.H."}],"issued":{"date-parts":[["2016",8,8]]}}}],"schema":"https://github.com/citation-style-language/schema/raw/master/csl-citation.json"} </w:instrText>
      </w:r>
      <w:r>
        <w:fldChar w:fldCharType="separate"/>
      </w:r>
      <w:r w:rsidR="004A1963" w:rsidRPr="004A1963">
        <w:rPr>
          <w:rFonts w:ascii="Calibri" w:hAnsi="Calibri"/>
        </w:rPr>
        <w:t>(252)</w:t>
      </w:r>
      <w:r>
        <w:fldChar w:fldCharType="end"/>
      </w:r>
      <w:r>
        <w:t xml:space="preserve">. Unfortunately, this study does not progress to demonstrate what the true chemoattractant cue may be experimentally. Hemocytes require Src42A, a Src family kinase, to respond to wounds </w:t>
      </w:r>
      <w:r>
        <w:fldChar w:fldCharType="begin"/>
      </w:r>
      <w:r w:rsidR="000A209C">
        <w:instrText xml:space="preserve"> ADDIN ZOTERO_ITEM CSL_CITATION {"citationID":"nPcajFM8","properties":{"formattedCitation":"(253)","plainCitation":"(253)","noteIndex":0},"citationItems":[{"id":1084,"uris":["http://zotero.org/users/952979/items/MDDCU7XU"],"uri":["http://zotero.org/users/952979/items/MDDCU7XU"],"itemData":{"id":1084,"type":"article-journal","title":"Draper/CED-1 mediates an ancient damage response to control inflammatory blood cell migration in vivo","container-title":"Current biology: CB","page":"1606-1612","volume":"25","issue":"12","source":"PubMed","abstract":"Tissue damage leads to a robust and rapid inflammatory response whereby leukocytes are actively drawn toward the wound. Hydrogen peroxide (H2O2) has been shown to be an immediate damage signal essential for the recruitment of these inflammatory blood cells to wound sites in both Drosophila and vertebrates [1, 2]. Recent studies in zebrafish have shown that wound-induced H2O2 is detected by the redox-sensitive Src family kinase (SFK) Lyn within the responding blood cells [3]. Here, we show the same signaling occurs in Drosophila inflammatory cells in response to wound-induced H2O2 with mutants for the Lyn homolog Src42A displaying impaired inflammatory migration to wounds. We go on to show that activation of Src42A is necessary to trigger a signaling cascade within the inflammatory cells involving the ITAM domain-containing protein Draper-I (a member of the CED-1 family of apoptotic cell clearance receptors) and a downstream kinase, Shark, that is required for migration to wounds. The Src42A-Draper-Shark-mediated signaling axis is homologous to the well-established SFK-ITAM-Syk-signaling pathway used in vertebrate adaptive immune responses. Consequently, our results suggest that adaptive immunoreceptor-signaling pathways important in distinguishing self from non-self appear to have evolved from a more-ancient damage response. Furthermore, this changes the role of H2O2 from an inflammatory chemoattractant to an activator signal that primes immune cells to respond to damage cues via the activation of damage receptors such as Draper.","DOI":"10.1016/j.cub.2015.04.037","ISSN":"1879-0445","note":"PMID: 26028435\nPMCID: PMC4503800","journalAbbreviation":"Curr. Biol.","language":"eng","author":[{"family":"Evans","given":"Iwan Robert"},{"family":"Rodrigues","given":"Frederico S. L. M."},{"family":"Armitage","given":"Emma Louise"},{"family":"Wood","given":"Will"}],"issued":{"date-parts":[["2015",6,15]]}}}],"schema":"https://github.com/citation-style-language/schema/raw/master/csl-citation.json"} </w:instrText>
      </w:r>
      <w:r>
        <w:fldChar w:fldCharType="separate"/>
      </w:r>
      <w:r w:rsidR="004A1963" w:rsidRPr="004A1963">
        <w:rPr>
          <w:rFonts w:ascii="Calibri" w:hAnsi="Calibri"/>
        </w:rPr>
        <w:t>(253)</w:t>
      </w:r>
      <w:r>
        <w:fldChar w:fldCharType="end"/>
      </w:r>
      <w:r>
        <w:t>. Src42A is thought to phosphorylate a critical tyrosine residue in the ITAM (</w:t>
      </w:r>
      <w:r>
        <w:rPr>
          <w:rStyle w:val="ilfuvd"/>
        </w:rPr>
        <w:t>immunoreceptor tyrosine-based activation motif</w:t>
      </w:r>
      <w:r>
        <w:t xml:space="preserve">) of Draper, leading to the activation of Shark. Demonstrating a form of immune memory, Draper has been shown to be induced by exposure to apoptotic cell engulfment, suggesting that hemocyte are required to perform vital developmental roles before they are capable of responding to wounds, although this remains to be conclusively proven </w:t>
      </w:r>
      <w:r>
        <w:fldChar w:fldCharType="begin"/>
      </w:r>
      <w:r w:rsidR="000A209C">
        <w:instrText xml:space="preserve"> ADDIN ZOTERO_ITEM CSL_CITATION {"citationID":"AhhySVMc","properties":{"formattedCitation":"(232)","plainCitation":"(232)","noteIndex":0},"citationItems":[{"id":1214,"uris":["http://zotero.org/users/952979/items/7CHK2E4X"],"uri":["http://zotero.org/users/952979/items/7CHK2E4X"],"itemData":{"id":1214,"type":"article-journal","title":"Corpse Engulfment Generates a Molecular Memory that Primes the Macrophage Inflammatory Response","container-title":"Cell","page":"1658-1671","volume":"165","issue":"7","source":"PubMed Central","abstract":"Macrophages are multifunctional cells that perform diverse roles in health and disease. Emerging evidence has suggested that these innate immune cells might also be capable of developing immunological memory, a trait previously associated with the adaptive system alone. While recent studies have focused on the dramatic macrophage reprogramming that follows infection and protects against secondary microbial attack, can macrophages also develop memory in response to other cues? Here, we show that apoptotic corpse engulfment by Drosophila macrophages is an essential primer for their inflammatory response to tissue damage and infection in vivo. Priming is triggered via calcium-induced JNK signaling, which leads to upregulation of the damage receptor Draper, thus providing a molecular memory that allows the cell to rapidly respond to subsequent injury or infection. This remarkable plasticity and capacity for memory places macrophages as key therapeutic targets for treatment of inflammatory disorders., \n          \n            \n              •\n              Phagocytosis of apoptotic cells primes macrophages for future inflammatory response\n            \n            \n              •\n              Naive macrophages are insensitive to tissue damage and bacterial infection\n            \n            \n              •\n              Corpse uptake triggers macrophage calcium bursts that potentiate priming\n            \n            \n              •\n              Calcium-induced JNK primes macrophages by upregulating the damage receptor Draper\n            \n          \n        , Macrophages that consume apoptotic corpses during fly development become primed for inflammatory responses later in life, establishing a form of molecular memory that aids in the response to bacterial infection and tissue damage.","DOI":"10.1016/j.cell.2016.04.049","ISSN":"0092-8674","note":"PMID: 27212238\nPMCID: PMC4912690","journalAbbreviation":"Cell","author":[{"family":"Weavers","given":"Helen"},{"family":"Evans","given":"Iwan R."},{"family":"Martin","given":"Paul"},{"family":"Wood","given":"Will"}],"issued":{"date-parts":[["2016",6,16]]}}}],"schema":"https://github.com/citation-style-language/schema/raw/master/csl-citation.json"} </w:instrText>
      </w:r>
      <w:r>
        <w:fldChar w:fldCharType="separate"/>
      </w:r>
      <w:r w:rsidR="004A1963" w:rsidRPr="004A1963">
        <w:rPr>
          <w:rFonts w:ascii="Calibri" w:hAnsi="Calibri"/>
        </w:rPr>
        <w:t>(232)</w:t>
      </w:r>
      <w:r>
        <w:fldChar w:fldCharType="end"/>
      </w:r>
      <w:r>
        <w:t xml:space="preserve">. </w:t>
      </w:r>
    </w:p>
    <w:p w14:paraId="678B4E4F" w14:textId="77777777" w:rsidR="00BA62FD" w:rsidRDefault="00BA62FD" w:rsidP="001D1AB8">
      <w:pPr>
        <w:pStyle w:val="Thesisnormal"/>
      </w:pPr>
    </w:p>
    <w:p w14:paraId="07224905" w14:textId="77777777" w:rsidR="00BA62FD" w:rsidRDefault="00BA62FD" w:rsidP="001D1AB8">
      <w:pPr>
        <w:pStyle w:val="Thesisnormal"/>
      </w:pPr>
    </w:p>
    <w:p w14:paraId="495800AF" w14:textId="77777777" w:rsidR="00BA62FD" w:rsidRDefault="00BA62FD" w:rsidP="001D1AB8">
      <w:pPr>
        <w:pStyle w:val="Thesisnormal"/>
      </w:pPr>
    </w:p>
    <w:p w14:paraId="0593FEAC" w14:textId="77777777" w:rsidR="001D1AB8" w:rsidRDefault="001D1AB8" w:rsidP="001D1AB8">
      <w:pPr>
        <w:pStyle w:val="Thesisnormal"/>
      </w:pPr>
      <w:r>
        <w:rPr>
          <w:noProof/>
          <w:lang w:eastAsia="en-GB"/>
        </w:rPr>
        <w:lastRenderedPageBreak/>
        <w:drawing>
          <wp:anchor distT="0" distB="0" distL="114300" distR="114300" simplePos="0" relativeHeight="251662336" behindDoc="1" locked="0" layoutInCell="1" allowOverlap="1" wp14:anchorId="267DC6E7" wp14:editId="42444311">
            <wp:simplePos x="0" y="0"/>
            <wp:positionH relativeFrom="margin">
              <wp:align>center</wp:align>
            </wp:positionH>
            <wp:positionV relativeFrom="paragraph">
              <wp:posOffset>6350</wp:posOffset>
            </wp:positionV>
            <wp:extent cx="4381500" cy="2404745"/>
            <wp:effectExtent l="0" t="0" r="0" b="0"/>
            <wp:wrapNone/>
            <wp:docPr id="3" name="Picture 3" descr="D:\Dropbox\PhD\Writing\Thesis\Chapter 1 introduction\figures\Hemocyte functions 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1 introduction\figures\Hemocyte functions fig.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6000" t="27219" r="34833" b="34616"/>
                    <a:stretch/>
                  </pic:blipFill>
                  <pic:spPr bwMode="auto">
                    <a:xfrm>
                      <a:off x="0" y="0"/>
                      <a:ext cx="4381500" cy="2404745"/>
                    </a:xfrm>
                    <a:prstGeom prst="rect">
                      <a:avLst/>
                    </a:prstGeom>
                    <a:noFill/>
                    <a:ln>
                      <a:noFill/>
                    </a:ln>
                    <a:extLst>
                      <a:ext uri="{53640926-AAD7-44D8-BBD7-CCE9431645EC}">
                        <a14:shadowObscured xmlns:a14="http://schemas.microsoft.com/office/drawing/2010/main"/>
                      </a:ext>
                    </a:extLst>
                  </pic:spPr>
                </pic:pic>
              </a:graphicData>
            </a:graphic>
          </wp:anchor>
        </w:drawing>
      </w:r>
    </w:p>
    <w:p w14:paraId="199DCB0D" w14:textId="77777777" w:rsidR="001D1AB8" w:rsidRDefault="001D1AB8" w:rsidP="001D1AB8">
      <w:pPr>
        <w:pStyle w:val="Thesisnormal"/>
      </w:pPr>
    </w:p>
    <w:p w14:paraId="55837EE6" w14:textId="77777777" w:rsidR="001D1AB8" w:rsidRDefault="001D1AB8" w:rsidP="001D1AB8">
      <w:pPr>
        <w:pStyle w:val="Thesisnormal"/>
      </w:pPr>
    </w:p>
    <w:p w14:paraId="30A81AD7" w14:textId="77777777" w:rsidR="001D1AB8" w:rsidRDefault="001D1AB8" w:rsidP="001D1AB8">
      <w:pPr>
        <w:pStyle w:val="Thesisnormal"/>
      </w:pPr>
    </w:p>
    <w:p w14:paraId="3C1A896A" w14:textId="77777777" w:rsidR="001D1AB8" w:rsidRDefault="001D1AB8" w:rsidP="001D1AB8">
      <w:pPr>
        <w:pStyle w:val="Thesisnormal"/>
      </w:pPr>
    </w:p>
    <w:p w14:paraId="61168325" w14:textId="77777777" w:rsidR="001D1AB8" w:rsidRDefault="001D1AB8" w:rsidP="001D1AB8">
      <w:pPr>
        <w:pStyle w:val="Thesisnormal"/>
      </w:pPr>
    </w:p>
    <w:p w14:paraId="37B201E7" w14:textId="77777777" w:rsidR="001D1AB8" w:rsidRDefault="001D1AB8" w:rsidP="001D1AB8">
      <w:pPr>
        <w:pStyle w:val="Thesisnormal"/>
      </w:pPr>
    </w:p>
    <w:p w14:paraId="42FFBE21" w14:textId="77777777" w:rsidR="001D1AB8" w:rsidRDefault="001D1AB8" w:rsidP="001D1AB8">
      <w:pPr>
        <w:pStyle w:val="Thesisnormal"/>
      </w:pPr>
    </w:p>
    <w:p w14:paraId="682DCF34" w14:textId="77777777" w:rsidR="001D1AB8" w:rsidRDefault="001D1AB8" w:rsidP="001D1AB8">
      <w:pPr>
        <w:pStyle w:val="NoSpacing"/>
        <w:rPr>
          <w:b/>
        </w:rPr>
      </w:pPr>
    </w:p>
    <w:p w14:paraId="4072E837" w14:textId="03226EF4" w:rsidR="001D1AB8" w:rsidRPr="00BB2E04" w:rsidRDefault="00BA62FD" w:rsidP="001D1AB8">
      <w:pPr>
        <w:pStyle w:val="NoSpacing"/>
        <w:rPr>
          <w:b/>
          <w:i/>
        </w:rPr>
      </w:pPr>
      <w:r>
        <w:rPr>
          <w:b/>
        </w:rPr>
        <w:t>Figure 1.4</w:t>
      </w:r>
      <w:r w:rsidR="001D1AB8" w:rsidRPr="00BB2E04">
        <w:rPr>
          <w:b/>
        </w:rPr>
        <w:t xml:space="preserve">. Key functions of hemocytes in </w:t>
      </w:r>
      <w:r w:rsidR="001D1AB8" w:rsidRPr="00BB2E04">
        <w:rPr>
          <w:b/>
          <w:i/>
        </w:rPr>
        <w:t xml:space="preserve">Drosophila </w:t>
      </w:r>
    </w:p>
    <w:p w14:paraId="13435628" w14:textId="77777777" w:rsidR="001D1AB8" w:rsidRDefault="001D1AB8" w:rsidP="001D1AB8">
      <w:pPr>
        <w:pStyle w:val="NoSpacing"/>
      </w:pPr>
      <w:r>
        <w:t xml:space="preserve">Hemocytes are capable of a wide-array of behaviours which are similar to mammalian macrophages. Hemocytes are responsible for phagocytosis of pathogens, efferocytosis of apoptotic cells, responding to sites of injury, interacting with tumours, tissue remodelling and migration towards a variety of developmental cues. </w:t>
      </w:r>
    </w:p>
    <w:p w14:paraId="39AB76DD" w14:textId="77777777" w:rsidR="0084644E" w:rsidRDefault="0084644E" w:rsidP="001D1AB8">
      <w:pPr>
        <w:pStyle w:val="Thesisnormal"/>
      </w:pPr>
    </w:p>
    <w:p w14:paraId="01FBC08D" w14:textId="77777777" w:rsidR="001D1AB8" w:rsidRDefault="001D1AB8" w:rsidP="001D1AB8">
      <w:pPr>
        <w:pStyle w:val="Heading2"/>
      </w:pPr>
      <w:bookmarkStart w:id="57" w:name="_Toc502936289"/>
      <w:bookmarkStart w:id="58" w:name="_Toc4589271"/>
      <w:r>
        <w:t xml:space="preserve">1.6 </w:t>
      </w:r>
      <w:r w:rsidRPr="00C05236">
        <w:rPr>
          <w:i/>
        </w:rPr>
        <w:t>Drosophila</w:t>
      </w:r>
      <w:r w:rsidRPr="00C66E6D">
        <w:t xml:space="preserve"> </w:t>
      </w:r>
      <w:bookmarkEnd w:id="57"/>
      <w:r>
        <w:t>h</w:t>
      </w:r>
      <w:r w:rsidRPr="00C66E6D">
        <w:t>e</w:t>
      </w:r>
      <w:r>
        <w:t>matopoiesis</w:t>
      </w:r>
      <w:bookmarkEnd w:id="58"/>
      <w:r>
        <w:t xml:space="preserve"> </w:t>
      </w:r>
      <w:r w:rsidRPr="00C66E6D">
        <w:t xml:space="preserve"> </w:t>
      </w:r>
    </w:p>
    <w:p w14:paraId="3216808B" w14:textId="77777777" w:rsidR="001D1AB8" w:rsidRDefault="001D1AB8" w:rsidP="001D1AB8">
      <w:pPr>
        <w:pStyle w:val="Thesisnormal"/>
      </w:pPr>
    </w:p>
    <w:p w14:paraId="244E2B7E" w14:textId="3FAFC9D7" w:rsidR="001D1AB8" w:rsidRPr="00957999" w:rsidRDefault="001D1AB8" w:rsidP="001D1AB8">
      <w:pPr>
        <w:pStyle w:val="Thesisnormal"/>
      </w:pPr>
      <w:r>
        <w:t>T</w:t>
      </w:r>
      <w:r w:rsidRPr="00957999">
        <w:t>issue macrophages from vertebrates derive from embryonic precursors</w:t>
      </w:r>
      <w:r>
        <w:t>, similar to the origin of all invertebrate hemocytes</w:t>
      </w:r>
      <w:r w:rsidRPr="00957999">
        <w:t xml:space="preserve"> </w:t>
      </w:r>
      <w:r w:rsidRPr="00957999">
        <w:fldChar w:fldCharType="begin"/>
      </w:r>
      <w:r w:rsidR="000A209C">
        <w:instrText xml:space="preserve"> ADDIN ZOTERO_ITEM CSL_CITATION {"citationID":"oAK85LmM","properties":{"formattedCitation":"(8,9,11,97,99\\uc0\\u8211{}103)","plainCitation":"(8,9,11,97,99–103)","noteIndex":0},"citationItems":[{"id":1434,"uris":["http://zotero.org/users/952979/items/V238IIIQ"],"uri":["http://zotero.org/users/952979/items/V238IIIQ"],"itemData":{"id":1434,"type":"article-journal","title":"Fate Mapping Analysis Reveals That Adult Microglia Derive from Primitive Macrophages","container-title":"Science (New York, N.Y.)","page":"841-845","volume":"330","issue":"6005","source":"PubMed Central","abstract":"Microglia are the resident macrophages of the central nervous system and are associated with the pathogenesis of many neurodegenerative and brain inflammatory diseases; however, the origin of adult microglia remains controversial. We show that postnatal hematopoietic progenitors do not significantly contribute to microglia homeostasis in the adult brain. In contrast to many macrophage populations, we show that microglia develop in mice that lack colony stimulating factor-1 (CSF-1) but are absent in CSF-1 receptor–deficient mice. In vivo lineage tracing studies established that adult microglia derive from primitive myeloid progenitors that arise before embryonic day 8. These results identify microglia as an ontogenically distinct population in the mononuclear phagocyte system and have implications for the use of embryonically derived microglial progenitors for the treatment of various brain disorders.","DOI":"10.1126/science.1194637","ISSN":"0036-8075","note":"PMID: 20966214\nPMCID: PMC3719181","journalAbbreviation":"Science","author":[{"family":"Ginhoux","given":"Florent"},{"family":"Greter","given":"Melanie"},{"family":"Leboeuf","given":"Marylene"},{"family":"Nandi","given":"Sayan"},{"family":"See","given":"Peter"},{"family":"Gokhan","given":"Solen"},{"family":"Mehler","given":"Mark F."},{"family":"Conway","given":"Simon J."},{"family":"Ng","given":"Lai Guan"},{"family":"Stanley","given":"E. Richard"},{"family":"Samokhvalov","given":"Igor M."},{"family":"Merad","given":"Miriam"}],"issued":{"date-parts":[["2010",11,5]]}}},{"id":1383,"uris":["http://zotero.org/users/952979/items/U6B5QFZU"],"uri":["http://zotero.org/users/952979/items/U6B5QFZU"],"itemData":{"id":1383,"type":"article-journal","title":"New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K."}],"issued":{"date-parts":[["2016",1]]}}},{"id":1431,"uris":["http://zotero.org/users/952979/items/TNEASR6D"],"uri":["http://zotero.org/users/952979/items/TNEASR6D"],"itemData":{"id":1431,"type":"article-journal","title":"Tissue-resident macrophages self-maintain locally throughout adult life with minimal contribution from circulating monocytes","container-title":"Immunity","page":"792-804","volume":"38","issue":"4","source":"PubMed","abstract":"Despite accumulating evidence suggesting local self-maintenance of tissue macrophages in the steady state, the dogma remains that tissue macrophages derive from monocytes. Using parabiosis and fate-mapping approaches, we confirmed that monocytes do not show significant contribution to tissue macrophages in the steady state. Similarly, we found that after depletion of lung macrophages, the majority of repopulation occurred by stochastic cellular proliferation in situ in a macrophage colony-stimulating factor (M-Csf)- and granulocyte macrophage (GM)-CSF-dependent manner but independently of interleukin-4. We also found that after bone marrow transplantation, host macrophages retained the capacity to expand when the development of donor macrophages was compromised. Expansion of host macrophages was functional and prevented the development of alveolar proteinosis in mice transplanted with GM-Csf-receptor-deficient progenitors. Collectively, these results indicate that tissue-resident macrophages and circulating monocytes should be classified as mononuclear phagocyte lineages that are independently maintained in the steady state.","DOI":"10.1016/j.immuni.2013.04.004","ISSN":"1097-4180","note":"PMID: 23601688\nPMCID: PMC3853406","journalAbbreviation":"Immunity","language":"eng","author":[{"family":"Hashimoto","given":"Daigo"},{"family":"Chow","given":"Andrew"},{"family":"Noizat","given":"Clara"},{"family":"Teo","given":"Pearline"},{"family":"Beasley","given":"Mary Beth"},{"family":"Leboeuf","given":"Marylene"},{"family":"Becker","given":"Christian D."},{"family":"See","given":"Peter"},{"family":"Price","given":"Jeremy"},{"family":"Lucas","given":"Daniel"},{"family":"Greter","given":"Melanie"},{"family":"Mortha","given":"Arthur"},{"family":"Boyer","given":"Scott W."},{"family":"Forsberg","given":"E. Camilla"},{"family":"Tanaka","given":"Masato"},{"family":"Rooijen","given":"Nico","non-dropping-particle":"van"},{"family":"García-Sastre","given":"Adolfo"},{"family":"Stanley","given":"E. Richard"},{"family":"Ginhoux","given":"Florent"},{"family":"Frenette","given":"Paul S."},{"family":"Merad","given":"Miriam"}],"issued":{"date-parts":[["2013",4,18]]}}},{"id":1432,"uris":["http://zotero.org/users/952979/items/2MDSQCUN"],"uri":["http://zotero.org/users/952979/items/2MDSQCUN"],"itemData":{"id":1432,"type":"article-journal","title":"Alveolar macrophages develop from fetal monocytes that differentiate into long-lived cells in the first week of life via GM-CSF","container-title":"The Journal of Experimental Medicine","page":"1977-1992","volume":"210","issue":"10","source":"PubMed Central","abstract":"Alveolar macrophages differentiate from fetal monocytes in a GM-CSF–dependent fashion and colonize the alveolar space within a few days after birth., Tissue-resident macrophages can develop from circulating adult monocytes or from primitive yolk sac–derived macrophages. The precise ontogeny of alveolar macrophages (AMFs) is unknown. By performing BrdU labeling and parabiosis experiments in adult mice, we found that circulating monocytes contributed minimally to the steady-state AMF pool. Mature AMFs were undetectable before birth and only fully colonized the alveolar space by 3 d after birth. Before birth, F4/80hiCD11blo primitive macrophages and Ly6ChiCD11bhi fetal monocytes sequentially colonized the developing lung around E12.5 and E16.5, respectively. The first signs of AMF differentiation appeared around the saccular stage of lung development (E18.5). Adoptive transfer identified fetal monocytes, and not primitive macrophages, as the main precursors of AMFs. Fetal monocytes transferred to the lung of neonatal mice acquired an AMF phenotype via defined developmental stages over the course of one week, and persisted for at least three months. Early AMF commitment from fetal monocytes was absent in GM-CSF–deficient mice, whereas short-term perinatal intrapulmonary GM-CSF therapy rescued AMF development for weeks, although the resulting AMFs displayed an immature phenotype. This demonstrates that tissue-resident macrophages can also develop from fetal monocytes that adopt a stable phenotype shortly after birth in response to instructive cytokines, and then self-maintain throughout life.","DOI":"10.1084/jem.20131199","ISSN":"0022-1007","note":"PMID: 24043763\nPMCID: PMC3782041","journalAbbreviation":"J Exp Med","author":[{"family":"Guilliams","given":"Martin"},{"family":"De Kleer","given":"Ismé"},{"family":"Henri","given":"Sandrine"},{"family":"Post","given":"Sijranke"},{"family":"Vanhoutte","given":"Leen"},{"family":"De Prijck","given":"Sofie"},{"family":"Deswarte","given":"Kim"},{"family":"Malissen","given":"Bernard"},{"family":"Hammad","given":"Hamida"},{"family":"Lambrecht","given":"Bart N."}],"issued":{"date-parts":[["2013",9,23]]}}},{"id":1435,"uris":["http://zotero.org/users/952979/items/HA38A4W9"],"uri":["http://zotero.org/users/952979/items/HA38A4W9"],"itemData":{"id":1435,"type":"article-journal","title":"Embryonic and adult-derived resident cardiac macrophages are maintained through distinct mechanisms at steady state and during inflammation","container-title":"Immunity","page":"91-104","volume":"40","issue":"1","source":"PubMed","abstract":"Cardiac macrophages are crucial for tissue repair after cardiac injury but are not well characterized. Here we identify four populations of cardiac macrophages. At steady state, resident macrophages were primarily maintained through local proliferation. However, after macrophage depletion or during cardiac inflammation, Ly6c(hi) monocytes contributed to all four macrophage populations, whereas resident macrophages also expanded numerically through proliferation. Genetic fate mapping revealed that yolk-sac and fetal monocyte progenitors gave rise to the majority of cardiac macrophages, and the heart was among a minority of organs in which substantial numbers of yolk-sac macrophages persisted in adulthood. CCR2 expression and dependence distinguished cardiac macrophages of adult monocyte versus embryonic origin. Transcriptional and functional data revealed that monocyte-derived macrophages coordinate cardiac inflammation, while playing redundant but lesser roles in antigen sampling and efferocytosis. These data highlight the presence of multiple cardiac macrophage subsets, with different functions, origins, and strategies to regulate compartment size.","DOI":"10.1016/j.immuni.2013.11.019","ISSN":"1097-4180","note":"PMID: 24439267\nPMCID: PMC3923301","journalAbbreviation":"Immunity","language":"eng","author":[{"family":"Epelman","given":"Slava"},{"family":"Lavine","given":"Kory J."},{"family":"Beaudin","given":"Anna E."},{"family":"Sojka","given":"Dorothy K."},{"family":"Carrero","given":"Javier A."},{"family":"Calderon","given":"Boris"},{"family":"Brija","given":"Thaddeus"},{"family":"Gautier","given":"Emmanuel L."},{"family":"Ivanov","given":"Stoyan"},{"family":"Satpathy","given":"Ansuman T."},{"family":"Schilling","given":"Joel D."},{"family":"Schwendener","given":"Reto"},{"family":"Sergin","given":"Ismail"},{"family":"Razani","given":"Babak"},{"family":"Forsberg","given":"E. Camilla"},{"family":"Yokoyama","given":"Wayne M."},{"family":"Unanue","given":"Emil R."},{"family":"Colonna","given":"Marco"},{"family":"Randolph","given":"Gwendalyn J."},{"family":"Mann","given":"Douglas L."}],"issued":{"date-parts":[["2014",1,16]]}}},{"id":1439,"uris":["http://zotero.org/users/952979/items/M57S2WQJ"],"uri":["http://zotero.org/users/952979/items/M57S2WQJ"],"itemData":{"id":1439,"type":"article-journal","title":"Origin and functions of tissue macrophages","container-title":"Immunity","page":"21-35","volume":"41","issue":"1","source":"PubMed","abstract":"Macrophages are distributed in tissues throughout the body and contribute to both homeostasis and disease. Recently, it has become evident that most adult tissue macrophages originate during embryonic development and not from circulating monocytes. Each tissue has its own composition of embryonically derived and adult-derived macrophages, but it is unclear whether macrophages of distinct origins are functionally interchangeable or have unique roles at steady state. This new understanding also prompts reconsideration of the function of circulating monocytes. Classical Ly6c(hi) monocytes patrol the extravascular space in resting organs, and Ly6c(lo) nonclassical monocytes patrol the vasculature. Inflammation triggers monocytes to differentiate into macrophages, but whether resident and newly recruited macrophages possess similar functions during inflammation is unclear. Here, we define the tools used for identifying the complex origin of tissue macrophages and discuss the relative contributions of tissue niche versus ontological origin to the regulation of macrophage functions during steady state and inflammation.","DOI":"10.1016/j.immuni.2014.06.013","ISSN":"1097-4180","note":"PMID: 25035951\nPMCID: PMC4470379","journalAbbreviation":"Immunity","language":"eng","author":[{"family":"Epelman","given":"Slava"},{"family":"Lavine","given":"Kory J."},{"family":"Randolph","given":"Gwendalyn J."}],"issued":{"date-parts":[["2014",7,17]]}}},{"id":1433,"uris":["http://zotero.org/users/952979/items/Z9W22EU6"],"uri":["http://zotero.org/users/952979/items/Z9W22EU6"],"itemData":{"id":1433,"type":"article-journal","title":"Tissue-resident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id":1382,"uris":["http://zotero.org/users/952979/items/IE4SPUPV"],"uri":["http://zotero.org/users/952979/items/IE4SPUPV"],"itemData":{"id":1382,"type":"article-journal","title":"Regulation of macrophage development and function in peripheral tissues","container-title":"Nature Reviews Immunology","page":"731-744","volume":"15","issue":"12","source":"www.nature.com","abstract":"Macrophages are immune cells of haematopoietic origin that provide crucial innate immune defence and have tissue-specific functions in the regulation and maintenance of organ homeostasis. Recent studies of macrophage ontogeny, as well as transcriptional and epigenetic identity, have started to reveal the decisive role of the tissue stroma in the regulation of macrophage function. These findings suggest that most macrophages seed the tissues during embryonic development and functionally specialize in response to cytokines and metabolites that are released by the stroma and drive the expression of unique transcription factors. In this Review, we discuss how recent insights into macrophage ontogeny and macrophage–stroma interactions contribute to our understanding of the crosstalk that shapes macrophage function and the maintenance of organ integrity.","DOI":"10.1038/nri3920","ISSN":"1474-1733","journalAbbreviation":"Nat Rev Immunol","language":"en","author":[{"family":"Lavin","given":"Yonit"},{"family":"Mortha","given":"Arthur"},{"family":"Rahman","given":"Adeeb"},{"family":"Merad","given":"Miriam"}],"issued":{"date-parts":[["2015",12]]}}},{"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rsidRPr="00957999">
        <w:fldChar w:fldCharType="separate"/>
      </w:r>
      <w:r w:rsidR="004A1963" w:rsidRPr="004A1963">
        <w:rPr>
          <w:rFonts w:ascii="Calibri" w:hAnsi="Calibri" w:cs="Times New Roman"/>
        </w:rPr>
        <w:t>(8,9,11,97,99–103)</w:t>
      </w:r>
      <w:r w:rsidRPr="00957999">
        <w:fldChar w:fldCharType="end"/>
      </w:r>
      <w:r w:rsidRPr="00957999">
        <w:t>. Furthermore, additional conserved facets of hematopoiesis can be observed between humans and flies</w:t>
      </w:r>
      <w:r>
        <w:t xml:space="preserve"> </w:t>
      </w:r>
      <w:r>
        <w:fldChar w:fldCharType="begin"/>
      </w:r>
      <w:r w:rsidR="000A209C">
        <w:instrText xml:space="preserve"> ADDIN ZOTERO_ITEM CSL_CITATION {"citationID":"5y0D6vvf","properties":{"formattedCitation":"(176,211)","plainCitation":"(176,211)","noteIndex":0},"citationItems":[{"id":48,"uris":["http://zotero.org/users/952979/items/SFPVZD4C"],"uri":["http://zotero.org/users/952979/items/SFPVZD4C"],"itemData":{"id":48,"type":"article-journal","title":"Drosophila hematopoiesis under normal conditions and in response to immune stress","container-title":"FEBS letters","page":"4034-4051","volume":"590","issue":"22","source":"PubMed","abstract":"The emergence of hematopoietic progenitors and their differentiation into various highly specialized blood cell types constitute a finely tuned process. Unveiling the genetic cascades that control blood cell progenitor fate and understanding how they are modulated in response to environmental changes are two major challenges in the field of hematopoiesis. In the last 20 years, many studies have established important functional analogies between blood cell development in vertebrates and in the fruit fly, Drosophila melanogaster. Thereby, Drosophila has emerged as a powerful genetic model for studying mechanisms that control hematopoiesis during normal development or in pathological situations. Moreover, recent advances in Drosophila have highlighted how intricate cell communication networks and microenvironmental cues regulate blood cell homeostasis. They have also revealed the striking plasticity of Drosophila mature blood cells and the presence of different sites of hematopoiesis in the larva. This review provides an overview of Drosophila hematopoiesis during development and summarizes our current knowledge on the molecular processes controlling larval hematopoiesis, both under normal conditions and in response to an immune challenge, such as wasp parasitism.","DOI":"10.1002/1873-3468.12327","ISSN":"1873-3468","note":"PMID: 27455465","journalAbbreviation":"FEBS Lett.","language":"eng","author":[{"family":"Letourneau","given":"Manon"},{"family":"Lapraz","given":"Francois"},{"family":"Sharma","given":"Anurag"},{"family":"Vanzo","given":"Nathalie"},{"family":"Waltzer","given":"Lucas"},{"family":"Crozatier","given":"Michèle"}],"issued":{"date-parts":[["2016",11]]}}},{"id":27,"uris":["http://zotero.org/users/952979/items/E5863XUF"],"uri":["http://zotero.org/users/952979/items/E5863XUF"],"itemData":{"id":27,"type":"article-journal","title":"Thicker Than Blood: Conserved Mechanisms in Drosophila and Vertebrate Hematopoiesis","container-title":"Developmental Cell","page":"673-690","volume":"5","issue":"5","source":"ScienceDirect","abstract":"Blood development in Drosophila melanogaster shares several interesting features with hematopoiesis in vertebrates, including spatiotemporal regulation as well as the use of similar transcriptional regulators and signaling pathways. In this review, we describe what is known about hematopoietic development in Drosophila and the various cell types generated and their functions. Additionally, the molecular genetic mechanisms of hematopoietic cell fate determination and commitment within Drosophila blood cell lineages are discussed and compared to vertebrate mechanisms.","DOI":"10.1016/S1534-5807(03)00335-6","ISSN":"1534-5807","shortTitle":"Thicker Than Blood","journalAbbreviation":"Developmental Cell","author":[{"family":"Evans","given":"Cory J"},{"family":"Hartenstein","given":"Volker"},{"family":"Banerjee","given":"Utpal"}],"issued":{"date-parts":[["2003",11]]}}}],"schema":"https://github.com/citation-style-language/schema/raw/master/csl-citation.json"} </w:instrText>
      </w:r>
      <w:r>
        <w:fldChar w:fldCharType="separate"/>
      </w:r>
      <w:r w:rsidR="004A1963" w:rsidRPr="004A1963">
        <w:rPr>
          <w:rFonts w:ascii="Calibri" w:hAnsi="Calibri"/>
        </w:rPr>
        <w:t>(176,211)</w:t>
      </w:r>
      <w:r>
        <w:fldChar w:fldCharType="end"/>
      </w:r>
      <w:r w:rsidRPr="00957999">
        <w:t xml:space="preserve">. For example, hematopoiesis occurs in two waves, primitive (embryonic) and definitive (adult), in both flies and vertebrates </w:t>
      </w:r>
      <w:r w:rsidRPr="00957999">
        <w:fldChar w:fldCharType="begin"/>
      </w:r>
      <w:r w:rsidR="000A209C">
        <w:instrText xml:space="preserve"> ADDIN ZOTERO_ITEM CSL_CITATION {"citationID":"Yq9u1eH6","properties":{"formattedCitation":"(96,206,212,254,255)","plainCitation":"(96,206,212,254,255)","noteIndex":0},"citationItems":[{"id":1438,"uris":["http://zotero.org/users/952979/items/PCHFV4X3"],"uri":["http://zotero.org/users/952979/items/PCHFV4X3"],"itemData":{"id":1438,"type":"article-journal","title":"New Insights Into Tissue Macrophages: From Their Origin to the Development of Memory","container-title":"Immune Network","page":"167-176","volume":"15","issue":"4","source":"PubMed Central","abstract":"Macrophages are the main effector cells of innate immunity and are involved in inflammatory and anti-infective processes. They also have an essential role in maintaining tissue homeostasis, supporting tissue development, and repairing tissue damage. Until few years ago, it was believed that tissue macrophages derived from circulating blood monocytes, which terminally differentiated in the tissue and unable to proliferate. Recent evidence in the biology of tissue macrophages has uncovered a series of immune and ontogenic features that had been neglected for long, despite old observations. These include origin, heterogeneity, proliferative potential (or self-renewal), polarization, and memory. In recent years, the number of publications on tissue resident macrophages has grown rapidly, highlighting the renewed interest of the immunologists for these key players of innate immunity. This mini-review aims to summarizing the new current knowledge in macrophage immunobiology, in order to offer a clear and immediate overview of the field.","DOI":"10.4110/in.2015.15.4.167","ISSN":"1598-2629","note":"PMID: 26330802\nPMCID: PMC4553254","shortTitle":"New Insights Into Tissue Macrophages","journalAbbreviation":"Immune Netw","author":[{"family":"Italiani","given":"Paola"},{"family":"Boraschi","given":"Diana"}],"issued":{"date-parts":[["2015",8]]}}},{"id":1268,"uris":["http://zotero.org/users/952979/items/PNS3CX97"],"uri":["http://zotero.org/users/952979/items/PNS3CX97"],"itemData":{"id":1268,"type":"article-journal","title":"Cellular Immune defenses of Drosophila melanogaster","container-title":"Developmental and Comparative Immunology","source":"PubMed","abstract":"Drosophila melanogaster is a widely used model for the characterization of blood cell development and function, with an array of protocols for the manipulation and visualization of fixed or live cells in vitro or in vivo. Researchers have deployed these techniques to reveal Drosophila hemocytes as a remarkably versatile cell type that engulfs apoptotic corpses; neutralizes invading parasites; seals epithelial wounds; and deposits extracellular matrix proteins. In this review, we will discuss the key features of Drosophila hemocyte development and function, and identify similarities with vertebrate counterparts.","DOI":"10.1016/j.dci.2015.12.019","ISSN":"1879-0089","note":"PMID: 26748247","journalAbbreviation":"Dev. Comp. Immunol.","language":"ENG","author":[{"family":"Parsons","given":"Brendon"},{"family":"Foley","given":"Edan"}],"issued":{"date-parts":[["2016"]]}}},{"id":1280,"uris":["http://zotero.org/users/952979/items/KRACHRRE"],"uri":["http://zotero.org/users/952979/items/KRACHRRE"],"itemData":{"id":1280,"type":"article-journal","title":"Drosophila haematopoiesis","container-title":"Cellular Microbiology","page":"1117-1126","volume":"9","issue":"5","source":"Wiley Online Library","abstract":"Like in vertebrates, Drosophila haematopoiesis occurs in two waves. It gives rise to three types of haemocytes: plasmatocytes (phagocytosis), crystal cells (melanization) and lamellocytes (encapsulation of parasites). A first population of haemocytes, specified during embryogenesis, gives rise to an invariant number of plasmatocytes and crystal cells. A second population of haemocytes is specified during larval development in a specialized haematopoietic organ, the lymph gland. All three types of haemocytes can be specified in this organ, but lamellocytes only differentiate in response to parasitism. Thus, larval in contrast to embryonic haematopoiesis can be modulated by physiological constraints. Molecular cascades controlling embryonic haematopoiesis are relatively well established and require transactivators such as GATA, FOG and Runx factors, which are also co-opted in mammalian haematopoiesis. Mechanisms involved during larval haematopoiesis are less well understood although a number of chromatin remodelling factors and signalling pathways (JAK/STAT, Toll, Hedgehog, Notch) are required. In healthy larvae a pool of progenitors is maintained within the lymph gland, under the control of a signalling centre which expresses Collier, Serrate, Antennapedia and Hedgehog, and controls haemocyte homeostasis. Its key role in haemocyte homeostasis is reminiscent of interactions described in vertebrates between haematopoietic stem cells and their microenvironment (niche).","DOI":"10.1111/j.1462-5822.2007.00930.x","ISSN":"1462-5822","language":"en","author":[{"family":"Crozatier","given":"Michèle"},{"family":"Meister","given":"Marie"}],"issued":{"date-parts":[["2007",5,1]]}}},{"id":1323,"uris":["http://zotero.org/users/952979/items/CEFGXJ7U"],"uri":["http://zotero.org/users/952979/items/CEFGXJ7U"],"itemData":{"id":1323,"type":"article-journal","title":"New ways to make a blood cell","container-title":"eLife","volume":"4","source":"PubMed Central","abstract":"In a niche under the skin in Drosophila larvae, blood cells called plasmatocytes can transform into other classes of blood cell.","URL":"http://www.ncbi.nlm.nih.gov/pmc/articles/PMC4357284/","DOI":"10.7554/eLife.06877","ISSN":"2050-084X","note":"PMID: 25764304\nPMCID: PMC4357284","journalAbbreviation":"eLife","author":[{"family":"Anderl","given":"Ines"},{"family":"Hultmark","given":"Dan"}],"issued":{"date-parts":[["2015"]]},"accessed":{"date-parts":[["2015",10,13]]}}},{"id":1784,"uris":["http://zotero.org/users/952979/items/8I9IGWMP"],"uri":["http://zotero.org/users/952979/items/8I9IGWMP"],"itemData":{"id":1784,"type":"article-journal","title":"Drosophila as a Genetic Model for Hematopoiesis","container-title":"Genetics","page":"367-417","volume":"211","issue":"2","source":"PubMed","abstract":"In this FlyBook chapter, we present a survey of the current literature on the development of the hematopoietic system in Drosophila The Drosophila blood system consists entirely of cells that function in innate immunity, tissue integrity, wound healing, and various forms of stress response, and are therefore functionally similar to myeloid cells in mammals. The primary cell types are specialized for phagocytic, melanization, and encapsulation functions. As in mammalian systems, multiple sites of hematopoiesis are evident in Drosophila and the mechanisms involved in this process employ many of the same molecular strategies that exemplify blood development in humans. Drosophila blood progenitors respond to internal and external stress by coopting developmental pathways that involve both local and systemic signals. An important goal of these Drosophila studies is to develop the tools and mechanisms critical to further our understanding of human hematopoiesis during homeostasis and dysfunction.","DOI":"10.1534/genetics.118.300223","ISSN":"1943-2631","note":"PMID: 30733377\nPMCID: PMC6366919","journalAbbreviation":"Genetics","language":"eng","author":[{"family":"Banerjee","given":"Utpal"},{"family":"Girard","given":"Juliet R."},{"family":"Goins","given":"Lauren M."},{"family":"Spratford","given":"Carrie M."}],"issued":{"date-parts":[["2019",2]]}}}],"schema":"https://github.com/citation-style-language/schema/raw/master/csl-citation.json"} </w:instrText>
      </w:r>
      <w:r w:rsidRPr="00957999">
        <w:fldChar w:fldCharType="separate"/>
      </w:r>
      <w:r w:rsidR="004A1963" w:rsidRPr="004A1963">
        <w:rPr>
          <w:rFonts w:ascii="Calibri" w:hAnsi="Calibri"/>
        </w:rPr>
        <w:t>(96,206,212,254,255)</w:t>
      </w:r>
      <w:r w:rsidRPr="00957999">
        <w:fldChar w:fldCharType="end"/>
      </w:r>
      <w:r w:rsidRPr="00957999">
        <w:t xml:space="preserve">. In addition, factors </w:t>
      </w:r>
      <w:r>
        <w:t>driving h</w:t>
      </w:r>
      <w:r w:rsidRPr="00957999">
        <w:t xml:space="preserve">ematopoiesis such as the GATA factors are highly conserved </w:t>
      </w:r>
      <w:r w:rsidRPr="00957999">
        <w:fldChar w:fldCharType="begin"/>
      </w:r>
      <w:r w:rsidR="000A209C">
        <w:instrText xml:space="preserve"> ADDIN ZOTERO_ITEM CSL_CITATION {"citationID":"gpQJ7G7J","properties":{"formattedCitation":"(3,12,13,176)","plainCitation":"(3,12,13,176)","noteIndex":0},"citationItems":[{"id":1426,"uris":["http://zotero.org/users/952979/items/UAAV5KUB"],"uri":["http://zotero.org/users/952979/items/UAAV5KUB"],"itemData":{"id":1426,"type":"article-journal","title":"Embryonic stem cells and transgenic mice in the study of hematopoiesis","container-title":"The International Journal of Developmental Biology","page":"927-934","volume":"42","issue":"7","source":"PubMed","abstract":"Blood formation (hematopoiesis) entails the generation of hematopoietic stem cells (HSCs) within the embryo and subsequent commitment of multipotential progenitors to differentiation along single lineages. These processes are controlled in large part by cell-restricted transcription factors which cooperate with more widely expressed factors to direct lineage-specific gene expression. Candidate hematopoietic transcriptional regulators have been identified by characterizing factors mediating cell-specific gene transcription and by defining genes involved in chromosomal rearrangements in leukemia. The application of transgenic and embryonic stem cell methods have provided insights into their in vivo functions and suggested mechanisms by which lineage selection may be achieved. One of the first, and best, characterized hematopoietic transcription factors is GATA-1. Herein studies of GATA-1 are reviewed to illustrate how manipulations of its locus in the mouse have contributed to current understanding in unique and unexpected ways.","ISSN":"0214-6282","note":"PMID: 9853823","journalAbbreviation":"Int. J. Dev. Biol.","language":"eng","author":[{"family":"Orkin","given":"S. H."}],"issued":{"date-parts":[["1998"]]}}},{"id":1436,"uris":["http://zotero.org/users/952979/items/7WZDSEAF"],"uri":["http://zotero.org/users/952979/items/7WZDSEAF"],"itemData":{"id":1436,"type":"article-journal","title":"Diversification of haematopoietic stem cells to specific lineages","container-title":"Nature Reviews. Genetics","page":"57-64","volume":"1","issue":"1","source":"PubMed","abstract":"Diverse types of blood cell (lineages) are produced from rare haematopoietic stem cells that reside in the bone marrow. This process, known as haematopoiesis, provides a valuable model for examining how genetic programs are established and executed in vertebrates, and also how homeostasis of blood formation is altered in leukaemias. So, how does an apparently small group of critical lineage-restricted nuclear regulatory factors specify the diversity of haematopoietic cells? Recent findings not only indicate how this may be achieved but also show the extraordinary plasticity of tissue stem cells in vivo.","DOI":"10.1038/35049577","ISSN":"1471-0056","note":"PMID: 11262875","journalAbbreviation":"Nat. Rev. Genet.","language":"eng","author":[{"family":"Orkin","given":"S. H."}],"issued":{"date-parts":[["2000",10]]}}},{"id":1437,"uris":["http://zotero.org/users/952979/items/IEUM8B72"],"uri":["http://zotero.org/users/952979/items/IEUM8B72"],"itemData":{"id":1437,"type":"article-journal","title":"Functional conservation of hematopoietic factors in Drosophila and vertebrates","container-title":"Differentiation; Research in Biological Diversity","page":"83-90","volume":"69","issue":"2-3","source":"PubMed","abstract":"The GATA, Friend of GATA, and Runt homology domain protein families function during hematopoiesis to promote progenitor cell development and regulate lineage commitment and differentiation. The hematopoietic functions of these factors have been remarkably conserved across taxonomic groups, ranging from flies to humans. Furthermore, aspects of hematopoiesis and hemocyte function appear to be conserved. Thus, comparative studies using Drosophila and vertebrate models should enhance our understanding of blood cell development.","DOI":"10.1046/j.1432-0436.2001.690202.x","ISSN":"0301-4681","note":"PMID: 11798069","journalAbbreviation":"Differentiation","language":"eng","author":[{"family":"Fossett","given":"N."},{"family":"Schulz","given":"R. A."}],"issued":{"date-parts":[["2001",12]]}}},{"id":27,"uris":["http://zotero.org/users/952979/items/E5863XUF"],"uri":["http://zotero.org/users/952979/items/E5863XUF"],"itemData":{"id":27,"type":"article-journal","title":"Thicker Than Blood: Conserved Mechanisms in Drosophila and Vertebrate Hematopoiesis","container-title":"Developmental Cell","page":"673-690","volume":"5","issue":"5","source":"ScienceDirect","abstract":"Blood development in Drosophila melanogaster shares several interesting features with hematopoiesis in vertebrates, including spatiotemporal regulation as well as the use of similar transcriptional regulators and signaling pathways. In this review, we describe what is known about hematopoietic development in Drosophila and the various cell types generated and their functions. Additionally, the molecular genetic mechanisms of hematopoietic cell fate determination and commitment within Drosophila blood cell lineages are discussed and compared to vertebrate mechanisms.","DOI":"10.1016/S1534-5807(03)00335-6","ISSN":"1534-5807","shortTitle":"Thicker Than Blood","journalAbbreviation":"Developmental Cell","author":[{"family":"Evans","given":"Cory J"},{"family":"Hartenstein","given":"Volker"},{"family":"Banerjee","given":"Utpal"}],"issued":{"date-parts":[["2003",11]]}}}],"schema":"https://github.com/citation-style-language/schema/raw/master/csl-citation.json"} </w:instrText>
      </w:r>
      <w:r w:rsidRPr="00957999">
        <w:fldChar w:fldCharType="separate"/>
      </w:r>
      <w:r w:rsidR="004A1963" w:rsidRPr="004A1963">
        <w:rPr>
          <w:rFonts w:ascii="Calibri" w:hAnsi="Calibri"/>
        </w:rPr>
        <w:t>(3,12,13,176)</w:t>
      </w:r>
      <w:r w:rsidRPr="00957999">
        <w:fldChar w:fldCharType="end"/>
      </w:r>
      <w:r>
        <w:t xml:space="preserve">, for example the homologue of mammalian GATA1/2 is </w:t>
      </w:r>
      <w:r>
        <w:rPr>
          <w:i/>
        </w:rPr>
        <w:t>Drosophila</w:t>
      </w:r>
      <w:r>
        <w:t xml:space="preserve"> Serpent (Srp)</w:t>
      </w:r>
      <w:r w:rsidRPr="00957999">
        <w:t xml:space="preserve">. </w:t>
      </w:r>
      <w:r>
        <w:t xml:space="preserve">In addition, </w:t>
      </w:r>
      <w:r>
        <w:rPr>
          <w:i/>
        </w:rPr>
        <w:t xml:space="preserve">Drosophila </w:t>
      </w:r>
      <w:r>
        <w:t xml:space="preserve">Lozenge is a homologue of the mammalian Runx1, which is normally required for monocyte development (Fig 1.1). </w:t>
      </w:r>
    </w:p>
    <w:p w14:paraId="65E746D4" w14:textId="77777777" w:rsidR="001D1AB8" w:rsidRPr="00957999" w:rsidRDefault="001D1AB8" w:rsidP="001D1AB8">
      <w:pPr>
        <w:pStyle w:val="Thesisnormal"/>
      </w:pPr>
    </w:p>
    <w:p w14:paraId="71DB4172" w14:textId="5F097672" w:rsidR="00ED6040" w:rsidRPr="006E665A" w:rsidRDefault="001D1AB8" w:rsidP="00ED6040">
      <w:pPr>
        <w:pStyle w:val="Thesisnormal"/>
      </w:pPr>
      <w:r>
        <w:t xml:space="preserve">The primitive phase occurs with the development of pro-hemocytes in the head mesoderm </w:t>
      </w:r>
      <w:r>
        <w:fldChar w:fldCharType="begin"/>
      </w:r>
      <w:r w:rsidR="000A209C">
        <w:instrText xml:space="preserve"> ADDIN ZOTERO_ITEM CSL_CITATION {"citationID":"9LHVozra","properties":{"formattedCitation":"(214)","plainCitation":"(214)","noteIndex":0},"citationItems":[{"id":1344,"uris":["http://zotero.org/users/952979/items/ZCGRSKPA"],"uri":["http://zotero.org/users/952979/items/ZCGRSKPA"],"itemData":{"id":1344,"type":"article-journal","title":"Embryonic origin of hemocytes and their relationship to cell death in Drosophila","container-title":"Development (Cambridge, England)","page":"1829-1837","volume":"120","issue":"7","source":"PubMed","abstract":"We have studied the embryonic development of Drosophila hemocytes and their conversion into macrophages. Hemocytes derive exclusively from the mesoderm of the head and disperse along several invariant migratory paths throughout the embryo. The origin of hemocytes from the head mesoderm is further supported by the finding that in Bicaudal D, a mutation that lacks all head structures, and in twist snail double mutants, where no mesoderm develops, hemocytes do not form. All embryonic hemocytes behave like a homogenous population with respect to their potential for phagocytosis. Thus, in the wild type, about 80-90% of hemocytes become macrophages during late development. In mutations with an increased amount of cell death (knirps; stardust; fork head), this figure approaches 100%. In contrast, in these mutations, the absolute number of hemocytes does not differ from that in wild type, indicating that cell death does not 'induce' the formation of hemocytes. Finally, we show that, in the Drosophila embryo, apoptosis can occur independently of macrophages, since mutations lacking macrophages (Bicaudal D; twist snail double mutants; torso4021) show abundant cell death.","ISSN":"0950-1991","note":"PMID: 7924990","journalAbbreviation":"Development","language":"eng","author":[{"family":"Tepass","given":"U."},{"family":"Fessler","given":"L. I."},{"family":"Aziz","given":"A."},{"family":"Hartenstein","given":"V."}],"issued":{"date-parts":[["1994",7]]}}}],"schema":"https://github.com/citation-style-language/schema/raw/master/csl-citation.json"} </w:instrText>
      </w:r>
      <w:r>
        <w:fldChar w:fldCharType="separate"/>
      </w:r>
      <w:r w:rsidR="004A1963" w:rsidRPr="004A1963">
        <w:rPr>
          <w:rFonts w:ascii="Calibri" w:hAnsi="Calibri"/>
        </w:rPr>
        <w:t>(214)</w:t>
      </w:r>
      <w:r>
        <w:fldChar w:fldCharType="end"/>
      </w:r>
      <w:r>
        <w:t xml:space="preserve">. The GATA factor Serpent </w:t>
      </w:r>
      <w:r w:rsidRPr="00957999">
        <w:t>is required for hemocyte specification</w:t>
      </w:r>
      <w:r>
        <w:t xml:space="preserve"> of the precursor cells</w:t>
      </w:r>
      <w:r w:rsidRPr="00957999">
        <w:t xml:space="preserve"> </w:t>
      </w:r>
      <w:r w:rsidRPr="00957999">
        <w:fldChar w:fldCharType="begin"/>
      </w:r>
      <w:r w:rsidR="000A209C">
        <w:instrText xml:space="preserve"> ADDIN ZOTERO_ITEM CSL_CITATION {"citationID":"jnOTrkIm","properties":{"formattedCitation":"(176,202,256,257)","plainCitation":"(176,202,256,257)","noteIndex":0},"citationItems":[{"id":27,"uris":["http://zotero.org/users/952979/items/E5863XUF"],"uri":["http://zotero.org/users/952979/items/E5863XUF"],"itemData":{"id":27,"type":"article-journal","title":"Thicker Than Blood: Conserved Mechanisms in Drosophila and Vertebrate Hematopoiesis","container-title":"Developmental Cell","page":"673-690","volume":"5","issue":"5","source":"ScienceDirect","abstract":"Blood development in Drosophila melanogaster shares several interesting features with hematopoiesis in vertebrates, including spatiotemporal regulation as well as the use of similar transcriptional regulators and signaling pathways. In this review, we describe what is known about hematopoietic development in Drosophila and the various cell types generated and their functions. Additionally, the molecular genetic mechanisms of hematopoietic cell fate determination and commitment within Drosophila blood cell lineages are discussed and compared to vertebrate mechanisms.","DOI":"10.1016/S1534-5807(03)00335-6","ISSN":"1534-5807","shortTitle":"Thicker Than Blood","journalAbbreviation":"Developmental Cell","author":[{"family":"Evans","given":"Cory J"},{"family":"Hartenstein","given":"Volker"},{"family":"Banerjee","given":"Utpal"}],"issued":{"date-parts":[["2003",11]]}}},{"id":1427,"uris":["http://zotero.org/users/952979/items/VIJWJJG3"],"uri":["http://zotero.org/users/952979/items/VIJWJJG3"],"itemData":{"id":1427,"type":"article-journal","title":"Specification of Drosophila hematopoietic lineage by conserved transcription factors","container-title":"Science (New York, N.Y.)","page":"146-149","volume":"288","issue":"5463","source":"PubMed","abstract":"Two major classes of cells observed within the Drosophila hematopoietic repertoire are plasmatocytes/macrophages and crystal cells. The transcription factor Lz (Lozenge), which resembles human AML1 (acute myeloid leukemia- 1) protein, is necessary for the development of crystal cells during embryonic and larval hematopoiesis. Another transcription factor, Gcm (glial cells missing), has previously been shown to be required for plasmatocyte development. Misexpression of Gcm causes crystal cells to be transformed into plasmatocytes. The Drosophila GATA protein Srp (Serpent) is required for both Lz and Gcm expression and is necessary for the development of both classes of hemocytes, whereas Lz and Gcm are required in a lineage-specific manner. Given the similarities of Srp and Lz to mammalian GATA and AML1 proteins, observations in Drosophila are likely to have broad implications for understanding mammalian hematopoiesis and leukemias.","ISSN":"0036-8075","note":"PMID: 10753120","journalAbbreviation":"Science","language":"eng","author":[{"family":"Lebestky","given":"T."},{"family":"Chang","given":"T."},{"family":"Hartenstein","given":"V."},{"family":"Banerjee","given":"U."}],"issued":{"date-parts":[["2000",4,7]]}}},{"id":49,"uris":["http://zotero.org/users/952979/items/9W4M3KLB"],"uri":["http://zotero.org/users/952979/items/9W4M3KLB"],"itemData":{"id":49,"type":"article-journal","title":"A molecular aspect of hematopoiesis and endoderm development common to vertebrates and Drosophila","container-title":"Development","page":"4023-4031","volume":"122","issue":"12","source":"dev.biologists.org.sheffield.idm.oclc.org","abstract":"Skip to Next Section\nIn vertebrates, transcriptional regulators of the GATA family appear to have a conserved function in differentiation and organ development. GATA-1, −2 and −3 are required for different aspects of hematopoiesis, while GATA-4, −5 and −6 are expressed in various organs of endodermal origin, such as intestine and liver, and are implicated in endodermal differentiation. Here we report that the Drosophila gene serpent (srp) encodes the previously described GATA factor ABF. The multiple functions of srp in Drosophila suggest that it is an ortholog of the entire vertebrate Gata family. srp is required for the differentiation and morphogenesis of the endodermal gut. Here we show that it is also essential for Drosophila hematopoiesis and for the formation of the fat body, the insect organ analogous to the liver. These findings imply that some aspects of the molecular mechanisms underlying blood cell development as well as endodermal differentiation are early acquisitions of metazoan evolution and may be common to most higher animals.","ISSN":"0950-1991, 1477-9129","note":"PMID: 9012522","language":"en","author":[{"family":"Rehorn","given":"K. P."},{"family":"Thelen","given":"H."},{"family":"Michelson","given":"A. M."},{"family":"Reuter","given":"R."}],"issued":{"date-parts":[["1996",12,1]]}}},{"id":1337,"uris":["http://zotero.org/users/952979/items/3SUQR2C4"],"uri":["http://zotero.org/users/952979/items/3SUQR2C4"],"itemData":{"id":1337,"type":"article-journal","title":"Blood cells of Drosophila: cell lineages and role in host defence","container-title":"Current Opinion in Immunology","page":"10-15","volume":"16","issue":"1","source":"ScienceDirect","abstract":"Drosophila haemopoiesis gives rise to three independent cell lineages: plasmatocytes, crystal cells and lamellocytes. The regulation of Drosophila stem cell proliferation and lineage specification involves transactivators and signalling pathways, many of which have mammalian counterparts that control haemopoietic processes. Drosophila plasmatocytes are professional phagocytes that resemble the monocyte/macrophage lineage, crystal cells play a critical role in defence-related melanisation, and lamellocytes encapsulate large invaders. Crystal cells and lamellocytes have no clear mammalian homologues. Research into the molecular mechanisms that underlie the various immune functions of Drosophila blood cells, such as non-self recognition, is now taking wing.","DOI":"10.1016/j.coi.2003.11.002","ISSN":"0952-7915","shortTitle":"Blood cells of Drosophila","journalAbbreviation":"Current Opinion in Immunology","author":[{"family":"Meister","given":"Marie"}],"issued":{"date-parts":[["2004",2,1]]}}}],"schema":"https://github.com/citation-style-language/schema/raw/master/csl-citation.json"} </w:instrText>
      </w:r>
      <w:r w:rsidRPr="00957999">
        <w:fldChar w:fldCharType="separate"/>
      </w:r>
      <w:r w:rsidR="004A1963" w:rsidRPr="004A1963">
        <w:rPr>
          <w:rFonts w:ascii="Calibri" w:hAnsi="Calibri"/>
        </w:rPr>
        <w:t>(176,202,256,257)</w:t>
      </w:r>
      <w:r w:rsidRPr="00957999">
        <w:fldChar w:fldCharType="end"/>
      </w:r>
      <w:r>
        <w:t xml:space="preserve"> with additional factors necessary for plasmatocyte or crystal cell differentiation. Glial cell missing (Gcm) is the primary regulator of glial cell differentiation and is also essential for plasmatocyte differentiation </w:t>
      </w:r>
      <w:r>
        <w:fldChar w:fldCharType="begin"/>
      </w:r>
      <w:r w:rsidR="000A209C">
        <w:instrText xml:space="preserve"> ADDIN ZOTERO_ITEM CSL_CITATION {"citationID":"g2qxHhs7","properties":{"formattedCitation":"(258)","plainCitation":"(258)","noteIndex":0},"citationItems":[{"id":1446,"uris":["http://zotero.org/users/952979/items/D4UT8PSK"],"uri":["http://zotero.org/users/952979/items/D4UT8PSK"],"itemData":{"id":1446,"type":"article-journal","title":"gcm2 promotes glial cell differentiation and is required with glial cells missing for macrophage development in Drosophila","container-title":"Developmental Biology","page":"369-383","volume":"248","issue":"2","source":"PubMed","abstract":"glial cells missing (gcm) is the primary regulator of glial cell fate in Drosophila. In addition, gcm has a role in the differentiation of the plasmatocyte/macrophage lineage of hemocytes. Since mutation of gcm causes only a decrease in plasmatocyte numbers without changing their ability to convert into macrophages, gcm cannot be the sole determinant of plasmatocyte/macrophage differentiation. We have characterized a gcm homolog, gcm2. gcm2 is expressed at low levels in glial cells and hemocyte precursors. We show that gcm2 has redundant functions with gcm and has a minor role promoting glial cell differentiation. More significant, like gcm, mutation of gcm2 leads to reduced plasmatocyte numbers. A deletion removing both genes has allowed us to clarify the role of these redundant genes in plasmatocyte development. Animals deficient for both gcm and gcm2 fail to express the macrophage receptor Croquemort. Plasmatocytes are reduced in number, but still express the early marker Peroxidasin. These Peroxidasin-expressing hemocytes fail to migrate to their normal locations and do not complete their conversion into macrophages. Our results suggest that both gcm and gcm2 are required together for the proliferation of plasmatocyte precursors, the expression of Croquemort protein, and the ability of plasmatocytes to convert into macrophages.","ISSN":"0012-1606","note":"PMID: 12167411","journalAbbreviation":"Dev. Biol.","language":"eng","author":[{"family":"Alfonso","given":"Teresa B."},{"family":"Jones","given":"Bradley W."}],"issued":{"date-parts":[["2002",8,15]]}}}],"schema":"https://github.com/citation-style-language/schema/raw/master/csl-citation.json"} </w:instrText>
      </w:r>
      <w:r>
        <w:fldChar w:fldCharType="separate"/>
      </w:r>
      <w:r w:rsidR="004A1963" w:rsidRPr="004A1963">
        <w:rPr>
          <w:rFonts w:ascii="Calibri" w:hAnsi="Calibri"/>
        </w:rPr>
        <w:t>(258)</w:t>
      </w:r>
      <w:r>
        <w:fldChar w:fldCharType="end"/>
      </w:r>
      <w:r>
        <w:t xml:space="preserve">. In embryos with mutations in </w:t>
      </w:r>
      <w:r w:rsidRPr="00E51B39">
        <w:rPr>
          <w:i/>
        </w:rPr>
        <w:t>gcm</w:t>
      </w:r>
      <w:r>
        <w:t xml:space="preserve">, the number of plasmatocytes are reduced by approximately 40% </w:t>
      </w:r>
      <w:r>
        <w:fldChar w:fldCharType="begin"/>
      </w:r>
      <w:r w:rsidR="000A209C">
        <w:instrText xml:space="preserve"> ADDIN ZOTERO_ITEM CSL_CITATION {"citationID":"klbXmlld","properties":{"formattedCitation":"(259)","plainCitation":"(259)","noteIndex":0},"citationItems":[{"id":1447,"uris":["http://zotero.org/users/952979/items/J5SDXIUE"],"uri":["http://zotero.org/users/952979/items/J5SDXIUE"],"itemData":{"id":1447,"type":"article-journal","title":"glide/gcm is expressed and required in the scavenger cell lineage","container-title":"Developmental Biology","page":"118-130","volume":"191","issue":"1","source":"PubMed","abstract":"Glial cell differentiation in Drosophila melanogaster requires the activity of glide/gcm (glial cell deficient/glial cell missing). The role of this gene is to direct the cell fate switch between neurons and glial cells by activating the glial developmental program in multipotent precursor cells of the nervous system. In this paper, we show that glide/gcm is also expressed and required in the lineage of hemocytes/macrophages, scavenger cells that phagocytose cells undergoing programmed cell death. In addition, we show that, as for glial cells, glide/gcm plays an instructive role in hemocyte differentiation. Interestingly, it has been shown that in the development of the fly adult nervous system the role of scavenger cells is played by glial cells. These data and our findings on the dual role of glide/gcm indicate that glial cells and hemocytes/macrophages are functionally and molecularly related.","ISSN":"0012-1606","note":"PMID: 9356176","journalAbbreviation":"Dev. Biol.","language":"eng","author":[{"family":"Bernardoni","given":"R."},{"family":"Vivancos","given":"V."},{"family":"Giangrande","given":"A."}],"issued":{"date-parts":[["1997",11,1]]}}}],"schema":"https://github.com/citation-style-language/schema/raw/master/csl-citation.json"} </w:instrText>
      </w:r>
      <w:r>
        <w:fldChar w:fldCharType="separate"/>
      </w:r>
      <w:r w:rsidR="004A1963" w:rsidRPr="004A1963">
        <w:rPr>
          <w:rFonts w:ascii="Calibri" w:hAnsi="Calibri"/>
        </w:rPr>
        <w:t>(259)</w:t>
      </w:r>
      <w:r>
        <w:fldChar w:fldCharType="end"/>
      </w:r>
      <w:r>
        <w:t xml:space="preserve">. However, loss of </w:t>
      </w:r>
      <w:r>
        <w:rPr>
          <w:i/>
        </w:rPr>
        <w:t>gcm</w:t>
      </w:r>
      <w:r>
        <w:t xml:space="preserve"> alone does not prevent hemocytes from differentiating into plasmatocytes, suggesting that additional factors are required. Loss of </w:t>
      </w:r>
      <w:r w:rsidRPr="00E51B39">
        <w:rPr>
          <w:i/>
        </w:rPr>
        <w:t>gcm2</w:t>
      </w:r>
      <w:r>
        <w:t xml:space="preserve"> prevents hemocytes from differentiating into </w:t>
      </w:r>
      <w:r>
        <w:lastRenderedPageBreak/>
        <w:t xml:space="preserve">plasmatocytes and reduces hemocyte numbers by over 50%. Moreover, Croquemort expression was absent in this background </w:t>
      </w:r>
      <w:r>
        <w:fldChar w:fldCharType="begin"/>
      </w:r>
      <w:r w:rsidR="000A209C">
        <w:instrText xml:space="preserve"> ADDIN ZOTERO_ITEM CSL_CITATION {"citationID":"z0IBbOQi","properties":{"formattedCitation":"(258)","plainCitation":"(258)","noteIndex":0},"citationItems":[{"id":1446,"uris":["http://zotero.org/users/952979/items/D4UT8PSK"],"uri":["http://zotero.org/users/952979/items/D4UT8PSK"],"itemData":{"id":1446,"type":"article-journal","title":"gcm2 promotes glial cell differentiation and is required with glial cells missing for macrophage development in Drosophila","container-title":"Developmental Biology","page":"369-383","volume":"248","issue":"2","source":"PubMed","abstract":"glial cells missing (gcm) is the primary regulator of glial cell fate in Drosophila. In addition, gcm has a role in the differentiation of the plasmatocyte/macrophage lineage of hemocytes. Since mutation of gcm causes only a decrease in plasmatocyte numbers without changing their ability to convert into macrophages, gcm cannot be the sole determinant of plasmatocyte/macrophage differentiation. We have characterized a gcm homolog, gcm2. gcm2 is expressed at low levels in glial cells and hemocyte precursors. We show that gcm2 has redundant functions with gcm and has a minor role promoting glial cell differentiation. More significant, like gcm, mutation of gcm2 leads to reduced plasmatocyte numbers. A deletion removing both genes has allowed us to clarify the role of these redundant genes in plasmatocyte development. Animals deficient for both gcm and gcm2 fail to express the macrophage receptor Croquemort. Plasmatocytes are reduced in number, but still express the early marker Peroxidasin. These Peroxidasin-expressing hemocytes fail to migrate to their normal locations and do not complete their conversion into macrophages. Our results suggest that both gcm and gcm2 are required together for the proliferation of plasmatocyte precursors, the expression of Croquemort protein, and the ability of plasmatocytes to convert into macrophages.","ISSN":"0012-1606","note":"PMID: 12167411","journalAbbreviation":"Dev. Biol.","language":"eng","author":[{"family":"Alfonso","given":"Teresa B."},{"family":"Jones","given":"Bradley W."}],"issued":{"date-parts":[["2002",8,15]]}}}],"schema":"https://github.com/citation-style-language/schema/raw/master/csl-citation.json"} </w:instrText>
      </w:r>
      <w:r>
        <w:fldChar w:fldCharType="separate"/>
      </w:r>
      <w:r w:rsidR="004A1963" w:rsidRPr="004A1963">
        <w:rPr>
          <w:rFonts w:ascii="Calibri" w:hAnsi="Calibri"/>
        </w:rPr>
        <w:t>(258)</w:t>
      </w:r>
      <w:r>
        <w:fldChar w:fldCharType="end"/>
      </w:r>
      <w:r>
        <w:t xml:space="preserve">. Therefore, for correct plasmatocyte specification both </w:t>
      </w:r>
      <w:r w:rsidRPr="00E51B39">
        <w:rPr>
          <w:i/>
        </w:rPr>
        <w:t>srp</w:t>
      </w:r>
      <w:r>
        <w:t xml:space="preserve"> and </w:t>
      </w:r>
      <w:r w:rsidRPr="00E51B39">
        <w:rPr>
          <w:i/>
        </w:rPr>
        <w:t>gcm/gcm2</w:t>
      </w:r>
      <w:r>
        <w:t xml:space="preserve"> are required. Following specification, plasmatocytes represent approximately 700 cells, or 95%, of the hemocytes and follow chemoattractant cues to disperse throughout the embryo </w:t>
      </w:r>
      <w:r>
        <w:fldChar w:fldCharType="begin"/>
      </w:r>
      <w:r w:rsidR="000A209C">
        <w:instrText xml:space="preserve"> ADDIN ZOTERO_ITEM CSL_CITATION {"citationID":"ajWU7N1W","properties":{"formattedCitation":"(166,214)","plainCitation":"(166,214)","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Robert"},{"family":"Wood","given":"Will"}],"issued":{"date-parts":[["2011",3,8]]}}},{"id":1344,"uris":["http://zotero.org/users/952979/items/ZCGRSKPA"],"uri":["http://zotero.org/users/952979/items/ZCGRSKPA"],"itemData":{"id":1344,"type":"article-journal","title":"Embryonic origin of hemocytes and their relationship to cell death in Drosophila","container-title":"Development (Cambridge, England)","page":"1829-1837","volume":"120","issue":"7","source":"PubMed","abstract":"We have studied the embryonic development of Drosophila hemocytes and their conversion into macrophages. Hemocytes derive exclusively from the mesoderm of the head and disperse along several invariant migratory paths throughout the embryo. The origin of hemocytes from the head mesoderm is further supported by the finding that in Bicaudal D, a mutation that lacks all head structures, and in twist snail double mutants, where no mesoderm develops, hemocytes do not form. All embryonic hemocytes behave like a homogenous population with respect to their potential for phagocytosis. Thus, in the wild type, about 80-90% of hemocytes become macrophages during late development. In mutations with an increased amount of cell death (knirps; stardust; fork head), this figure approaches 100%. In contrast, in these mutations, the absolute number of hemocytes does not differ from that in wild type, indicating that cell death does not 'induce' the formation of hemocytes. Finally, we show that, in the Drosophila embryo, apoptosis can occur independently of macrophages, since mutations lacking macrophages (Bicaudal D; twist snail double mutants; torso4021) show abundant cell death.","ISSN":"0950-1991","note":"PMID: 7924990","journalAbbreviation":"Development","language":"eng","author":[{"family":"Tepass","given":"U."},{"family":"Fessler","given":"L. I."},{"family":"Aziz","given":"A."},{"family":"Hartenstein","given":"V."}],"issued":{"date-parts":[["1994",7]]}}}],"schema":"https://github.com/citation-style-language/schema/raw/master/csl-citation.json"} </w:instrText>
      </w:r>
      <w:r>
        <w:fldChar w:fldCharType="separate"/>
      </w:r>
      <w:r w:rsidR="004A1963" w:rsidRPr="004A1963">
        <w:rPr>
          <w:rFonts w:ascii="Calibri" w:hAnsi="Calibri"/>
        </w:rPr>
        <w:t>(166,214)</w:t>
      </w:r>
      <w:r>
        <w:fldChar w:fldCharType="end"/>
      </w:r>
      <w:r>
        <w:t xml:space="preserve">. Crystal cells require expression of Lozenge for correct specification </w:t>
      </w:r>
      <w:r>
        <w:fldChar w:fldCharType="begin"/>
      </w:r>
      <w:r w:rsidR="000A209C">
        <w:instrText xml:space="preserve"> ADDIN ZOTERO_ITEM CSL_CITATION {"citationID":"C8BN9HWA","properties":{"formattedCitation":"(202)","plainCitation":"(202)","noteIndex":0},"citationItems":[{"id":1427,"uris":["http://zotero.org/users/952979/items/VIJWJJG3"],"uri":["http://zotero.org/users/952979/items/VIJWJJG3"],"itemData":{"id":1427,"type":"article-journal","title":"Specification of Drosophila hematopoietic lineage by conserved transcription factors","container-title":"Science (New York, N.Y.)","page":"146-149","volume":"288","issue":"5463","source":"PubMed","abstract":"Two major classes of cells observed within the Drosophila hematopoietic repertoire are plasmatocytes/macrophages and crystal cells. The transcription factor Lz (Lozenge), which resembles human AML1 (acute myeloid leukemia- 1) protein, is necessary for the development of crystal cells during embryonic and larval hematopoiesis. Another transcription factor, Gcm (glial cells missing), has previously been shown to be required for plasmatocyte development. Misexpression of Gcm causes crystal cells to be transformed into plasmatocytes. The Drosophila GATA protein Srp (Serpent) is required for both Lz and Gcm expression and is necessary for the development of both classes of hemocytes, whereas Lz and Gcm are required in a lineage-specific manner. Given the similarities of Srp and Lz to mammalian GATA and AML1 proteins, observations in Drosophila are likely to have broad implications for understanding mammalian hematopoiesis and leukemias.","ISSN":"0036-8075","note":"PMID: 10753120","journalAbbreviation":"Science","language":"eng","author":[{"family":"Lebestky","given":"T."},{"family":"Chang","given":"T."},{"family":"Hartenstein","given":"V."},{"family":"Banerjee","given":"U."}],"issued":{"date-parts":[["2000",4,7]]}}}],"schema":"https://github.com/citation-style-language/schema/raw/master/csl-citation.json"} </w:instrText>
      </w:r>
      <w:r>
        <w:fldChar w:fldCharType="separate"/>
      </w:r>
      <w:r w:rsidR="004A1963" w:rsidRPr="004A1963">
        <w:rPr>
          <w:rFonts w:ascii="Calibri" w:hAnsi="Calibri"/>
        </w:rPr>
        <w:t>(202)</w:t>
      </w:r>
      <w:r>
        <w:fldChar w:fldCharType="end"/>
      </w:r>
      <w:r>
        <w:t xml:space="preserve">. </w:t>
      </w:r>
      <w:r w:rsidRPr="00E51B39">
        <w:rPr>
          <w:i/>
        </w:rPr>
        <w:t>Lz</w:t>
      </w:r>
      <w:r>
        <w:t xml:space="preserve"> expression begins at stage 7 of embryogenesis whilst </w:t>
      </w:r>
      <w:r>
        <w:rPr>
          <w:i/>
        </w:rPr>
        <w:t>gcm</w:t>
      </w:r>
      <w:r>
        <w:t xml:space="preserve"> is downregulated in a subset of the pro-hemocytes </w:t>
      </w:r>
      <w:r>
        <w:fldChar w:fldCharType="begin"/>
      </w:r>
      <w:r w:rsidR="000A209C">
        <w:instrText xml:space="preserve"> ADDIN ZOTERO_ITEM CSL_CITATION {"citationID":"bOkNs2ej","properties":{"formattedCitation":"(260)","plainCitation":"(260)","noteIndex":0},"citationItems":[{"id":47,"uris":["http://zotero.org/users/952979/items/A4FV5QB5"],"uri":["http://zotero.org/users/952979/items/A4FV5QB5"],"itemData":{"id":47,"type":"article-journal","title":"Resolving embryonic blood cell fate choice in Drosophila: interplay of GCM and RUNX factors","container-title":"Development (Cambridge, England)","page":"4635-4644","volume":"132","issue":"20","source":"PubMed","abstract":"The differentiation of Drosophila embryonic blood cell progenitors (prohemocytes) into plasmatocytes or crystal cells is controlled by lineage-specific transcription factors. The related proteins Glial cells missing (GCM) and GCM2 control plasmatocyte development, whereas the RUNX factor Lozenge (LZ) is required for crystal cell differentiation. We have investigated the segregation process that leads to the formation of these two cell types, and the interplay between LZ and GCM/GCM2. We show that, surprisingly, gcm is initially expressed in all prohemocytes but is rapidly downregulated in the anterior-most row of prohemocytes, which then initiates lz expression. However, the lz+ progenitors constitute a mixed-lineage population whose fate depends on the relative levels of LZ and GCM/GCM2. Notably, we demonstrate that GCM/GCM2 play a key role in controlling the size of the crystal cell population by inhibiting lz activation and maintenance. Furthermore, we show that prohemocytes are bipotent progenitors, and that downregulation of gcm/gcm2 is required for lz-induced crystal cell formation. These results provide new insight into the mechanisms controlling Drosophila hematopoiesis and establish the basis for an original model for the resolution of the choice of blood cell fate.","DOI":"10.1242/dev.02034","ISSN":"0950-1991","note":"PMID: 16176949","shortTitle":"Resolving embryonic blood cell fate choice in Drosophila","journalAbbreviation":"Development","language":"eng","author":[{"family":"Bataillé","given":"Laetitia"},{"family":"Augé","given":"Benoit"},{"family":"Ferjoux","given":"Géraldine"},{"family":"Haenlin","given":"Marc"},{"family":"Waltzer","given":"Lucas"}],"issued":{"date-parts":[["2005",10]]}}}],"schema":"https://github.com/citation-style-language/schema/raw/master/csl-citation.json"} </w:instrText>
      </w:r>
      <w:r>
        <w:fldChar w:fldCharType="separate"/>
      </w:r>
      <w:r w:rsidR="004A1963" w:rsidRPr="004A1963">
        <w:rPr>
          <w:rFonts w:ascii="Calibri" w:hAnsi="Calibri"/>
        </w:rPr>
        <w:t>(260)</w:t>
      </w:r>
      <w:r>
        <w:fldChar w:fldCharType="end"/>
      </w:r>
      <w:r>
        <w:t xml:space="preserve">. The downregulation of </w:t>
      </w:r>
      <w:r>
        <w:rPr>
          <w:i/>
        </w:rPr>
        <w:t>gcm</w:t>
      </w:r>
      <w:r>
        <w:t xml:space="preserve"> is essential for this as shown with </w:t>
      </w:r>
      <w:r w:rsidRPr="00E51B39">
        <w:rPr>
          <w:i/>
        </w:rPr>
        <w:t>gcm</w:t>
      </w:r>
      <w:r>
        <w:t xml:space="preserve"> mutants which display higher numbers of </w:t>
      </w:r>
      <w:r w:rsidRPr="00E51B39">
        <w:rPr>
          <w:i/>
        </w:rPr>
        <w:t>Lz</w:t>
      </w:r>
      <w:r>
        <w:t xml:space="preserve">-positive cells. Together, this demonstrates that crystal cell specification requires downregulation of </w:t>
      </w:r>
      <w:r>
        <w:rPr>
          <w:i/>
        </w:rPr>
        <w:t>gcm</w:t>
      </w:r>
      <w:r>
        <w:t xml:space="preserve"> and expression of </w:t>
      </w:r>
      <w:r w:rsidRPr="00E51B39">
        <w:rPr>
          <w:i/>
        </w:rPr>
        <w:t>Lz</w:t>
      </w:r>
      <w:r>
        <w:t xml:space="preserve">. </w:t>
      </w:r>
      <w:r w:rsidRPr="006E665A">
        <w:t>Specified crystal cells remain in the head mesoderm and represent 5% (approximately 30 cells) of the hemocyte population</w:t>
      </w:r>
      <w:r>
        <w:t xml:space="preserve"> </w:t>
      </w:r>
      <w:r>
        <w:fldChar w:fldCharType="begin"/>
      </w:r>
      <w:r w:rsidR="000A209C">
        <w:instrText xml:space="preserve"> ADDIN ZOTERO_ITEM CSL_CITATION {"citationID":"fVczlmFL","properties":{"formattedCitation":"(202)","plainCitation":"(202)","noteIndex":0},"citationItems":[{"id":1427,"uris":["http://zotero.org/users/952979/items/VIJWJJG3"],"uri":["http://zotero.org/users/952979/items/VIJWJJG3"],"itemData":{"id":1427,"type":"article-journal","title":"Specification of Drosophila hematopoietic lineage by conserved transcription factors","container-title":"Science (New York, N.Y.)","page":"146-149","volume":"288","issue":"5463","source":"PubMed","abstract":"Two major classes of cells observed within the Drosophila hematopoietic repertoire are plasmatocytes/macrophages and crystal cells. The transcription factor Lz (Lozenge), which resembles human AML1 (acute myeloid leukemia- 1) protein, is necessary for the development of crystal cells during embryonic and larval hematopoiesis. Another transcription factor, Gcm (glial cells missing), has previously been shown to be required for plasmatocyte development. Misexpression of Gcm causes crystal cells to be transformed into plasmatocytes. The Drosophila GATA protein Srp (Serpent) is required for both Lz and Gcm expression and is necessary for the development of both classes of hemocytes, whereas Lz and Gcm are required in a lineage-specific manner. Given the similarities of Srp and Lz to mammalian GATA and AML1 proteins, observations in Drosophila are likely to have broad implications for understanding mammalian hematopoiesis and leukemias.","ISSN":"0036-8075","note":"PMID: 10753120","journalAbbreviation":"Science","language":"eng","author":[{"family":"Lebestky","given":"T."},{"family":"Chang","given":"T."},{"family":"Hartenstein","given":"V."},{"family":"Banerjee","given":"U."}],"issued":{"date-parts":[["2000",4,7]]}}}],"schema":"https://github.com/citation-style-language/schema/raw/master/csl-citation.json"} </w:instrText>
      </w:r>
      <w:r>
        <w:fldChar w:fldCharType="separate"/>
      </w:r>
      <w:r w:rsidR="004A1963" w:rsidRPr="004A1963">
        <w:rPr>
          <w:rFonts w:ascii="Calibri" w:hAnsi="Calibri"/>
        </w:rPr>
        <w:t>(202)</w:t>
      </w:r>
      <w:r>
        <w:fldChar w:fldCharType="end"/>
      </w:r>
      <w:r w:rsidRPr="006E665A">
        <w:t xml:space="preserve">. </w:t>
      </w:r>
      <w:r w:rsidR="00ED6040">
        <w:t xml:space="preserve">This initial wave of hematopoiesis generates hemocytes that persist into adulthood </w:t>
      </w:r>
      <w:r w:rsidR="00ED6040">
        <w:fldChar w:fldCharType="begin"/>
      </w:r>
      <w:r w:rsidR="000A209C">
        <w:instrText xml:space="preserve"> ADDIN ZOTERO_ITEM CSL_CITATION {"citationID":"lYDcChvt","properties":{"formattedCitation":"(165,166)","plainCitation":"(165,166)","noteIndex":0},"citationItems":[{"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Robert"},{"family":"Wood","given":"Will"}],"issued":{"date-parts":[["2011",3,8]]}}}],"schema":"https://github.com/citation-style-language/schema/raw/master/csl-citation.json"} </w:instrText>
      </w:r>
      <w:r w:rsidR="00ED6040">
        <w:fldChar w:fldCharType="separate"/>
      </w:r>
      <w:r w:rsidR="004A1963" w:rsidRPr="004A1963">
        <w:rPr>
          <w:rFonts w:ascii="Calibri" w:hAnsi="Calibri"/>
        </w:rPr>
        <w:t>(165,166)</w:t>
      </w:r>
      <w:r w:rsidR="00ED6040">
        <w:fldChar w:fldCharType="end"/>
      </w:r>
      <w:r w:rsidR="00ED6040">
        <w:t xml:space="preserve">, akin to tissue resident macrophages in mammals. Indeed, tissue resident macrophages are derived from precursor cells that originate during the primitive phase of hematopoiesis </w:t>
      </w:r>
      <w:r w:rsidR="00ED6040">
        <w:fldChar w:fldCharType="begin"/>
      </w:r>
      <w:r w:rsidR="000A209C">
        <w:instrText xml:space="preserve"> ADDIN ZOTERO_ITEM CSL_CITATION {"citationID":"JyVK5woq","properties":{"formattedCitation":"(261)","plainCitation":"(261)","noteIndex":0},"citationItems":[{"id":4748,"uris":["http://zotero.org/users/952979/items/T5FDHXVU"],"uri":["http://zotero.org/users/952979/items/T5FDHXVU"],"itemData":{"id":4748,"type":"article-journal","title":"Tissue-Resident Macrophage Ontogeny and Homeostasis","container-title":"Immunity","page":"439-449","volume":"44","issue":"3","source":"www.cell.com","abstract":"&lt;p&gt;Defining the origins and developmental pathways of tissue-resident macrophages should help refine our understanding of the role of these cells in various disease settings and enable the design of novel macrophage-targeted therapies. In recent years the long-held belief that macrophage populations in the adult are continuously replenished by monocytes from the bone marrow (BM) has been overturned with the advent of new techniques to dissect cellular ontogeny. The new paradigm suggests that several tissue-resident macrophage populations are seeded during waves of embryonic hematopoiesis and self-maintain independently of BM contribution during adulthood. However, the exact nature of the embryonic progenitors that give rise to adult tissue-resident macrophages is still debated, and the mechanisms enabling macrophage population maintenance in the adult are undefined. Here, we review the emergence of these concepts and discuss current controversies and future directions in macrophage biology.&lt;/p&gt;","DOI":"10.1016/j.immuni.2016.02.024","ISSN":"1074-7613","note":"PMID: 26982352","journalAbbreviation":"Immunity","language":"English","author":[{"family":"Ginhoux","given":"Florent"},{"family":"Guilliams","given":"Martin"}],"issued":{"date-parts":[["2016",3,15]]}}}],"schema":"https://github.com/citation-style-language/schema/raw/master/csl-citation.json"} </w:instrText>
      </w:r>
      <w:r w:rsidR="00ED6040">
        <w:fldChar w:fldCharType="separate"/>
      </w:r>
      <w:r w:rsidR="004A1963" w:rsidRPr="004A1963">
        <w:rPr>
          <w:rFonts w:ascii="Calibri" w:hAnsi="Calibri"/>
        </w:rPr>
        <w:t>(261)</w:t>
      </w:r>
      <w:r w:rsidR="00ED6040">
        <w:fldChar w:fldCharType="end"/>
      </w:r>
      <w:r w:rsidR="00ED6040">
        <w:t>.</w:t>
      </w:r>
    </w:p>
    <w:p w14:paraId="74952CD9" w14:textId="7BB1E728" w:rsidR="001D1AB8" w:rsidRPr="006E665A" w:rsidRDefault="001D1AB8" w:rsidP="001D1AB8">
      <w:pPr>
        <w:pStyle w:val="Thesisnormal"/>
      </w:pPr>
    </w:p>
    <w:p w14:paraId="3730F336" w14:textId="3B22D1C1" w:rsidR="001D1AB8" w:rsidRDefault="001D1AB8" w:rsidP="001D1AB8">
      <w:pPr>
        <w:pStyle w:val="Thesisnormal"/>
      </w:pPr>
      <w:r w:rsidRPr="00A37FEF">
        <w:t>A second wave of hematopoiesis occurs in the l</w:t>
      </w:r>
      <w:r>
        <w:t xml:space="preserve">arval stage in the lymph gland </w:t>
      </w:r>
      <w:r>
        <w:fldChar w:fldCharType="begin"/>
      </w:r>
      <w:r w:rsidR="000A209C">
        <w:instrText xml:space="preserve"> ADDIN ZOTERO_ITEM CSL_CITATION {"citationID":"uXI80zPD","properties":{"formattedCitation":"(212)","plainCitation":"(212)","noteIndex":0},"citationItems":[{"id":1280,"uris":["http://zotero.org/users/952979/items/KRACHRRE"],"uri":["http://zotero.org/users/952979/items/KRACHRRE"],"itemData":{"id":1280,"type":"article-journal","title":"Drosophila haematopoiesis","container-title":"Cellular Microbiology","page":"1117-1126","volume":"9","issue":"5","source":"Wiley Online Library","abstract":"Like in vertebrates, Drosophila haematopoiesis occurs in two waves. It gives rise to three types of haemocytes: plasmatocytes (phagocytosis), crystal cells (melanization) and lamellocytes (encapsulation of parasites). A first population of haemocytes, specified during embryogenesis, gives rise to an invariant number of plasmatocytes and crystal cells. A second population of haemocytes is specified during larval development in a specialized haematopoietic organ, the lymph gland. All three types of haemocytes can be specified in this organ, but lamellocytes only differentiate in response to parasitism. Thus, larval in contrast to embryonic haematopoiesis can be modulated by physiological constraints. Molecular cascades controlling embryonic haematopoiesis are relatively well established and require transactivators such as GATA, FOG and Runx factors, which are also co-opted in mammalian haematopoiesis. Mechanisms involved during larval haematopoiesis are less well understood although a number of chromatin remodelling factors and signalling pathways (JAK/STAT, Toll, Hedgehog, Notch) are required. In healthy larvae a pool of progenitors is maintained within the lymph gland, under the control of a signalling centre which expresses Collier, Serrate, Antennapedia and Hedgehog, and controls haemocyte homeostasis. Its key role in haemocyte homeostasis is reminiscent of interactions described in vertebrates between haematopoietic stem cells and their microenvironment (niche).","DOI":"10.1111/j.1462-5822.2007.00930.x","ISSN":"1462-5822","language":"en","author":[{"family":"Crozatier","given":"Michèle"},{"family":"Meister","given":"Marie"}],"issued":{"date-parts":[["2007",5,1]]}}}],"schema":"https://github.com/citation-style-language/schema/raw/master/csl-citation.json"} </w:instrText>
      </w:r>
      <w:r>
        <w:fldChar w:fldCharType="separate"/>
      </w:r>
      <w:r w:rsidR="004A1963" w:rsidRPr="004A1963">
        <w:rPr>
          <w:rFonts w:ascii="Calibri" w:hAnsi="Calibri"/>
        </w:rPr>
        <w:t>(212)</w:t>
      </w:r>
      <w:r>
        <w:fldChar w:fldCharType="end"/>
      </w:r>
      <w:r w:rsidRPr="00A37FEF">
        <w:t>.</w:t>
      </w:r>
      <w:r>
        <w:t xml:space="preserve"> The lymph gland is a multi-lobed structure with the larger anterior lobe consisting of three structures; the medullary zone, the cortical zone and the posterior signalling centre </w:t>
      </w:r>
      <w:r>
        <w:fldChar w:fldCharType="begin"/>
      </w:r>
      <w:r w:rsidR="000A209C">
        <w:instrText xml:space="preserve"> ADDIN ZOTERO_ITEM CSL_CITATION {"citationID":"iMcDebIq","properties":{"formattedCitation":"(212,257)","plainCitation":"(212,257)","noteIndex":0},"citationItems":[{"id":1280,"uris":["http://zotero.org/users/952979/items/KRACHRRE"],"uri":["http://zotero.org/users/952979/items/KRACHRRE"],"itemData":{"id":1280,"type":"article-journal","title":"Drosophila haematopoiesis","container-title":"Cellular Microbiology","page":"1117-1126","volume":"9","issue":"5","source":"Wiley Online Library","abstract":"Like in vertebrates, Drosophila haematopoiesis occurs in two waves. It gives rise to three types of haemocytes: plasmatocytes (phagocytosis), crystal cells (melanization) and lamellocytes (encapsulation of parasites). A first population of haemocytes, specified during embryogenesis, gives rise to an invariant number of plasmatocytes and crystal cells. A second population of haemocytes is specified during larval development in a specialized haematopoietic organ, the lymph gland. All three types of haemocytes can be specified in this organ, but lamellocytes only differentiate in response to parasitism. Thus, larval in contrast to embryonic haematopoiesis can be modulated by physiological constraints. Molecular cascades controlling embryonic haematopoiesis are relatively well established and require transactivators such as GATA, FOG and Runx factors, which are also co-opted in mammalian haematopoiesis. Mechanisms involved during larval haematopoiesis are less well understood although a number of chromatin remodelling factors and signalling pathways (JAK/STAT, Toll, Hedgehog, Notch) are required. In healthy larvae a pool of progenitors is maintained within the lymph gland, under the control of a signalling centre which expresses Collier, Serrate, Antennapedia and Hedgehog, and controls haemocyte homeostasis. Its key role in haemocyte homeostasis is reminiscent of interactions described in vertebrates between haematopoietic stem cells and their microenvironment (niche).","DOI":"10.1111/j.1462-5822.2007.00930.x","ISSN":"1462-5822","language":"en","author":[{"family":"Crozatier","given":"Michèle"},{"family":"Meister","given":"Marie"}],"issued":{"date-parts":[["2007",5,1]]}}},{"id":1337,"uris":["http://zotero.org/users/952979/items/3SUQR2C4"],"uri":["http://zotero.org/users/952979/items/3SUQR2C4"],"itemData":{"id":1337,"type":"article-journal","title":"Blood cells of Drosophila: cell lineages and role in host defence","container-title":"Current Opinion in Immunology","page":"10-15","volume":"16","issue":"1","source":"ScienceDirect","abstract":"Drosophila haemopoiesis gives rise to three independent cell lineages: plasmatocytes, crystal cells and lamellocytes. The regulation of Drosophila stem cell proliferation and lineage specification involves transactivators and signalling pathways, many of which have mammalian counterparts that control haemopoietic processes. Drosophila plasmatocytes are professional phagocytes that resemble the monocyte/macrophage lineage, crystal cells play a critical role in defence-related melanisation, and lamellocytes encapsulate large invaders. Crystal cells and lamellocytes have no clear mammalian homologues. Research into the molecular mechanisms that underlie the various immune functions of Drosophila blood cells, such as non-self recognition, is now taking wing.","DOI":"10.1016/j.coi.2003.11.002","ISSN":"0952-7915","shortTitle":"Blood cells of Drosophila","journalAbbreviation":"Current Opinion in Immunology","author":[{"family":"Meister","given":"Marie"}],"issued":{"date-parts":[["2004",2,1]]}}}],"schema":"https://github.com/citation-style-language/schema/raw/master/csl-citation.json"} </w:instrText>
      </w:r>
      <w:r>
        <w:fldChar w:fldCharType="separate"/>
      </w:r>
      <w:r w:rsidR="004A1963" w:rsidRPr="004A1963">
        <w:rPr>
          <w:rFonts w:ascii="Calibri" w:hAnsi="Calibri"/>
        </w:rPr>
        <w:t>(212,257)</w:t>
      </w:r>
      <w:r>
        <w:fldChar w:fldCharType="end"/>
      </w:r>
      <w:r>
        <w:t xml:space="preserve">. Upon larvae to pupa transition, the lymph gland bursts, releasing the hemocyte pool into circulation </w:t>
      </w:r>
      <w:r>
        <w:fldChar w:fldCharType="begin"/>
      </w:r>
      <w:r w:rsidR="000A209C">
        <w:instrText xml:space="preserve"> ADDIN ZOTERO_ITEM CSL_CITATION {"citationID":"y0EbDzEP","properties":{"formattedCitation":"(262\\uc0\\u8211{}264)","plainCitation":"(262–264)","noteIndex":0},"citationItems":[{"id":1358,"uris":["http://zotero.org/users/952979/items/9A7JXAIM"],"uri":["http://zotero.org/users/952979/items/9A7JXAIM"],"itemData":{"id":1358,"type":"article-journal","title":"Cell lineage tracing reveals the plasticity of the hemocyte lineages and of the hematopoietic compartments in Drosophila melanogaster","container-title":"Molecular Immunology","page":"1997-2004","volume":"47","issue":"11-12","source":"PubMed","abstract":"Much of our knowledge on hematopoiesis, hematopoietic compartments, hematopoietic cell lineages and immunity has been derived from studies on the vertebrate immune system. The sophisticated innate immunity of insects, the phylogenetic conservation and the power of Drosophila genetics allowed the investigation of immune cell (hemocyte) lineage relationships in Drosophila melanogaster. The development of the hemocyte lineages in Drosophila is a result of a precisely regulated succession of intracellular and intercellular events, though the nature and extent of these interactions are not known. We describe here a cell lineage tracing system set up to analyze the development of hemocyte lineages and functionally distinct hemocyte subsets. This system allowed us to distinguish two major embryonic hemocyte lineages, the crq and Dot lineages, in two, physically separated compartments, the embryonic macrophages and the embryonic lymph gland. We followed the fate and development of these lineages in the construction of the larval hematopoietic compartments and during the cell-mediated immune response, the encapsulation reaction. Our results revealed the considerable plasticity and concerted action of the hematopoietic compartments and the hemocyte lineages in the development of the innate immune system and in the course of the cell-mediated immune response in Drosophila.","DOI":"10.1016/j.molimm.2010.04.017","ISSN":"1872-9142","note":"PMID: 20483458","journalAbbreviation":"Mol. Immunol.","language":"eng","author":[{"family":"Honti","given":"Viktor"},{"family":"Csordás","given":"Gábor"},{"family":"Márkus","given":"Róbert"},{"family":"Kurucz","given":"Eva"},{"family":"Jankovics","given":"Ferenc"},{"family":"Andó","given":"István"}],"issued":{"date-parts":[["2010",7]]}}},{"id":1237,"uris":["http://zotero.org/users/952979/items/KHBA5MKA"],"uri":["http://zotero.org/users/952979/items/KHBA5MKA"],"itemData":{"id":1237,"type":"article-journal","title":"In vivo immunostaining of hemocyte compartments in Drosophila for live imaging","container-title":"PloS One","page":"e98191","volume":"9","issue":"6","source":"PubMed","abstract":"In recent years, Drosophila melanogaster has become an attractive model organism in which to study the structure and development of the cellular immune components. The emergence of immunological markers greatly accelerated the identification of the immune cells (hemocytes), while the creation of genetic reporter constructs allowed unique insight into the structural organization of hematopoietic tissues. However, investigation of the hemocyte compartments by the means of immunological markers requires dissection and fixation, which regularly disrupt the delicate structure and hamper the microanatomical characterization. Moreover, the investigation of transgenic reporters alone can be misleading as their expression often differs from the native expression pattern of their respective genes. We describe here a method that combines the reporter constructs and the immunological tools in live imaging, thereby allowing use of the array of available immunological markers while retaining the structural integrity of the hematopoietic compartments. The procedure allows the reversible immobilization of Drosophila larvae for high-resolution confocal imaging and the time-lapse video analysis of in vivo reporters. When combined with our antibody injection-based in situ immunostaining assay, the resulting double labeling of the hemocyte compartments can provide new information on the microanatomy and functional properties of the hematopoietic tissues in an intact state. Although this method was developed to study the immune system of Drosophila melanogaster, we anticipate that such a combination of genetic and immunological markers could become a versatile technique for in vivo studies in other biological systems too.","DOI":"10.1371/journal.pone.0098191","ISSN":"1932-6203","note":"PMID: 24892745\nPMCID: PMC4043501","journalAbbreviation":"PLoS ONE","language":"eng","author":[{"family":"Csordás","given":"Gábor"},{"family":"Varga","given":"Gergely I. B."},{"family":"Honti","given":"Viktor"},{"family":"Jankovics","given":"Ferenc"},{"family":"Kurucz","given":"Éva"},{"family":"Andó","given":"István"}],"issued":{"date-parts":[["2014"]]}}},{"id":44,"uris":["http://zotero.org/users/952979/items/A4FDS9E3"],"uri":["http://zotero.org/users/952979/items/A4FDS9E3"],"itemData":{"id":44,"type":"article-journal","title":"Hematopoiesis at the onset of metamorphosis: terminal differentiation and dissociation of the Drosophila lymph gland","container-title":"Development Genes and Evolution","page":"121-131","volume":"221","issue":"3","source":"PubMed","abstract":"The Drosophila melanogaster hematopoietic organ, called lymph gland, proliferates and differentiates throughout the larval period. The lymph gland of the late larva is comprised of a large primary lobe and several smaller secondary lobes. Differentiation into two types of hemocytes, plasmatocytes and crystal cells, is confined to the outer layer (cortical zone) of the primary lobe; the center of the primary lobe (medullary zone), as well as the secondary lobes, contain only proliferating prohemocytes. A small cluster of cells located at the posterior tip of the primary lobe serves as a signaling center (PSC) that inhibits precocious differentiation of the medullary zone. The larval lymph gland is stabilized by layers of extracellular matrix (basement membranes) that surround individual hemocytes, groups of hemocytes, as well as the lymph gland as a whole. In this paper, we investigated the events shaping the lymph gland in the early pupa. The lymph gland dissociates and hemocytes disperse during the first 12 h after puparium formation (APF), leaving behind empty husks of basement membrane. Prior to lymph gland dissociation, cells of the medullary zone differentiate, expressing the early differentiation marker Peroxidasin (Pxn), as well as, in part, the late differentiation marker P1. Cells of the PSC spread throughout the pupal lymph gland prior to their dispersal. Cells of the secondary lobes undergo a rapid phase of proliferation that lasts until 8 h APF, followed by expression of Pxn and dispersal. These hemocytes do not express P1, indicating that they disperse prior to full maturation.","DOI":"10.1007/s00427-011-0364-6","ISSN":"1432-041X","note":"PMID: 21509534\nPMCID: PMC4278756","shortTitle":"Hematopoiesis at the onset of metamorphosis","journalAbbreviation":"Dev. Genes Evol.","language":"eng","author":[{"family":"Grigorian","given":"Melina"},{"family":"Mandal","given":"Lolitika"},{"family":"Hartenstein","given":"Volker"}],"issued":{"date-parts":[["2011",8]]}}}],"schema":"https://github.com/citation-style-language/schema/raw/master/csl-citation.json"} </w:instrText>
      </w:r>
      <w:r>
        <w:fldChar w:fldCharType="separate"/>
      </w:r>
      <w:r w:rsidR="004A1963" w:rsidRPr="004A1963">
        <w:rPr>
          <w:rFonts w:ascii="Calibri" w:hAnsi="Calibri" w:cs="Times New Roman"/>
        </w:rPr>
        <w:t>(262–264)</w:t>
      </w:r>
      <w:r>
        <w:fldChar w:fldCharType="end"/>
      </w:r>
      <w:r>
        <w:t xml:space="preserve">. The signalling within this organ is highly complex with multiple different signalling pathways active such as JAK/STAT, Nf-κB, Wingless, GATA factors, Ras, Collier and ROS species </w:t>
      </w:r>
      <w:r>
        <w:fldChar w:fldCharType="begin"/>
      </w:r>
      <w:r w:rsidR="000A209C">
        <w:instrText xml:space="preserve"> ADDIN ZOTERO_ITEM CSL_CITATION {"citationID":"qMEOlK9f","properties":{"formattedCitation":"(265\\uc0\\u8211{}270)","plainCitation":"(265–270)","noteIndex":0},"citationItems":[{"id":1444,"uris":["http://zotero.org/users/952979/items/NN7U6VF2"],"uri":["http://zotero.org/users/952979/items/NN7U6VF2"],"itemData":{"id":1444,"type":"article-journal","title":"A Serrate-expressing signaling center controls Drosophila hematopoiesis","container-title":"Genes &amp; Development","page":"348-353","volume":"17","issue":"3","source":"PubMed","abstract":"The differentiation of Drosophila blood cells relies on a functional hierarchy between the GATA protein, Serpent (Srp), and multiple lineage-specific transcription factors, such as the AML1-like protein, Lozenge (Lz). Two major branches of Drosophila hematopoiesis give rise to plasmatocytes/macrophages and crystal cells. Serrate signaling through the Notch pathway is critical in the regulation of Lz expression and the specification of crystal cell precursors, thus providing a key distinction between the two lineages. The expression of Serrate marks a discrete cluster of cells in the lymph gland, a signaling center, with functional similarities to stromal signaling in mammalian hematopoiesis.","DOI":"10.1101/gad.1052803","ISSN":"0890-9369","note":"PMID: 12569125\nPMCID: PMC195988","journalAbbreviation":"Genes Dev.","language":"eng","author":[{"family":"Lebestky","given":"Tim"},{"family":"Jung","given":"Seung-Hye"},{"family":"Banerjee","given":"Utpal"}],"issued":{"date-parts":[["2003",2,1]]}}},{"id":1303,"uris":["http://zotero.org/users/952979/items/92QEBF6Q"],"uri":["http://zotero.org/users/952979/items/92QEBF6Q"],"itemData":{"id":1303,"type":"article-journal","title":"Upregulation of the Drosophila Friend of GATA Gene u-shaped by JAK/STAT Signaling Maintains Lymph Gland Prohemocyte Potency","container-title":"Molecular and Cellular Biology","page":"6086-6096","volume":"29","issue":"22","source":"mcb.asm.org","abstract":"Studies using Drosophila melanogaster have contributed significantly to our understanding of the interaction between stem cells and their protective microenvironments or stem cell niches. During lymph gland hematopoiesis, the Drosophila posterior signaling center functions as a stem cell niche to maintain prohemocyte multipotency through Hedgehog and JAK/STAT signaling. In this study, we provide evidence that the Friend of GATA protein U-shaped is an important regulator of lymph gland prohemocyte potency and differentiation. U-shaped expression was determined to be upregulated in third-instar lymph gland prohemocytes and downregulated in a subpopulation of differentiating blood cells. Genetic analyses indicated that U-shaped maintains the prohemocyte population by blocking differentiation. In addition, activated STAT directly regulated ush expression as evidenced by results from loss- and gain-of-function studies and from analyses of the u-shaped hematopoietic cis-regulatory module. Collectively, these findings identify U-shaped as a downstream effector of the posterior signaling center, establishing a novel link between the stem cell niche and the intrinsic regulation of potency and differentiation. Given the functional conservation of Friend of GATA proteins and the role that GATA factors play during cell fate choice, these factors may regulate essential functions of vertebrate hematopoietic stem cells, including processing signals from the stem cell niche.","DOI":"10.1128/MCB.00244-09","ISSN":"0270-7306, 1098-5549","note":"PMID: 19737914","journalAbbreviation":"Mol. Cell. Biol.","language":"en","author":[{"family":"Gao","given":"Hongjuan"},{"family":"Wu","given":"Xiaorong"},{"family":"Fossett","given":"Nancy"}],"issued":{"date-parts":[["2009",11,15]]}}},{"id":1348,"uris":["http://zotero.org/users/952979/items/GRKTXBQW"],"uri":["http://zotero.org/users/952979/items/GRKTXBQW"],"itemData":{"id":1348,"type":"article-journal","title":"The roles of JAK/STAT signaling in Drosophila immune responses","container-title":"Immunological Reviews","page":"72-82","volume":"198","source":"PubMed","abstract":"Innate immune responses are mediated by the activation of various signaling processes. Here, we describe our current knowledge on Janus kinase (JAK)/signal transducers and activators of transcription (STAT) signaling in the Drosophila immune response. First, we briefly introduce the main effectors involved in the humoral and cellular responses, such as anti-bacterial peptides and hemocytes. Second, we describe the canonical JAK/STAT-signaling pathway, as established from extensive studies in mammalian systems, and we introduce the Drosophila components of the JAK/STAT pathway, as discovered from studies on embryonic development. Third, we describe the various roles of JAK/STAT signaling in both humoral and cellular responses. We present the JAK/STAT-dependent humoral factors, such as the thioester-containing proteins and the Tot peptides, produced by the fat body in response to septic injury. We also discuss the possible involvement of the JAK/STAT pathway in cellular responses, including hemocyte proliferation and differentiation. Finally, we present how cytokines, such as Upd3, might contribute to the integration of the immune responses at the organism level by orchestrating the response of various immune cells and organs, such as fat body, hemocytes, and lymph glands.","ISSN":"0105-2896","note":"PMID: 15199955","journalAbbreviation":"Immunol. Rev.","language":"eng","author":[{"family":"Agaisse","given":"Hervé"},{"family":"Perrimon","given":"Norbert"}],"issued":{"date-parts":[["2004",4]]}}},{"id":1395,"uris":["http://zotero.org/users/952979/items/UIT8UVI7"],"uri":["http://zotero.org/users/952979/items/UIT8UVI7"],"itemData":{"id":1395,"type":"article-journal","title":"Oxidative stress in the haematopoietic niche regulates the cellular immune response in Drosophila","container-title":"EMBO Reports","page":"83-89","volume":"13","issue":"1","source":"PubMed Central","abstract":"The haematopoietic niche is shown to sense localized oxidative challenge induced by pathogen infection, and respond by eliciting a systemic effect on immune function, leading to innate immune cell differentiation., Oxidative stress induced by high levels of reactive oxygen species (ROS) is associated with the development of different pathological conditions, including cancers and autoimmune diseases. We analysed whether oxidatively challenged tissue can have systemic effects on the development of cellular immune responses using Drosophila as a model system. Indeed, the haematopoietic niche that normally maintains blood progenitors can sense oxidative stress and regulate the cellular immune response. Pathogen infection induces ROS in the niche cells, resulting in the secretion of an epidermal growth factor-like cytokine signal that leads to the differentiation of specialized cells involved in innate immune responses.","DOI":"10.1038/embor.2011.223","ISSN":"1469-221X","note":"PMID: 22134547\nPMCID: PMC3246251","journalAbbreviation":"EMBO Rep","author":[{"family":"Sinenko","given":"Sergey A"},{"family":"Shim","given":"Jiwon"},{"family":"Banerjee","given":"Utpal"}],"issued":{"date-parts":[["2012",1]]}}},{"id":46,"uris":["http://zotero.org/users/952979/items/ILU7VA4B"],"uri":["http://zotero.org/users/952979/items/ILU7VA4B"],"itemData":{"id":46,"type":"article-journal","title":"Control of blood cell homeostasis in Drosophila larvae by the posterior signalling centre","container-title":"Nature","page":"325-328","volume":"446","issue":"7133","source":"PubMed","abstract":"Drosophila haemocytes (blood cells) originate from a specialized haematopoietic organ-the lymph gland. Larval haematopoietic progenitors (prohaemocytes) give rise to three types of circulating haemocytes: plasmatocytes, crystal cells and lamellocytes. Lamellocytes, which are devoted to encapsulation of large foreign bodies, only differentiate in response to specific immune threats, such as parasitization by wasps. Here we show that a small cluster of signalling cells, termed the PSC (posterior signalling centre), controls the balance between multipotent prohaemocytes and differentiating haemocytes, and is necessary for the massive differentiation of lamellocytes that follows parasitization. Communication between the PSC and haematopoietic progenitors strictly depends on the PSC-restricted expression of Collier, the Drosophila orthologue of mammalian early B-cell factor. PSC cells act, in a non-cell-autonomous manner, to maintain JAK/STAT signalling activity in prohaemocytes, preventing their premature differentiation. Serrate-mediated Notch signalling from the PSC is required to maintain normal levels of col transcription. The key role of the PSC in controlling blood cell homeostasis is reminiscent of interactions between haematopoietic progenitors and their micro-environment in vertebrates, thus further highlighting the interest of Drosophila as a model system for studying the evolution of haematopoiesis and cellular innate immunity.","DOI":"10.1038/nature05650","ISSN":"1476-4687","note":"PMID: 17361184","journalAbbreviation":"Nature","language":"eng","author":[{"family":"Krzemień","given":"Joanna"},{"family":"Dubois","given":"Laurence"},{"family":"Makki","given":"Rami"},{"family":"Meister","given":"Marie"},{"family":"Vincent","given":"Alain"},{"family":"Crozatier","given":"Michèle"}],"issued":{"date-parts":[["2007",3,15]]}}},{"id":45,"uris":["http://zotero.org/users/952979/items/W5VLIVF8"],"uri":["http://zotero.org/users/952979/items/W5VLIVF8"],"itemData":{"id":45,"type":"article-journal","title":"Yantar, a conserved arginine-rich protein is involved in Drosophila hemocyte development","container-title":"Developmental Biology","page":"48-62","volume":"273","issue":"1","source":"PubMed","abstract":"To identify novel factors involved in Drosophila hematopoiesis, we screened a collection of lethal recessive mutations that also affected normal hemocyte composition in larvae. We present the characterization of the gene yantar (ytr) for which we isolated null and hypomorphic mutations that were associated with severe defects in hemocyte differentiation and proliferation; ytr is predominantly expressed in the hematopoietic tissue during larval development and encodes an evolutionary conserved protein which is predominantly localized in the nucleus. The hematopoietic phenotype in ytr mutants is consistent with a defect or block in differentiation of precursor hemocytes: mutant larvae have enlarged lymph glands (LGs) and have an excess of circulating hemocytes. In addition, many cells exhibit both lamellocyte and crystal cell markers. Ytr function has been preserved in evolution as hematopoietic specific expression of the Drosophila or mouse Ytr proteins rescue the differentiation defects in mutant hemocytes.","DOI":"10.1016/j.ydbio.2004.05.022","ISSN":"0012-1606","note":"PMID: 15302597","journalAbbreviation":"Dev. Biol.","language":"eng","author":[{"family":"Sinenko","given":"Sergey A."},{"family":"Kim","given":"Eun Kyung"},{"family":"Wynn","given":"Rhoda"},{"family":"Manfruelli","given":"Pascal"},{"family":"Ando","given":"Istvan"},{"family":"Wharton","given":"Kristi A."},{"family":"Perrimon","given":"Norbert"},{"family":"Mathey-Prevot","given":"Bernard"}],"issued":{"date-parts":[["2004",9,1]]}}}],"schema":"https://github.com/citation-style-language/schema/raw/master/csl-citation.json"} </w:instrText>
      </w:r>
      <w:r>
        <w:fldChar w:fldCharType="separate"/>
      </w:r>
      <w:r w:rsidR="004A1963" w:rsidRPr="004A1963">
        <w:rPr>
          <w:rFonts w:ascii="Calibri" w:hAnsi="Calibri" w:cs="Times New Roman"/>
        </w:rPr>
        <w:t>(265–270)</w:t>
      </w:r>
      <w:r>
        <w:fldChar w:fldCharType="end"/>
      </w:r>
      <w:r>
        <w:t>. This signalling is also different from that observed in the primitive hematopoietic wave. For example, s</w:t>
      </w:r>
      <w:r w:rsidRPr="00AD3BF3">
        <w:t xml:space="preserve">ignalling via the Serrate/Notch pathway together with the Lozenge (Lz) transcription factor governs crystal cell fate </w:t>
      </w:r>
      <w:r w:rsidRPr="00AD3BF3">
        <w:fldChar w:fldCharType="begin"/>
      </w:r>
      <w:r w:rsidR="000A209C">
        <w:instrText xml:space="preserve"> ADDIN ZOTERO_ITEM CSL_CITATION {"citationID":"mHQzT10f","properties":{"formattedCitation":"(265,271)","plainCitation":"(265,271)","noteIndex":0},"citationItems":[{"id":1445,"uris":["http://zotero.org/users/952979/items/TX9R7HCX"],"uri":["http://zotero.org/users/952979/items/TX9R7HCX"],"itemData":{"id":1445,"type":"article-journal","title":"Notch signaling controls lineage specification during Drosophila larval hematopoiesis","container-title":"Current biology: CB","page":"1923-1927","volume":"12","issue":"22","source":"PubMed","abstract":"Drosophila larval hemocytes originate from a hematopoietic organ called lymph glands, which are composed of paired lobes located along the dorsal vessel. Two mature blood cell populations are found in the circulating hemolymph: the macrophage-like plasmatocytes, and the crystal cells that contain enzymes of the immune-related melanization process. A third class of cells, called lamellocytes, are normally absent in larvae but differentiate after infection by parasites too large to be phagocytosed. Here we present evidence that the Notch signaling pathway plays an instructive role in the differentiation of crystal cells. Loss-of-function mutations in Notch result in severely decreased crystal cell numbers, whereas overexpression of Notch provokes the differentiation of high numbers of these cells. We demonstrate that, in this process, Serrate, not Delta, is the Notch ligand. In addition, Notch function is necessary for lamellocyte proliferation upon parasitization, although Notch overexpression does not result in lamellocyte production. Finally, Notch does not appear to play a role in the differentiation of the plasmatocyte lineage. This study underlines the existence of parallels in the genetic control of hematopoiesis in Drosophila and in mammals.","ISSN":"0960-9822","note":"PMID: 12445385","journalAbbreviation":"Curr. Biol.","language":"eng","author":[{"family":"Duvic","given":"Bernard"},{"family":"Hoffmann","given":"Jules A."},{"family":"Meister","given":"Marie"},{"family":"Royet","given":"Julien"}],"issued":{"date-parts":[["2002",11,19]]}}},{"id":1444,"uris":["http://zotero.org/users/952979/items/NN7U6VF2"],"uri":["http://zotero.org/users/952979/items/NN7U6VF2"],"itemData":{"id":1444,"type":"article-journal","title":"A Serrate-expressing signaling center controls Drosophila hematopoiesis","container-title":"Genes &amp; Development","page":"348-353","volume":"17","issue":"3","source":"PubMed","abstract":"The differentiation of Drosophila blood cells relies on a functional hierarchy between the GATA protein, Serpent (Srp), and multiple lineage-specific transcription factors, such as the AML1-like protein, Lozenge (Lz). Two major branches of Drosophila hematopoiesis give rise to plasmatocytes/macrophages and crystal cells. Serrate signaling through the Notch pathway is critical in the regulation of Lz expression and the specification of crystal cell precursors, thus providing a key distinction between the two lineages. The expression of Serrate marks a discrete cluster of cells in the lymph gland, a signaling center, with functional similarities to stromal signaling in mammalian hematopoiesis.","DOI":"10.1101/gad.1052803","ISSN":"0890-9369","note":"PMID: 12569125\nPMCID: PMC195988","journalAbbreviation":"Genes Dev.","language":"eng","author":[{"family":"Lebestky","given":"Tim"},{"family":"Jung","given":"Seung-Hye"},{"family":"Banerjee","given":"Utpal"}],"issued":{"date-parts":[["2003",2,1]]}}}],"schema":"https://github.com/citation-style-language/schema/raw/master/csl-citation.json"} </w:instrText>
      </w:r>
      <w:r w:rsidRPr="00AD3BF3">
        <w:fldChar w:fldCharType="separate"/>
      </w:r>
      <w:r w:rsidR="004A1963" w:rsidRPr="004A1963">
        <w:rPr>
          <w:rFonts w:ascii="Calibri" w:hAnsi="Calibri"/>
        </w:rPr>
        <w:t>(265,271)</w:t>
      </w:r>
      <w:r w:rsidRPr="00AD3BF3">
        <w:fldChar w:fldCharType="end"/>
      </w:r>
      <w:r w:rsidRPr="00AD3BF3">
        <w:t xml:space="preserve">. In contrast, Notch signalling does not appear to be required for the differentiation of crystal cells during embryonic hematopoiesis </w:t>
      </w:r>
      <w:r w:rsidRPr="00AD3BF3">
        <w:fldChar w:fldCharType="begin"/>
      </w:r>
      <w:r w:rsidR="000A209C">
        <w:instrText xml:space="preserve"> ADDIN ZOTERO_ITEM CSL_CITATION {"citationID":"ZTR7Fa1A","properties":{"formattedCitation":"(260)","plainCitation":"(260)","noteIndex":0},"citationItems":[{"id":47,"uris":["http://zotero.org/users/952979/items/A4FV5QB5"],"uri":["http://zotero.org/users/952979/items/A4FV5QB5"],"itemData":{"id":47,"type":"article-journal","title":"Resolving embryonic blood cell fate choice in Drosophila: interplay of GCM and RUNX factors","container-title":"Development (Cambridge, England)","page":"4635-4644","volume":"132","issue":"20","source":"PubMed","abstract":"The differentiation of Drosophila embryonic blood cell progenitors (prohemocytes) into plasmatocytes or crystal cells is controlled by lineage-specific transcription factors. The related proteins Glial cells missing (GCM) and GCM2 control plasmatocyte development, whereas the RUNX factor Lozenge (LZ) is required for crystal cell differentiation. We have investigated the segregation process that leads to the formation of these two cell types, and the interplay between LZ and GCM/GCM2. We show that, surprisingly, gcm is initially expressed in all prohemocytes but is rapidly downregulated in the anterior-most row of prohemocytes, which then initiates lz expression. However, the lz+ progenitors constitute a mixed-lineage population whose fate depends on the relative levels of LZ and GCM/GCM2. Notably, we demonstrate that GCM/GCM2 play a key role in controlling the size of the crystal cell population by inhibiting lz activation and maintenance. Furthermore, we show that prohemocytes are bipotent progenitors, and that downregulation of gcm/gcm2 is required for lz-induced crystal cell formation. These results provide new insight into the mechanisms controlling Drosophila hematopoiesis and establish the basis for an original model for the resolution of the choice of blood cell fate.","DOI":"10.1242/dev.02034","ISSN":"0950-1991","note":"PMID: 16176949","shortTitle":"Resolving embryonic blood cell fate choice in Drosophila","journalAbbreviation":"Development","language":"eng","author":[{"family":"Bataillé","given":"Laetitia"},{"family":"Augé","given":"Benoit"},{"family":"Ferjoux","given":"Géraldine"},{"family":"Haenlin","given":"Marc"},{"family":"Waltzer","given":"Lucas"}],"issued":{"date-parts":[["2005",10]]}}}],"schema":"https://github.com/citation-style-language/schema/raw/master/csl-citation.json"} </w:instrText>
      </w:r>
      <w:r w:rsidRPr="00AD3BF3">
        <w:fldChar w:fldCharType="separate"/>
      </w:r>
      <w:r w:rsidR="004A1963" w:rsidRPr="004A1963">
        <w:rPr>
          <w:rFonts w:ascii="Calibri" w:hAnsi="Calibri"/>
        </w:rPr>
        <w:t>(260)</w:t>
      </w:r>
      <w:r w:rsidRPr="00AD3BF3">
        <w:fldChar w:fldCharType="end"/>
      </w:r>
      <w:r w:rsidRPr="00AD3BF3">
        <w:t xml:space="preserve">. </w:t>
      </w:r>
      <w:r>
        <w:t xml:space="preserve">Further highlighting the complexity of signalling, </w:t>
      </w:r>
      <w:r w:rsidRPr="00AD3BF3">
        <w:t xml:space="preserve">JAK/STAT signalling has multiple roles </w:t>
      </w:r>
      <w:r>
        <w:t>with</w:t>
      </w:r>
      <w:r w:rsidRPr="00AD3BF3">
        <w:t xml:space="preserve">in the lymph gland. </w:t>
      </w:r>
      <w:r w:rsidRPr="00E51B39">
        <w:t>U-shaped (</w:t>
      </w:r>
      <w:r>
        <w:t>U</w:t>
      </w:r>
      <w:r w:rsidRPr="00E51B39">
        <w:t>sh)</w:t>
      </w:r>
      <w:r>
        <w:t xml:space="preserve">, a protein which binds GATA factors, binds to Srp to maintain the pro-hemocyte progenitor cells </w:t>
      </w:r>
      <w:r w:rsidRPr="000B0F1B">
        <w:t>and</w:t>
      </w:r>
      <w:r>
        <w:rPr>
          <w:i/>
        </w:rPr>
        <w:t xml:space="preserve"> </w:t>
      </w:r>
      <w:r>
        <w:t xml:space="preserve">is under the control of active STAT </w:t>
      </w:r>
      <w:r>
        <w:fldChar w:fldCharType="begin"/>
      </w:r>
      <w:r w:rsidR="000A209C">
        <w:instrText xml:space="preserve"> ADDIN ZOTERO_ITEM CSL_CITATION {"citationID":"sdIKpfEC","properties":{"formattedCitation":"(266)","plainCitation":"(266)","noteIndex":0},"citationItems":[{"id":1303,"uris":["http://zotero.org/users/952979/items/92QEBF6Q"],"uri":["http://zotero.org/users/952979/items/92QEBF6Q"],"itemData":{"id":1303,"type":"article-journal","title":"Upregulation of the Drosophila Friend of GATA Gene u-shaped by JAK/STAT Signaling Maintains Lymph Gland Prohemocyte Potency","container-title":"Molecular and Cellular Biology","page":"6086-6096","volume":"29","issue":"22","source":"mcb.asm.org","abstract":"Studies using Drosophila melanogaster have contributed significantly to our understanding of the interaction between stem cells and their protective microenvironments or stem cell niches. During lymph gland hematopoiesis, the Drosophila posterior signaling center functions as a stem cell niche to maintain prohemocyte multipotency through Hedgehog and JAK/STAT signaling. In this study, we provide evidence that the Friend of GATA protein U-shaped is an important regulator of lymph gland prohemocyte potency and differentiation. U-shaped expression was determined to be upregulated in third-instar lymph gland prohemocytes and downregulated in a subpopulation of differentiating blood cells. Genetic analyses indicated that U-shaped maintains the prohemocyte population by blocking differentiation. In addition, activated STAT directly regulated ush expression as evidenced by results from loss- and gain-of-function studies and from analyses of the u-shaped hematopoietic cis-regulatory module. Collectively, these findings identify U-shaped as a downstream effector of the posterior signaling center, establishing a novel link between the stem cell niche and the intrinsic regulation of potency and differentiation. Given the functional conservation of Friend of GATA proteins and the role that GATA factors play during cell fate choice, these factors may regulate essential functions of vertebrate hematopoietic stem cells, including processing signals from the stem cell niche.","DOI":"10.1128/MCB.00244-09","ISSN":"0270-7306, 1098-5549","note":"PMID: 19737914","journalAbbreviation":"Mol. Cell. Biol.","language":"en","author":[{"family":"Gao","given":"Hongjuan"},{"family":"Wu","given":"Xiaorong"},{"family":"Fossett","given":"Nancy"}],"issued":{"date-parts":[["2009",11,15]]}}}],"schema":"https://github.com/citation-style-language/schema/raw/master/csl-citation.json"} </w:instrText>
      </w:r>
      <w:r>
        <w:fldChar w:fldCharType="separate"/>
      </w:r>
      <w:r w:rsidR="004A1963" w:rsidRPr="004A1963">
        <w:rPr>
          <w:rFonts w:ascii="Calibri" w:hAnsi="Calibri"/>
        </w:rPr>
        <w:t>(266)</w:t>
      </w:r>
      <w:r>
        <w:fldChar w:fldCharType="end"/>
      </w:r>
      <w:r>
        <w:t xml:space="preserve">. In contrast, a different study revealed that loss of STAT prevents plasmatocyte differentiation </w:t>
      </w:r>
      <w:r>
        <w:fldChar w:fldCharType="begin"/>
      </w:r>
      <w:r w:rsidR="000A209C">
        <w:instrText xml:space="preserve"> ADDIN ZOTERO_ITEM CSL_CITATION {"citationID":"RMFi9oVk","properties":{"formattedCitation":"(210)","plainCitation":"(210)","noteIndex":0},"citationItems":[{"id":1329,"uris":["http://zotero.org/users/952979/items/GGGXTJ4D"],"uri":["http://zotero.org/users/952979/items/GGGXTJ4D"],"itemData":{"id":1329,"type":"article-journal","title":"JAK/STAT and the GATA factor Pannier control hemocyte maturation and differentiation in Drosophila","container-title":"Developmental biology","page":"308-316","volume":"352","issue":"2","source":"PubMed Central","abstract":"The lymph gland is the major site of hematopoiesis in Drosophila. During late larval stages three types of hemocytes are produced, plasmatocytes, crystal cells, and lamellocytes, and their differentiation is tightly controlled by conserved factors and signaling pathways. JAK/STAT is one of these pathways which have essential roles in vertebrate and fly hematopoiesis. We show that Stat has opposing cell-autonomous and non-autonomous functions in hemocyte differentiation. Using a clonal approach we established that loss of Stat in a set of prohemocytes in the cortical zone induces plasmatocyte maturation in adjacent hemocytes. Hemocytes lacking Stat fail to differentiate into plasmatocytes, indicating that Stat positively and cell-autonomously controls plasmatocyte differentiation. We also identified the GATA factor pannier (pnr) as a downstream target of Stat. By analyzing the phenotypes resulting from clonal loss and over-expression of pnr in lymph glands, we find that Pnr is positively regulated by Stat and specifically required for the differentiation of plasmatocytes. Stat and Pnr represent two essential factors controlling blood cell maturation in the developing lymph gland and exert their functions both in a cell-autonomous and non-cell-autonomous manner.","DOI":"10.1016/j.ydbio.2011.01.035","ISSN":"0012-1606","note":"PMID: 21295568\nPMCID: PMC3065540","journalAbbreviation":"Dev Biol","author":[{"family":"Minakhina","given":"Svetlana"},{"family":"Tan","given":"William"},{"family":"Steward","given":"Ruth"}],"issued":{"date-parts":[["2011",4,15]]}}}],"schema":"https://github.com/citation-style-language/schema/raw/master/csl-citation.json"} </w:instrText>
      </w:r>
      <w:r>
        <w:fldChar w:fldCharType="separate"/>
      </w:r>
      <w:r w:rsidR="004A1963" w:rsidRPr="004A1963">
        <w:rPr>
          <w:rFonts w:ascii="Calibri" w:hAnsi="Calibri"/>
        </w:rPr>
        <w:t>(210)</w:t>
      </w:r>
      <w:r>
        <w:fldChar w:fldCharType="end"/>
      </w:r>
      <w:r>
        <w:t xml:space="preserve">. This study identified </w:t>
      </w:r>
      <w:r w:rsidRPr="00076B96">
        <w:rPr>
          <w:i/>
        </w:rPr>
        <w:t>pannier</w:t>
      </w:r>
      <w:r>
        <w:t xml:space="preserve"> (</w:t>
      </w:r>
      <w:r w:rsidRPr="00076B96">
        <w:rPr>
          <w:i/>
        </w:rPr>
        <w:t>pnr</w:t>
      </w:r>
      <w:r>
        <w:t xml:space="preserve">) as the downstream target of STAT. Further evidence for a role of JAK/STAT signalling arises from a </w:t>
      </w:r>
      <w:r w:rsidRPr="00C32BAC">
        <w:t xml:space="preserve">newly developed flow cytometry approach utilising </w:t>
      </w:r>
      <w:r w:rsidRPr="00C32BAC">
        <w:rPr>
          <w:i/>
        </w:rPr>
        <w:t>in vivo</w:t>
      </w:r>
      <w:r w:rsidRPr="00C32BAC">
        <w:t xml:space="preserve"> reporters for lamellocytes and plasmatocytes found that two different </w:t>
      </w:r>
      <w:r w:rsidRPr="00C32BAC">
        <w:lastRenderedPageBreak/>
        <w:t xml:space="preserve">lineages contribute to the generation of lamellocytes </w:t>
      </w:r>
      <w:r w:rsidRPr="00C32BAC">
        <w:fldChar w:fldCharType="begin"/>
      </w:r>
      <w:r w:rsidR="000A209C">
        <w:instrText xml:space="preserve"> ADDIN ZOTERO_ITEM CSL_CITATION {"citationID":"MzKhDkNS","properties":{"formattedCitation":"(272)","plainCitation":"(272)","noteIndex":0},"citationItems":[{"id":1234,"uris":["http://zotero.org/users/952979/items/XUERNJRS"],"uri":["http://zotero.org/users/952979/items/XUERNJRS"],"itemData":{"id":1234,"type":"article-journal","title":"Transdifferentiation and Proliferation in Two Distinct Hemocyte Lineages in Drosophila melanogaster Larvae after Wasp Infection","container-title":"PLoS pathogens","page":"e1005746","volume":"12","issue":"7","source":"PubMed","abstract":"Cellular immune responses require the generation and recruitment of diverse blood cell types that recognize and kill pathogens. In Drosophila melanogaster larvae, immune-inducible lamellocytes participate in recognizing and killing parasitoid wasp eggs. However, the sequence of events required for lamellocyte generation remains controversial. To study the cellular immune system, we developed a flow cytometry approach using in vivo reporters for lamellocytes as well as for plasmatocytes, the main hemocyte type in healthy larvae. We found that two different blood cell lineages, the plasmatocyte and lamellocyte lineages, contribute to the generation of lamellocytes in a demand-adapted hematopoietic process. Plasmatocytes transdifferentiate into lamellocyte-like cells in situ directly on the wasp egg. In parallel, a novel population of infection-induced cells, which we named lamelloblasts, appears in the circulation. Lamelloblasts proliferate vigorously and develop into the major class of circulating lamellocytes. Our data indicate that lamellocyte differentiation upon wasp parasitism is a plastic and dynamic process. Flow cytometry with in vivo hemocyte reporters can be used to study this phenomenon in detail.","DOI":"10.1371/journal.ppat.1005746","ISSN":"1553-7374","note":"PMID: 27414410","journalAbbreviation":"PLoS Pathog.","language":"eng","author":[{"family":"Anderl","given":"Ines"},{"family":"Vesala","given":"Laura"},{"family":"Ihalainen","given":"Teemu O."},{"family":"Vanha-Aho","given":"Leena-Maija"},{"family":"Andó","given":"István"},{"family":"Rämet","given":"Mika"},{"family":"Hultmark","given":"Dan"}],"issued":{"date-parts":[["2016",7]]}}}],"schema":"https://github.com/citation-style-language/schema/raw/master/csl-citation.json"} </w:instrText>
      </w:r>
      <w:r w:rsidRPr="00C32BAC">
        <w:fldChar w:fldCharType="separate"/>
      </w:r>
      <w:r w:rsidR="004A1963" w:rsidRPr="004A1963">
        <w:rPr>
          <w:rFonts w:ascii="Calibri" w:hAnsi="Calibri"/>
        </w:rPr>
        <w:t>(272)</w:t>
      </w:r>
      <w:r w:rsidRPr="00C32BAC">
        <w:fldChar w:fldCharType="end"/>
      </w:r>
      <w:r w:rsidRPr="00C32BAC">
        <w:t>. Using this approach, the authors discovered a novel population of infection-induced cells that they term lamelloblasts. These cells originate from pro-hemocytes and develop into pre-lamellocytes and then lamellocytes. In parallel to this, plasmatocytes can develop into lamellocytes</w:t>
      </w:r>
      <w:r>
        <w:t xml:space="preserve"> directly. Lineage tracing experiments confirm these observations and demonstrate that plasmatocytes derived from the lymph gland can differentiate into lamellocytes;</w:t>
      </w:r>
      <w:r w:rsidRPr="00C32BAC">
        <w:t xml:space="preserve"> </w:t>
      </w:r>
      <w:r>
        <w:t xml:space="preserve">overexpression of </w:t>
      </w:r>
      <w:r w:rsidRPr="00DF6089">
        <w:rPr>
          <w:i/>
        </w:rPr>
        <w:t>charlatan</w:t>
      </w:r>
      <w:r>
        <w:t xml:space="preserve"> (</w:t>
      </w:r>
      <w:r w:rsidRPr="00F13213">
        <w:rPr>
          <w:i/>
        </w:rPr>
        <w:t>chn</w:t>
      </w:r>
      <w:r>
        <w:t xml:space="preserve">), a zinc finger transcription factor, was shown to drive differentiation of plasmatocytes into lamellocytes </w:t>
      </w:r>
      <w:r>
        <w:fldChar w:fldCharType="begin"/>
      </w:r>
      <w:r w:rsidR="000A209C">
        <w:instrText xml:space="preserve"> ADDIN ZOTERO_ITEM CSL_CITATION {"citationID":"2prb4nuqb5","properties":{"formattedCitation":"(273)","plainCitation":"(273)","noteIndex":0},"citationItems":[{"id":1328,"uris":["http://zotero.org/users/952979/items/J75WJRGS"],"uri":["http://zotero.org/users/952979/items/J75WJRGS"],"itemData":{"id":1328,"type":"article-journal","title":"Lineage Tracing of Lamellocytes Demonstrates Drosophila Macrophage Plasticity","container-title":"PLoS ONE","page":"e14051","volume":"5","issue":"11","source":"PLoS Journals","abstract":"Leukocyte-like cells called hemocytes have key functions in Drosophila innate immunity. Three hemocyte types occur: plasmatocytes, crystal cells, and lamellocytes. In the absence of qimmune challenge, plasmatocytes are the predominant hemocyte type detected, while crystal cells and lamellocytes are rare. However, upon infestation by parasitic wasps, or in melanotic mutant strains, large numbers of lamellocytes differentiate and encapsulate material recognized as “non-self”. Current models speculate that lamellocytes, plasmatocytes and crystal cells are distinct lineages that arise from a common prohemocyte progenitor. We show here that over-expression of the CoREST-interacting transcription factor Chn in plasmatocytes induces lamellocyte differentiation, both in circulation and in lymph glands. Lamellocyte increases are accompanied by the extinction of plasmatocyte markers suggesting that plasmatocytes are transformed into lamellocytes. Consistent with this, timed induction of Chn over-expression induces rapid lamellocyte differentiation within 18 hours. We detect double-positive intermediates between plasmatocytes and lamellocytes, and show that isolated plasmatocytes can be triggered to differentiate into lamellocytes in vitro, either in response to Chn over-expression, or following activation of the JAK/STAT pathway. Finally, we have marked plasmatocytes and show by lineage tracing that these differentiate into lamellocytes in response to the Drosophila parasite model Leptopilina boulardi. Taken together, our data suggest that lamellocytes arise from plasmatocytes and that plasmatocytes may be inherently plastic, possessing the ability to differentiate further into lamellocytes upon appropriate challenge.","DOI":"10.1371/journal.pone.0014051","journalAbbreviation":"PLoS ONE","author":[{"family":"Stofanko","given":"Martin"},{"family":"Kwon","given":"So Yeon"},{"family":"Badenhorst","given":"Paul"}],"issued":{"date-parts":[["2010",11,19]]}}}],"schema":"https://github.com/citation-style-language/schema/raw/master/csl-citation.json"} </w:instrText>
      </w:r>
      <w:r>
        <w:fldChar w:fldCharType="separate"/>
      </w:r>
      <w:r w:rsidR="004A1963" w:rsidRPr="004A1963">
        <w:rPr>
          <w:rFonts w:ascii="Calibri" w:hAnsi="Calibri"/>
        </w:rPr>
        <w:t>(273)</w:t>
      </w:r>
      <w:r>
        <w:fldChar w:fldCharType="end"/>
      </w:r>
      <w:r>
        <w:t xml:space="preserve">. Using specific cell drivers, the authors were able to confirm that phagocytically-active plasmatocytes were the origin of these lamellocytes and that overexpression of </w:t>
      </w:r>
      <w:r w:rsidRPr="00F13213">
        <w:rPr>
          <w:i/>
        </w:rPr>
        <w:t>chn</w:t>
      </w:r>
      <w:r>
        <w:t xml:space="preserve"> repressed plasmatocyte markers. The JAK/STAT pathway was implicated in this transdifferentiation following isolation of plasmatocytes by flow cytometry and the induction of the pathway which led to lamellocyte formation. </w:t>
      </w:r>
    </w:p>
    <w:p w14:paraId="6BEF3A54" w14:textId="77777777" w:rsidR="001D1AB8" w:rsidRPr="002A17DA" w:rsidRDefault="001D1AB8" w:rsidP="001D1AB8">
      <w:pPr>
        <w:spacing w:line="360" w:lineRule="auto"/>
        <w:jc w:val="both"/>
        <w:rPr>
          <w:color w:val="FF0000"/>
        </w:rPr>
      </w:pPr>
    </w:p>
    <w:p w14:paraId="539D8EF1" w14:textId="39A7BDAF" w:rsidR="001D1AB8" w:rsidRDefault="001D1AB8" w:rsidP="006A45E9">
      <w:pPr>
        <w:pStyle w:val="Thesisnormal"/>
      </w:pPr>
      <w:r w:rsidRPr="00541D77">
        <w:t xml:space="preserve">Recently, </w:t>
      </w:r>
      <w:r>
        <w:t xml:space="preserve">it has been demonstrated that the lymph gland is not the only site of hematopoiesis in the larvae </w:t>
      </w:r>
      <w:r>
        <w:fldChar w:fldCharType="begin"/>
      </w:r>
      <w:r w:rsidR="000A209C">
        <w:instrText xml:space="preserve"> ADDIN ZOTERO_ITEM CSL_CITATION {"citationID":"cMm7jbCq","properties":{"formattedCitation":"(274,275)","plainCitation":"(274,275)","noteIndex":0},"citationItems":[{"id":1338,"uris":["http://zotero.org/users/952979/items/8ZS7DKZG"],"uri":["http://zotero.org/users/952979/items/8ZS7DKZG"],"itemData":{"id":1338,"type":"article-journal","title":"Drosophila sessile hemocyte clusters are true hematopoietic tissues that regulate larval blood cell differentiation","container-title":"eLife","volume":"4","source":"PubMed Central","abstract":"Virtually all species of coelomate animals contain blood cells that display a division of labor necessary for homeostasis. This functional partition depends upon the balance between proliferation and differentiation mostly accomplished in the hematopoietic organs. In Drosophila melanogaster, the lymph gland produces plasmatocytes and crystal cells that are not released until pupariation. Yet, throughout larval development, both hemocyte types increase in numbers. Mature plasmatocytes can proliferate but it is not known if crystal cell numbers increase by self-renewal or by de novo differentiation. We show that new crystal cells in third instar larvae originate through a Notch-dependent process of plasmatocyte transdifferentiation. This process occurs in the sessile clusters and is contingent upon the integrity of these structures. The existence of this hematopoietic tissue, relying on structure-dependent signaling events to promote blood homeostasis, creates a new paradigm for addressing outstanding questions in Drosophila hematopoiesis and establishing further parallels with vertebrate systems., DOI:\nhttp://dx.doi.org/10.7554/eLife.06166.001, Insects have several different types of blood cell, many of which are unable to divide to form new cells once they have matured. Instead, fresh blood cells are normally generated in specialized ‘hematopoietic’ organs, such as the lymph gland in the Drosophila species of fruit fly. The structure of these organs plays an important role in controlling how new blood cells develop., Drosophila embryos make two types of blood cell: plasmatocytes and crystal cells. Both defend against harmful microorganisms, but in different ways. Plasmatocytes engulf and destroy invaders, whereas crystal cells release chemicals that encase microbes in a hardened gel. The blood cells made in the Drosophila embryo are still present once the fly enters its larval stages. At this stage of development, most of the blood cells are found in clusters attached to the cuticle that covers the larva's surface, but a few circulate freely around the larva's body., As a Drosophila larva develops, the number of blood cells in the larva increases. However, previous work has shown these additional blood cells are not normally released from the lymph gland of the larva. Furthermore, mature crystal cells do not appear to form new cells by dividing in two., Leitão and Sucena now show that the stationary clusters of blood cells produce new crystal cells in Drosophila larvae. Within the clusters, plasmatocytes are made to turn into crystal cells via a signaling pathway controlled by a protein called Notch. This pathway was already known to be essential for forming crystal cells. Leitão and Sucena also show that the structure of the clusters influences whether crystal cells are made, which means that the clusters can be considered to be hematopoietic tissue., It is now important to compare how the production of the same cell type is controlled in two distinct hematopoietic structures: the clusters and the lymph gland. From this comparison, general principles may be drawn and tested in other systems, including vertebrates., DOI:\nhttp://dx.doi.org/10.7554/eLife.06166.002","URL":"http://www.ncbi.nlm.nih.gov/pmc/articles/PMC4357286/","DOI":"10.7554/eLife.06166","ISSN":"2050-084X","note":"PMID: 25650737\nPMCID: PMC4357286","journalAbbreviation":"eLife","author":[{"family":"Leitão","given":"Alexandre B"},{"family":"Sucena","given":"Élio"}],"issued":{"date-parts":[["2015"]]},"accessed":{"date-parts":[["2015",10,2]]}}},{"id":1327,"uris":["http://zotero.org/users/952979/items/FHBHEPZ5"],"uri":["http://zotero.org/users/952979/items/FHBHEPZ5"],"itemData":{"id":1327,"type":"article-journal","title":"Sessile hemocytes as a hematopoietic compartment in Drosophila melanogaster","container-title":"Proceedings of the National Academy of Sciences of the United States of America","page":"4805-4809","volume":"106","issue":"12","source":"PubMed","abstract":"The blood cells, or hemocytes, in Drosophila participate in the immune response through the production of antimicrobial peptides, the phagocytosis of bacteria, and the encapsulation of larger foreign particles such as parasitic eggs; these immune reactions are mediated by phylogenetically conserved mechanisms. The encapsulation reaction is analogous to the formation of granuloma in vertebrates, and is mediated by large specialized cells, the lamellocytes. The origin of the lamellocytes has not been formally established, although it has been suggested that they are derived from the lymph gland, which is generally considered to be the main hematopoietic organ in the Drosophila larva. However, it was recently observed that a subepidermal population of sessile blood cells is released into the circulation in response to a parasitoid wasp infection. We set out to analyze this phenomenon systematically. As a result, we define the sessile hemocytes as a novel hematopoietic compartment, and the main source of lamellocytes.","DOI":"10.1073/pnas.0801766106","ISSN":"1091-6490","note":"PMID: 19261847\nPMCID: PMC2660760","journalAbbreviation":"Proc. Natl. Acad. Sci. U.S.A.","language":"eng","author":[{"family":"Márkus","given":"Róbert"},{"family":"Laurinyecz","given":"Barbara"},{"family":"Kurucz","given":"Eva"},{"family":"Honti","given":"Viktor"},{"family":"Bajusz","given":"Izabella"},{"family":"Sipos","given":"Botond"},{"family":"Somogyi","given":"Kálmán"},{"family":"Kronhamn","given":"Jesper"},{"family":"Hultmark","given":"Dan"},{"family":"Andó","given":"István"}],"issued":{"date-parts":[["2009",3,24]]}}}],"schema":"https://github.com/citation-style-language/schema/raw/master/csl-citation.json"} </w:instrText>
      </w:r>
      <w:r>
        <w:fldChar w:fldCharType="separate"/>
      </w:r>
      <w:r w:rsidR="004A1963" w:rsidRPr="004A1963">
        <w:rPr>
          <w:rFonts w:ascii="Calibri" w:hAnsi="Calibri"/>
        </w:rPr>
        <w:t>(274,275)</w:t>
      </w:r>
      <w:r>
        <w:fldChar w:fldCharType="end"/>
      </w:r>
      <w:r>
        <w:t>. Leitao and Sucena utilised live imaging to confirm that Lz</w:t>
      </w:r>
      <w:r>
        <w:rPr>
          <w:vertAlign w:val="superscript"/>
        </w:rPr>
        <w:t>+</w:t>
      </w:r>
      <w:r>
        <w:t xml:space="preserve"> cells were proliferating from Hml</w:t>
      </w:r>
      <w:r>
        <w:rPr>
          <w:vertAlign w:val="superscript"/>
        </w:rPr>
        <w:t xml:space="preserve">+ </w:t>
      </w:r>
      <w:r>
        <w:t>Lz</w:t>
      </w:r>
      <w:r>
        <w:rPr>
          <w:vertAlign w:val="superscript"/>
        </w:rPr>
        <w:t xml:space="preserve">− </w:t>
      </w:r>
      <w:r>
        <w:t>cells within sessile clusters of 3</w:t>
      </w:r>
      <w:r w:rsidRPr="00336F74">
        <w:rPr>
          <w:vertAlign w:val="superscript"/>
        </w:rPr>
        <w:t>rd</w:t>
      </w:r>
      <w:r>
        <w:t xml:space="preserve"> instar larvae </w:t>
      </w:r>
      <w:r>
        <w:fldChar w:fldCharType="begin"/>
      </w:r>
      <w:r w:rsidR="000A209C">
        <w:instrText xml:space="preserve"> ADDIN ZOTERO_ITEM CSL_CITATION {"citationID":"WqgZycNq","properties":{"formattedCitation":"(274)","plainCitation":"(274)","noteIndex":0},"citationItems":[{"id":1338,"uris":["http://zotero.org/users/952979/items/8ZS7DKZG"],"uri":["http://zotero.org/users/952979/items/8ZS7DKZG"],"itemData":{"id":1338,"type":"article-journal","title":"Drosophila sessile hemocyte clusters are true hematopoietic tissues that regulate larval blood cell differentiation","container-title":"eLife","volume":"4","source":"PubMed Central","abstract":"Virtually all species of coelomate animals contain blood cells that display a division of labor necessary for homeostasis. This functional partition depends upon the balance between proliferation and differentiation mostly accomplished in the hematopoietic organs. In Drosophila melanogaster, the lymph gland produces plasmatocytes and crystal cells that are not released until pupariation. Yet, throughout larval development, both hemocyte types increase in numbers. Mature plasmatocytes can proliferate but it is not known if crystal cell numbers increase by self-renewal or by de novo differentiation. We show that new crystal cells in third instar larvae originate through a Notch-dependent process of plasmatocyte transdifferentiation. This process occurs in the sessile clusters and is contingent upon the integrity of these structures. The existence of this hematopoietic tissue, relying on structure-dependent signaling events to promote blood homeostasis, creates a new paradigm for addressing outstanding questions in Drosophila hematopoiesis and establishing further parallels with vertebrate systems., DOI:\nhttp://dx.doi.org/10.7554/eLife.06166.001, Insects have several different types of blood cell, many of which are unable to divide to form new cells once they have matured. Instead, fresh blood cells are normally generated in specialized ‘hematopoietic’ organs, such as the lymph gland in the Drosophila species of fruit fly. The structure of these organs plays an important role in controlling how new blood cells develop., Drosophila embryos make two types of blood cell: plasmatocytes and crystal cells. Both defend against harmful microorganisms, but in different ways. Plasmatocytes engulf and destroy invaders, whereas crystal cells release chemicals that encase microbes in a hardened gel. The blood cells made in the Drosophila embryo are still present once the fly enters its larval stages. At this stage of development, most of the blood cells are found in clusters attached to the cuticle that covers the larva's surface, but a few circulate freely around the larva's body., As a Drosophila larva develops, the number of blood cells in the larva increases. However, previous work has shown these additional blood cells are not normally released from the lymph gland of the larva. Furthermore, mature crystal cells do not appear to form new cells by dividing in two., Leitão and Sucena now show that the stationary clusters of blood cells produce new crystal cells in Drosophila larvae. Within the clusters, plasmatocytes are made to turn into crystal cells via a signaling pathway controlled by a protein called Notch. This pathway was already known to be essential for forming crystal cells. Leitão and Sucena also show that the structure of the clusters influences whether crystal cells are made, which means that the clusters can be considered to be hematopoietic tissue., It is now important to compare how the production of the same cell type is controlled in two distinct hematopoietic structures: the clusters and the lymph gland. From this comparison, general principles may be drawn and tested in other systems, including vertebrates., DOI:\nhttp://dx.doi.org/10.7554/eLife.06166.002","URL":"http://www.ncbi.nlm.nih.gov/pmc/articles/PMC4357286/","DOI":"10.7554/eLife.06166","ISSN":"2050-084X","note":"PMID: 25650737\nPMCID: PMC4357286","journalAbbreviation":"eLife","author":[{"family":"Leitão","given":"Alexandre B"},{"family":"Sucena","given":"Élio"}],"issued":{"date-parts":[["2015"]]},"accessed":{"date-parts":[["2015",10,2]]}}}],"schema":"https://github.com/citation-style-language/schema/raw/master/csl-citation.json"} </w:instrText>
      </w:r>
      <w:r>
        <w:fldChar w:fldCharType="separate"/>
      </w:r>
      <w:r w:rsidR="004A1963" w:rsidRPr="004A1963">
        <w:rPr>
          <w:rFonts w:ascii="Calibri" w:hAnsi="Calibri"/>
        </w:rPr>
        <w:t>(274)</w:t>
      </w:r>
      <w:r>
        <w:fldChar w:fldCharType="end"/>
      </w:r>
      <w:r>
        <w:t xml:space="preserve">. Moreover, this group demonstrated that crystal cells can differentiate from plasmatocytes, as shown with both crystal cell and plasmatocyte markers which were overlapping. Serrate signalling to Notch within plasmatocytes is essential for this differentiation to crystal cells. So far, this has been the only study to demonstrate plasmatocyte to crystal cell differentiation. However, there is more evidence to suggest that plasmatocytes can differentiate into lamellocytes in the sessile clusters </w:t>
      </w:r>
      <w:r>
        <w:fldChar w:fldCharType="begin"/>
      </w:r>
      <w:r w:rsidR="000A209C">
        <w:instrText xml:space="preserve"> ADDIN ZOTERO_ITEM CSL_CITATION {"citationID":"aKsLvzua","properties":{"formattedCitation":"(262,275,276)","plainCitation":"(262,275,276)","noteIndex":0},"citationItems":[{"id":1358,"uris":["http://zotero.org/users/952979/items/9A7JXAIM"],"uri":["http://zotero.org/users/952979/items/9A7JXAIM"],"itemData":{"id":1358,"type":"article-journal","title":"Cell lineage tracing reveals the plasticity of the hemocyte lineages and of the hematopoietic compartments in Drosophila melanogaster","container-title":"Molecular Immunology","page":"1997-2004","volume":"47","issue":"11-12","source":"PubMed","abstract":"Much of our knowledge on hematopoiesis, hematopoietic compartments, hematopoietic cell lineages and immunity has been derived from studies on the vertebrate immune system. The sophisticated innate immunity of insects, the phylogenetic conservation and the power of Drosophila genetics allowed the investigation of immune cell (hemocyte) lineage relationships in Drosophila melanogaster. The development of the hemocyte lineages in Drosophila is a result of a precisely regulated succession of intracellular and intercellular events, though the nature and extent of these interactions are not known. We describe here a cell lineage tracing system set up to analyze the development of hemocyte lineages and functionally distinct hemocyte subsets. This system allowed us to distinguish two major embryonic hemocyte lineages, the crq and Dot lineages, in two, physically separated compartments, the embryonic macrophages and the embryonic lymph gland. We followed the fate and development of these lineages in the construction of the larval hematopoietic compartments and during the cell-mediated immune response, the encapsulation reaction. Our results revealed the considerable plasticity and concerted action of the hematopoietic compartments and the hemocyte lineages in the development of the innate immune system and in the course of the cell-mediated immune response in Drosophila.","DOI":"10.1016/j.molimm.2010.04.017","ISSN":"1872-9142","note":"PMID: 20483458","journalAbbreviation":"Mol. Immunol.","language":"eng","author":[{"family":"Honti","given":"Viktor"},{"family":"Csordás","given":"Gábor"},{"family":"Márkus","given":"Róbert"},{"family":"Kurucz","given":"Eva"},{"family":"Jankovics","given":"Ferenc"},{"family":"Andó","given":"István"}],"issued":{"date-parts":[["2010",7]]}}},{"id":1327,"uris":["http://zotero.org/users/952979/items/FHBHEPZ5"],"uri":["http://zotero.org/users/952979/items/FHBHEPZ5"],"itemData":{"id":1327,"type":"article-journal","title":"Sessile hemocytes as a hematopoietic compartment in Drosophila melanogaster","container-title":"Proceedings of the National Academy of Sciences of the United States of America","page":"4805-4809","volume":"106","issue":"12","source":"PubMed","abstract":"The blood cells, or hemocytes, in Drosophila participate in the immune response through the production of antimicrobial peptides, the phagocytosis of bacteria, and the encapsulation of larger foreign particles such as parasitic eggs; these immune reactions are mediated by phylogenetically conserved mechanisms. The encapsulation reaction is analogous to the formation of granuloma in vertebrates, and is mediated by large specialized cells, the lamellocytes. The origin of the lamellocytes has not been formally established, although it has been suggested that they are derived from the lymph gland, which is generally considered to be the main hematopoietic organ in the Drosophila larva. However, it was recently observed that a subepidermal population of sessile blood cells is released into the circulation in response to a parasitoid wasp infection. We set out to analyze this phenomenon systematically. As a result, we define the sessile hemocytes as a novel hematopoietic compartment, and the main source of lamellocytes.","DOI":"10.1073/pnas.0801766106","ISSN":"1091-6490","note":"PMID: 19261847\nPMCID: PMC2660760","journalAbbreviation":"Proc. Natl. Acad. Sci. U.S.A.","language":"eng","author":[{"family":"Márkus","given":"Róbert"},{"family":"Laurinyecz","given":"Barbara"},{"family":"Kurucz","given":"Eva"},{"family":"Honti","given":"Viktor"},{"family":"Bajusz","given":"Izabella"},{"family":"Sipos","given":"Botond"},{"family":"Somogyi","given":"Kálmán"},{"family":"Kronhamn","given":"Jesper"},{"family":"Hultmark","given":"Dan"},{"family":"Andó","given":"István"}],"issued":{"date-parts":[["2009",3,24]]}}},{"id":1326,"uris":["http://zotero.org/users/952979/items/IGPCI8FJ"],"uri":["http://zotero.org/users/952979/items/IGPCI8FJ"],"itemData":{"id":1326,"type":"article-journal","title":"Definition of Drosophila hemocyte subsets by cell-type specific antigens","container-title":"Acta Biologica Hungarica","page":"95-111","volume":"58 Suppl","source":"PubMed","abstract":"We analyzed the heterogeneity of Drosophila hemocytes on the basis of the expression of cell-type specific antigens. The antigens characterize distinct subsets which partially overlap with those defined by morphological criteria. On the basis of the expression or the lack of expression of blood cell antigens the following hemocyte populations have been defined: crystal cells, plasmatocytes, lamellocytes and precursor cells. The expression of the antigens and thus the different cell types are developmentally regulated. The hemocytes are arranged in four main compartments: the circulating blood cells, the sessile tissue, the lymph glands and the posterior hematopoietic tissue. Each hemocyte compartment has a specific and characteristic composition of the various cell types. The described markers represent the first successful attempt to define hemocyte lineages by immunological markers in Drosophila and help to define morphologically, functionally, spatially and developmentally distinct subsets of hemocytes.","DOI":"10.1556/ABiol.58.2007.Suppl.8","ISSN":"0236-5383","note":"PMID: 18297797","journalAbbreviation":"Acta. Biol. Hung.","language":"eng","author":[{"family":"Kurucz","given":"Eva"},{"family":"Váczi","given":"B."},{"family":"Márkus","given":"R."},{"family":"Laurinyecz","given":"Barbara"},{"family":"Vilmos","given":"P."},{"family":"Zsámboki","given":"J."},{"family":"Csorba","given":"Kinga"},{"family":"Gateff","given":"Elisabeth"},{"family":"Hultmark","given":"D."},{"family":"Andó","given":"I."}],"issued":{"date-parts":[["2007"]]}}}],"schema":"https://github.com/citation-style-language/schema/raw/master/csl-citation.json"} </w:instrText>
      </w:r>
      <w:r>
        <w:fldChar w:fldCharType="separate"/>
      </w:r>
      <w:r w:rsidR="004A1963" w:rsidRPr="004A1963">
        <w:rPr>
          <w:rFonts w:ascii="Calibri" w:hAnsi="Calibri"/>
        </w:rPr>
        <w:t>(262,275,276)</w:t>
      </w:r>
      <w:r>
        <w:fldChar w:fldCharType="end"/>
      </w:r>
      <w:r>
        <w:t xml:space="preserve">. The evidence comes from studies in which plasmatocytes from sessile clusters are transplanted into different larvae where they can successfully differentiate into lamellocytes </w:t>
      </w:r>
      <w:r>
        <w:fldChar w:fldCharType="begin"/>
      </w:r>
      <w:r w:rsidR="000A209C">
        <w:instrText xml:space="preserve"> ADDIN ZOTERO_ITEM CSL_CITATION {"citationID":"xBNCMxNe","properties":{"formattedCitation":"(275)","plainCitation":"(275)","noteIndex":0},"citationItems":[{"id":1327,"uris":["http://zotero.org/users/952979/items/FHBHEPZ5"],"uri":["http://zotero.org/users/952979/items/FHBHEPZ5"],"itemData":{"id":1327,"type":"article-journal","title":"Sessile hemocytes as a hematopoietic compartment in Drosophila melanogaster","container-title":"Proceedings of the National Academy of Sciences of the United States of America","page":"4805-4809","volume":"106","issue":"12","source":"PubMed","abstract":"The blood cells, or hemocytes, in Drosophila participate in the immune response through the production of antimicrobial peptides, the phagocytosis of bacteria, and the encapsulation of larger foreign particles such as parasitic eggs; these immune reactions are mediated by phylogenetically conserved mechanisms. The encapsulation reaction is analogous to the formation of granuloma in vertebrates, and is mediated by large specialized cells, the lamellocytes. The origin of the lamellocytes has not been formally established, although it has been suggested that they are derived from the lymph gland, which is generally considered to be the main hematopoietic organ in the Drosophila larva. However, it was recently observed that a subepidermal population of sessile blood cells is released into the circulation in response to a parasitoid wasp infection. We set out to analyze this phenomenon systematically. As a result, we define the sessile hemocytes as a novel hematopoietic compartment, and the main source of lamellocytes.","DOI":"10.1073/pnas.0801766106","ISSN":"1091-6490","note":"PMID: 19261847\nPMCID: PMC2660760","journalAbbreviation":"Proc. Natl. Acad. Sci. U.S.A.","language":"eng","author":[{"family":"Márkus","given":"Róbert"},{"family":"Laurinyecz","given":"Barbara"},{"family":"Kurucz","given":"Eva"},{"family":"Honti","given":"Viktor"},{"family":"Bajusz","given":"Izabella"},{"family":"Sipos","given":"Botond"},{"family":"Somogyi","given":"Kálmán"},{"family":"Kronhamn","given":"Jesper"},{"family":"Hultmark","given":"Dan"},{"family":"Andó","given":"István"}],"issued":{"date-parts":[["2009",3,24]]}}}],"schema":"https://github.com/citation-style-language/schema/raw/master/csl-citation.json"} </w:instrText>
      </w:r>
      <w:r>
        <w:fldChar w:fldCharType="separate"/>
      </w:r>
      <w:r w:rsidR="004A1963" w:rsidRPr="004A1963">
        <w:rPr>
          <w:rFonts w:ascii="Calibri" w:hAnsi="Calibri"/>
        </w:rPr>
        <w:t>(275)</w:t>
      </w:r>
      <w:r>
        <w:fldChar w:fldCharType="end"/>
      </w:r>
      <w:r>
        <w:t xml:space="preserve">. This study also demonstrated that plasmatocytes in the lymph gland respond to ROS increases in the posterior signalling centre and differentiate into lamellocytes. However, this only occurs upon parasitic wasp infestation. One potential caveat to these results is that all of the data has been derived from the same laboratory group. A separate group, investigating peripheral nervous system (PNS) clusters found that sessile hemocytes in larvae co-localise with peripheral neurones, a process that is essential for hemocyte development and survival; in genetically ablated larvae, which are deficient for subsets of peripheral neurons, there is a decline in hemocyte numbers and an incomplete </w:t>
      </w:r>
      <w:r>
        <w:lastRenderedPageBreak/>
        <w:t xml:space="preserve">resident hemocyte pattern </w:t>
      </w:r>
      <w:r>
        <w:fldChar w:fldCharType="begin"/>
      </w:r>
      <w:r w:rsidR="000A209C">
        <w:instrText xml:space="preserve"> ADDIN ZOTERO_ITEM CSL_CITATION {"citationID":"XWKDcBOi","properties":{"formattedCitation":"(277)","plainCitation":"(277)","noteIndex":0},"citationItems":[{"id":1241,"uris":["http://zotero.org/users/952979/items/ESTS5MCU"],"uri":["http://zotero.org/users/952979/items/ESTS5MCU"],"itemData":{"id":1241,"type":"article-journal","title":"The peripheral nervous system supports blood cell homing and survival in the Drosophila larva","container-title":"Development (Cambridge, England)","page":"5379-5391","volume":"138","issue":"24","source":"PubMed","abstract":"Interactions of hematopoietic cells with their microenvironment control blood cell colonization, homing and hematopoiesis. Here, we introduce larval hematopoiesis as the first Drosophila model for hematopoietic colonization and the role of the peripheral nervous system (PNS) as a microenvironment in hematopoiesis. The Drosophila larval hematopoietic system is founded by differentiated hemocytes of the embryo, which colonize segmentally repeated epidermal-muscular pockets and proliferate in these locations. Importantly, we show that these resident hemocytes tightly colocalize with peripheral neurons and we demonstrate that larval hemocytes depend on the PNS as an attractive and trophic microenvironment. atonal (ato) mutant or genetically ablated larvae, which are deficient for subsets of peripheral neurons, show a progressive apoptotic decline in hemocytes and an incomplete resident hemocyte pattern, whereas supernumerary peripheral neurons induced by ectopic expression of the proneural gene scute (sc) misdirect hemocytes to these ectopic locations. This PNS-hematopoietic connection in Drosophila parallels the emerging role of the PNS in hematopoiesis and immune functions in vertebrates, and provides the basis for the systematic genetic dissection of the PNS-hematopoietic axis in the future.","DOI":"10.1242/dev.067322","ISSN":"1477-9129","note":"PMID: 22071105\nPMCID: PMC3222213","journalAbbreviation":"Development","language":"eng","author":[{"family":"Makhijani","given":"Kalpana"},{"family":"Alexander","given":"Brandy"},{"family":"Tanaka","given":"Tsubasa"},{"family":"Rulifson","given":"Eric"},{"family":"Brückner","given":"Katja"}],"issued":{"date-parts":[["2011",12]]}}}],"schema":"https://github.com/citation-style-language/schema/raw/master/csl-citation.json"} </w:instrText>
      </w:r>
      <w:r>
        <w:fldChar w:fldCharType="separate"/>
      </w:r>
      <w:r w:rsidR="004A1963" w:rsidRPr="004A1963">
        <w:rPr>
          <w:rFonts w:ascii="Calibri" w:hAnsi="Calibri"/>
        </w:rPr>
        <w:t>(277)</w:t>
      </w:r>
      <w:r>
        <w:fldChar w:fldCharType="end"/>
      </w:r>
      <w:r>
        <w:t xml:space="preserve">. This group further demonstrated that activin-β (a TGF-β ligand) is expressed by the neurones in the PNS clusters and is regulates the proliferation of hemocytes </w:t>
      </w:r>
      <w:r>
        <w:fldChar w:fldCharType="begin"/>
      </w:r>
      <w:r w:rsidR="000A209C">
        <w:instrText xml:space="preserve"> ADDIN ZOTERO_ITEM CSL_CITATION {"citationID":"FudR5psk","properties":{"formattedCitation":"(278)","plainCitation":"(278)","noteIndex":0},"citationItems":[{"id":1808,"uris":["http://zotero.org/users/952979/items/ZV2D2RUB"],"uri":["http://zotero.org/users/952979/items/ZV2D2RUB"],"itemData":{"id":1808,"type":"article-journal","title":"Regulation of Drosophila hematopoietic sites by Activin-β from active sensory neurons","container-title":"Nature Communications","page":"15990","volume":"8","source":"PubMed","abstract":"An outstanding question in animal development, tissue homeostasis and disease is how cell populations adapt to sensory inputs. During Drosophila larval development, hematopoietic sites are in direct contact with sensory neuron clusters of the peripheral nervous system (PNS), and blood cells (hemocytes) require the PNS for their survival and recruitment to these microenvironments, known as Hematopoietic Pockets. Here we report that Activin-β, a TGF-β family ligand, is expressed by sensory neurons of the PNS and regulates the proliferation and adhesion of hemocytes. These hemocyte responses depend on PNS activity, as shown by agonist treatment and transient silencing of sensory neurons. Activin-β has a key role in this regulation, which is apparent from reporter expression and mutant analyses. This mechanism of local sensory neurons controlling blood cell adaptation invites evolutionary parallels with vertebrate hematopoietic progenitors and the independent myeloid system of tissue macrophages, whose regulation by local microenvironments remain undefined.","DOI":"10.1038/ncomms15990","ISSN":"2041-1723","note":"PMID: 28748922\nPMCID: PMC5537569","journalAbbreviation":"Nat Commun","language":"eng","author":[{"family":"Makhijani","given":"Kalpana"},{"family":"Alexander","given":"Brandy"},{"family":"Rao","given":"Deepti"},{"family":"Petraki","given":"Sophia"},{"family":"Herboso","given":"Leire"},{"family":"Kukar","given":"Katelyn"},{"family":"Batool","given":"Itrat"},{"family":"Wachner","given":"Stephanie"},{"family":"Gold","given":"Katrina S."},{"family":"Wong","given":"Corinna"},{"family":"O'Connor","given":"Michael B."},{"family":"Brückner","given":"Katja"}],"issued":{"date-parts":[["2017"]],"season":"27"}}}],"schema":"https://github.com/citation-style-language/schema/raw/master/csl-citation.json"} </w:instrText>
      </w:r>
      <w:r>
        <w:fldChar w:fldCharType="separate"/>
      </w:r>
      <w:r w:rsidR="004A1963" w:rsidRPr="004A1963">
        <w:rPr>
          <w:rFonts w:ascii="Calibri" w:hAnsi="Calibri"/>
        </w:rPr>
        <w:t>(278)</w:t>
      </w:r>
      <w:r>
        <w:fldChar w:fldCharType="end"/>
      </w:r>
      <w:r>
        <w:t>. Importantly, the data from these three groups illustrates that plasmatocytes are much more plastic than originally thought, giving credence to our hypothesis that these cells exist as a heterogeneous population.</w:t>
      </w:r>
    </w:p>
    <w:p w14:paraId="5E819914" w14:textId="77777777" w:rsidR="001D1AB8" w:rsidRPr="00336F74" w:rsidRDefault="001D1AB8" w:rsidP="006A45E9">
      <w:pPr>
        <w:pStyle w:val="Thesisnormal"/>
      </w:pPr>
    </w:p>
    <w:p w14:paraId="5A07CB56" w14:textId="1B6CD44E" w:rsidR="00ED6040" w:rsidRDefault="001D1AB8" w:rsidP="00ED6040">
      <w:pPr>
        <w:pStyle w:val="Thesisnormal"/>
      </w:pPr>
      <w:r>
        <w:t>It was generally accepted that adult hemocytes were derived from the embryonic and larval populations, with a</w:t>
      </w:r>
      <w:r w:rsidRPr="00570080">
        <w:t>dult hematopoiesis largely thought to be absent</w:t>
      </w:r>
      <w:r>
        <w:t>.</w:t>
      </w:r>
      <w:r w:rsidRPr="00570080">
        <w:t xml:space="preserve"> </w:t>
      </w:r>
      <w:r>
        <w:t xml:space="preserve">This changed with </w:t>
      </w:r>
      <w:r w:rsidRPr="00570080">
        <w:t xml:space="preserve">a recent paper in 2015 </w:t>
      </w:r>
      <w:r w:rsidRPr="00570080">
        <w:fldChar w:fldCharType="begin"/>
      </w:r>
      <w:r w:rsidR="000A209C">
        <w:instrText xml:space="preserve"> ADDIN ZOTERO_ITEM CSL_CITATION {"citationID":"HjkO5SkZ","properties":{"formattedCitation":"(279)","plainCitation":"(279)","noteIndex":0},"citationItems":[{"id":1265,"uris":["http://zotero.org/users/952979/items/ZGMUVFKX"],"uri":["http://zotero.org/users/952979/items/ZGMUVFKX"],"itemData":{"id":1265,"type":"article-journal","title":"Active Hematopoietic Hubs in Drosophila Adults Generate Hemocytes and Contribute to Immune Response","container-title":"Developmental Cell","page":"478-488","volume":"33","issue":"4","source":"ScienceDirect","abstract":"Summary\nBlood cell development in Drosophila shares significant similarities with vertebrate. The conservation ranges from biphasic mode of hematopoiesis to signaling molecules crucial for progenitor cell formation, maintenance, and differentiation. Primitive hematopoiesis in Drosophila ensues in embryonic head mesoderm, whereas definitive hematopoiesis happens in larval hematopoietic organ, the lymph gland. This organ, with the onset of pupation, ruptures to release hemocytes into circulation. It is believed that the adult lacks a hematopoietic organ and survives on the contribution of both embryonic and larval hematopoiesis. However, our studies revealed a surge of blood cell development in the dorsal abdominal hemocyte clusters of adult fly. These active hematopoietic hubs are capable of blood cell specification and can respond to bacterial challenges. The presence of progenitors and differentiated hemocytes embedded in a functional network of Laminin A and Pericardin within this hematopoietic hub projects it as a simple version of the vertebrate bone marrow.","DOI":"10.1016/j.devcel.2015.03.014","ISSN":"1534-5807","journalAbbreviation":"Developmental Cell","author":[{"family":"Ghosh","given":"Saikat"},{"family":"Singh","given":"Arashdeep"},{"family":"Mandal","given":"Sudip"},{"family":"Mandal","given":"Lolitika"}],"issued":{"date-parts":[["2015",5,26]]}}}],"schema":"https://github.com/citation-style-language/schema/raw/master/csl-citation.json"} </w:instrText>
      </w:r>
      <w:r w:rsidRPr="00570080">
        <w:fldChar w:fldCharType="separate"/>
      </w:r>
      <w:r w:rsidR="004A1963" w:rsidRPr="004A1963">
        <w:rPr>
          <w:rFonts w:ascii="Calibri" w:hAnsi="Calibri"/>
        </w:rPr>
        <w:t>(279)</w:t>
      </w:r>
      <w:r w:rsidRPr="00570080">
        <w:fldChar w:fldCharType="end"/>
      </w:r>
      <w:r w:rsidRPr="00570080">
        <w:t xml:space="preserve">. This group </w:t>
      </w:r>
      <w:r>
        <w:t xml:space="preserve">imaged hemocytes using a </w:t>
      </w:r>
      <w:r w:rsidRPr="006474BC">
        <w:rPr>
          <w:i/>
        </w:rPr>
        <w:t>hemolectin</w:t>
      </w:r>
      <w:r>
        <w:t xml:space="preserve">-GFP reporter and found four hematopoietic clusters along the dorsal midline of adult flies. The blood cells in these niches are buried in a network of extracellular matrix proteins. Using a lineage tracing method, G-TRACE, the group determined that the hemocytes in these clusters were derived from embryonic and larval populations. Continued use of this tracing system demonstrated that hemocytes in these clusters are composed of a mix of cells that are lineage traced and cells that do not demonstrate lineage tracing. However, the authors did not definitively demonstrate that the G-TRACE method was not affecting the expression of these markers with independent methods. Moreover, no other group has yet replicated this study (although unpublished reports suggest that there is contradictory evidence </w:t>
      </w:r>
      <w:r>
        <w:fldChar w:fldCharType="begin"/>
      </w:r>
      <w:r w:rsidR="000A209C">
        <w:instrText xml:space="preserve"> ADDIN ZOTERO_ITEM CSL_CITATION {"citationID":"P8CO3URn","properties":{"formattedCitation":"(164)","plainCitation":"(164)","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fldChar w:fldCharType="separate"/>
      </w:r>
      <w:r w:rsidR="004A1963" w:rsidRPr="004A1963">
        <w:rPr>
          <w:rFonts w:ascii="Calibri" w:hAnsi="Calibri"/>
        </w:rPr>
        <w:t>(164)</w:t>
      </w:r>
      <w:r>
        <w:fldChar w:fldCharType="end"/>
      </w:r>
      <w:r>
        <w:t xml:space="preserve">); therefore, the activity of adult hematopoiesis is still an outstanding question. </w:t>
      </w:r>
      <w:r w:rsidR="00ED6040">
        <w:t xml:space="preserve">However, this reveals greater similarities to mammalian hematopoiesis than initially thought; circulating macrophages are derived from precursor cells that originate during the definitive wave of hematopoiesis </w:t>
      </w:r>
      <w:r w:rsidR="00ED6040">
        <w:fldChar w:fldCharType="begin"/>
      </w:r>
      <w:r w:rsidR="000A209C">
        <w:instrText xml:space="preserve"> ADDIN ZOTERO_ITEM CSL_CITATION {"citationID":"x6mXjIy4","properties":{"formattedCitation":"(106,261)","plainCitation":"(106,261)","noteIndex":0},"citationItems":[{"id":31,"uris":["http://zotero.org/users/952979/items/HFIA9KSQ"],"uri":["http://zotero.org/users/952979/items/HFIA9KSQ"],"itemData":{"id":31,"type":"article-journal","title":"C-Myb(+) erythro-myeloid progenitor-derived fetal monocytes give rise to adult tissue-resident macrophages","container-title":"Immunity","page":"665-678","volume":"42","issue":"4","source":"PubMed","abstract":"Although classified as hematopoietic cells, tissue-resident macrophages (MFs) arise from embryonic precursors that seed the tissues prior to birth to generate a self-renewing population, which is maintained independently of adult hematopoiesis. Here we reveal the identity of these embryonic precursors using an in utero MF-depletion strategy and fate-mapping of yolk sac (YS) and fetal liver (FL) hematopoiesis. We show that YS MFs are the main precursors of microglia, while most other MFs derive from fetal monocytes (MOs). Both YS MFs and fetal MOs arise from erythro-myeloid progenitors (EMPs) generated in the YS. In the YS, EMPs gave rise to MFs without monocytic intermediates, while EMP seeding the FL upon the establishment of blood circulation acquired c-Myb expression and gave rise to fetal MOs that then seeded embryonic tissues and differentiated into MFs. Thus, adult tissue-resident MFs established from hematopoietic stem cell-independent embryonic precursors arise from two distinct developmental programs.","DOI":"10.1016/j.immuni.2015.03.011","ISSN":"1097-4180","note":"PMID: 25902481\nPMCID: PMC4545768","journalAbbreviation":"Immunity","language":"eng","author":[{"family":"Hoeffel","given":"Guillaume"},{"family":"Chen","given":"Jinmiao"},{"family":"Lavin","given":"Yonit"},{"family":"Low","given":"Donovan"},{"family":"Almeida","given":"Francisca F."},{"family":"See","given":"Peter"},{"family":"Beaudin","given":"Anna E."},{"family":"Lum","given":"Josephine"},{"family":"Low","given":"Ivy"},{"family":"Forsberg","given":"E. Camilla"},{"family":"Poidinger","given":"Michael"},{"family":"Zolezzi","given":"Francesca"},{"family":"Larbi","given":"Anis"},{"family":"Ng","given":"Lai Guan"},{"family":"Chan","given":"Jerry K. Y."},{"family":"Greter","given":"Melanie"},{"family":"Becher","given":"Burkhard"},{"family":"Samokhvalov","given":"Igor M."},{"family":"Merad","given":"Miriam"},{"family":"Ginhoux","given":"Florent"}],"issued":{"date-parts":[["2015",4,21]]}}},{"id":4748,"uris":["http://zotero.org/users/952979/items/T5FDHXVU"],"uri":["http://zotero.org/users/952979/items/T5FDHXVU"],"itemData":{"id":4748,"type":"article-journal","title":"Tissue-Resident Macrophage Ontogeny and Homeostasis","container-title":"Immunity","page":"439-449","volume":"44","issue":"3","source":"www.cell.com","abstract":"&lt;p&gt;Defining the origins and developmental pathways of tissue-resident macrophages should help refine our understanding of the role of these cells in various disease settings and enable the design of novel macrophage-targeted therapies. In recent years the long-held belief that macrophage populations in the adult are continuously replenished by monocytes from the bone marrow (BM) has been overturned with the advent of new techniques to dissect cellular ontogeny. The new paradigm suggests that several tissue-resident macrophage populations are seeded during waves of embryonic hematopoiesis and self-maintain independently of BM contribution during adulthood. However, the exact nature of the embryonic progenitors that give rise to adult tissue-resident macrophages is still debated, and the mechanisms enabling macrophage population maintenance in the adult are undefined. Here, we review the emergence of these concepts and discuss current controversies and future directions in macrophage biology.&lt;/p&gt;","DOI":"10.1016/j.immuni.2016.02.024","ISSN":"1074-7613","note":"PMID: 26982352","journalAbbreviation":"Immunity","language":"English","author":[{"family":"Ginhoux","given":"Florent"},{"family":"Guilliams","given":"Martin"}],"issued":{"date-parts":[["2016",3,15]]}}}],"schema":"https://github.com/citation-style-language/schema/raw/master/csl-citation.json"} </w:instrText>
      </w:r>
      <w:r w:rsidR="00ED6040">
        <w:fldChar w:fldCharType="separate"/>
      </w:r>
      <w:r w:rsidR="004A1963" w:rsidRPr="004A1963">
        <w:rPr>
          <w:rFonts w:ascii="Calibri" w:hAnsi="Calibri"/>
        </w:rPr>
        <w:t>(106,261)</w:t>
      </w:r>
      <w:r w:rsidR="00ED6040">
        <w:fldChar w:fldCharType="end"/>
      </w:r>
      <w:r w:rsidR="00ED6040">
        <w:t xml:space="preserve">. </w:t>
      </w:r>
    </w:p>
    <w:p w14:paraId="5373EB55" w14:textId="77777777" w:rsidR="001D1AB8" w:rsidRDefault="001D1AB8" w:rsidP="006A45E9">
      <w:pPr>
        <w:pStyle w:val="Thesisnormal"/>
      </w:pPr>
    </w:p>
    <w:p w14:paraId="2117FE30" w14:textId="2131553E" w:rsidR="001D1AB8" w:rsidRDefault="001D1AB8" w:rsidP="001D1AB8">
      <w:pPr>
        <w:pStyle w:val="Thesisnormal"/>
      </w:pPr>
      <w:r w:rsidRPr="00570080">
        <w:t>The recent liter</w:t>
      </w:r>
      <w:r>
        <w:t xml:space="preserve">ature suggests that </w:t>
      </w:r>
      <w:r>
        <w:rPr>
          <w:i/>
        </w:rPr>
        <w:t>Drosophila</w:t>
      </w:r>
      <w:r>
        <w:t xml:space="preserve"> h</w:t>
      </w:r>
      <w:r w:rsidRPr="00570080">
        <w:t xml:space="preserve">ematopoiesis </w:t>
      </w:r>
      <w:r>
        <w:t xml:space="preserve">is more complex </w:t>
      </w:r>
      <w:r w:rsidRPr="00570080">
        <w:t>than originally thought and shows the current model of hematopoiesis to be outdated.</w:t>
      </w:r>
      <w:r>
        <w:t xml:space="preserve"> It is now evident that hematopoiesis differs between the embryo and the lymph gland and that plasmatocytes are more plastic than originally thought, making this system more akin to mammalian macrophages which are capable of displaying, and switching between, multiple phenotypes (F</w:t>
      </w:r>
      <w:r w:rsidRPr="00373FEF">
        <w:t>ig 1.</w:t>
      </w:r>
      <w:r w:rsidR="004B2ADE">
        <w:t>5</w:t>
      </w:r>
      <w:r w:rsidRPr="00373FEF">
        <w:t>)</w:t>
      </w:r>
      <w:r>
        <w:t>.</w:t>
      </w:r>
    </w:p>
    <w:p w14:paraId="307F36E7" w14:textId="77777777" w:rsidR="001D1AB8" w:rsidRDefault="001D1AB8" w:rsidP="001D1AB8">
      <w:pPr>
        <w:pStyle w:val="Thesisnormal"/>
      </w:pPr>
    </w:p>
    <w:p w14:paraId="1B6A0FFD" w14:textId="77777777" w:rsidR="001D1AB8" w:rsidRDefault="001D1AB8" w:rsidP="001D1AB8">
      <w:pPr>
        <w:pStyle w:val="Thesisnormal"/>
      </w:pPr>
      <w:r>
        <w:rPr>
          <w:noProof/>
          <w:lang w:eastAsia="en-GB"/>
        </w:rPr>
        <w:lastRenderedPageBreak/>
        <w:drawing>
          <wp:inline distT="0" distB="0" distL="0" distR="0" wp14:anchorId="4FCDB107" wp14:editId="210D28D2">
            <wp:extent cx="5724525" cy="5848350"/>
            <wp:effectExtent l="0" t="0" r="9525" b="0"/>
            <wp:docPr id="4" name="Picture 4" descr="C:\Users\Gigabyte\Dropbox\PhD\Writing\Thesis\Chapter 1 introduction\figures\Drosophila hematopoiesis 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gabyte\Dropbox\PhD\Writing\Thesis\Chapter 1 introduction\figures\Drosophila hematopoiesis figur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525" cy="5848350"/>
                    </a:xfrm>
                    <a:prstGeom prst="rect">
                      <a:avLst/>
                    </a:prstGeom>
                    <a:noFill/>
                    <a:ln>
                      <a:noFill/>
                    </a:ln>
                  </pic:spPr>
                </pic:pic>
              </a:graphicData>
            </a:graphic>
          </wp:inline>
        </w:drawing>
      </w:r>
    </w:p>
    <w:p w14:paraId="4EF42F1B" w14:textId="77777777" w:rsidR="001D1AB8" w:rsidRDefault="001D1AB8" w:rsidP="001D1AB8">
      <w:pPr>
        <w:pStyle w:val="NoSpacing"/>
        <w:rPr>
          <w:b/>
        </w:rPr>
      </w:pPr>
    </w:p>
    <w:p w14:paraId="08C0029E" w14:textId="229E6751" w:rsidR="001D1AB8" w:rsidRDefault="004B2ADE" w:rsidP="001D1AB8">
      <w:pPr>
        <w:pStyle w:val="NoSpacing"/>
        <w:rPr>
          <w:b/>
        </w:rPr>
      </w:pPr>
      <w:r>
        <w:rPr>
          <w:b/>
        </w:rPr>
        <w:t>Figure 1.5</w:t>
      </w:r>
      <w:r w:rsidR="001D1AB8">
        <w:rPr>
          <w:b/>
        </w:rPr>
        <w:t xml:space="preserve">. Hematopoiesis in </w:t>
      </w:r>
      <w:r w:rsidR="001D1AB8">
        <w:rPr>
          <w:b/>
          <w:i/>
        </w:rPr>
        <w:t>Drosophila</w:t>
      </w:r>
      <w:r w:rsidR="001D1AB8">
        <w:rPr>
          <w:b/>
        </w:rPr>
        <w:t>.</w:t>
      </w:r>
    </w:p>
    <w:p w14:paraId="493118C7" w14:textId="77777777" w:rsidR="001D1AB8" w:rsidRPr="00915D7A" w:rsidRDefault="001D1AB8" w:rsidP="001D1AB8">
      <w:pPr>
        <w:pStyle w:val="NoSpacing"/>
        <w:rPr>
          <w:i/>
        </w:rPr>
      </w:pPr>
      <w:r>
        <w:t xml:space="preserve">(A) In the early embryo, hemocytes are specified in the head mesoderm which requires </w:t>
      </w:r>
      <w:r w:rsidRPr="00117D47">
        <w:rPr>
          <w:i/>
        </w:rPr>
        <w:t>serpent</w:t>
      </w:r>
      <w:r>
        <w:t xml:space="preserve"> and </w:t>
      </w:r>
      <w:r>
        <w:rPr>
          <w:i/>
        </w:rPr>
        <w:t>glial cell missing</w:t>
      </w:r>
      <w:r>
        <w:t xml:space="preserve"> for plasmatocytes or </w:t>
      </w:r>
      <w:r>
        <w:rPr>
          <w:i/>
        </w:rPr>
        <w:t xml:space="preserve">serpent </w:t>
      </w:r>
      <w:r>
        <w:t xml:space="preserve">and </w:t>
      </w:r>
      <w:r>
        <w:rPr>
          <w:i/>
        </w:rPr>
        <w:t>Lozenge</w:t>
      </w:r>
      <w:r>
        <w:t xml:space="preserve"> for crystal cells. Crystal cells remain in the anterior of the embryo whilst plasmatocytes follow well-defined developmental cues to migrate along the ventral and dorsal axes. By late embryogenesis, plasmatocytes cover the whole embryo. In larvae, hemocytes exist as primarily sessile populations, which form hematopoietic clusters (blue). However, there are still circulating hemocytes (red) that patrol the larvae. A second wave of hematopoiesis occurs in the lymph gland (green) which remains intact throughout the pupal phase of development. Upon metamorphosis at the end of pupation the lymph gland ruptures, releasing additional hemocytes into the fly body. These hemocytes persist for the lifetime of the adult fly and circulate throughout the body. Recently, it has also been suggested that there are hematopoietic hubs in the adult fly (blue). (B) The hematopoiesis cascade in </w:t>
      </w:r>
      <w:r>
        <w:rPr>
          <w:i/>
        </w:rPr>
        <w:t>Drosophila</w:t>
      </w:r>
      <w:r>
        <w:t xml:space="preserve">. JAK/STAT signalling maintains pro-hemocytes capable of developing into all three immune </w:t>
      </w:r>
      <w:r>
        <w:lastRenderedPageBreak/>
        <w:t xml:space="preserve">cells; crystal cells, plasmatocytes and lamellocytes via </w:t>
      </w:r>
      <w:r>
        <w:rPr>
          <w:i/>
        </w:rPr>
        <w:t>Lozenge</w:t>
      </w:r>
      <w:r>
        <w:t xml:space="preserve"> and </w:t>
      </w:r>
      <w:r w:rsidRPr="00915D7A">
        <w:t>Serrate/Notch</w:t>
      </w:r>
      <w:r>
        <w:t xml:space="preserve"> signalling, </w:t>
      </w:r>
      <w:r w:rsidRPr="00915D7A">
        <w:rPr>
          <w:i/>
        </w:rPr>
        <w:t>glial cell missing</w:t>
      </w:r>
      <w:r>
        <w:t xml:space="preserve">, or JAK/STAT signalling respectively. Recent evidence has revealed plasticity of plasmatocytes, demonstrating that these cells can differentiate into crystal cells or lamellocytes. </w:t>
      </w:r>
    </w:p>
    <w:p w14:paraId="7B9058AA" w14:textId="77777777" w:rsidR="001D1AB8" w:rsidRDefault="001D1AB8" w:rsidP="001D1AB8">
      <w:pPr>
        <w:pStyle w:val="Thesisnormal"/>
      </w:pPr>
    </w:p>
    <w:p w14:paraId="6BA671CF" w14:textId="77777777" w:rsidR="001D1AB8" w:rsidRDefault="001D1AB8" w:rsidP="001D1AB8">
      <w:pPr>
        <w:pStyle w:val="Thesisnormal"/>
      </w:pPr>
    </w:p>
    <w:p w14:paraId="6B68FC5F" w14:textId="77777777" w:rsidR="001D1AB8" w:rsidRDefault="001D1AB8" w:rsidP="001D1AB8">
      <w:pPr>
        <w:pStyle w:val="Heading2"/>
      </w:pPr>
      <w:bookmarkStart w:id="59" w:name="_Toc502936296"/>
      <w:bookmarkStart w:id="60" w:name="_Toc4589272"/>
      <w:r>
        <w:t xml:space="preserve">1.7 Evidence for macrophage heterogeneity in </w:t>
      </w:r>
      <w:r w:rsidRPr="00A35F98">
        <w:rPr>
          <w:i/>
        </w:rPr>
        <w:t>Drosophila</w:t>
      </w:r>
      <w:bookmarkEnd w:id="59"/>
      <w:bookmarkEnd w:id="60"/>
      <w:r>
        <w:t xml:space="preserve"> </w:t>
      </w:r>
    </w:p>
    <w:p w14:paraId="35A6B130" w14:textId="77777777" w:rsidR="001D1AB8" w:rsidRDefault="001D1AB8" w:rsidP="001D1AB8">
      <w:pPr>
        <w:pStyle w:val="Thesisnormal"/>
      </w:pPr>
    </w:p>
    <w:p w14:paraId="56E84ED6" w14:textId="6EF3D0B3" w:rsidR="001D1AB8" w:rsidRPr="00AC2824" w:rsidRDefault="001D1AB8" w:rsidP="006A45E9">
      <w:pPr>
        <w:pStyle w:val="Thesisnormal"/>
        <w:rPr>
          <w:b/>
        </w:rPr>
      </w:pPr>
      <w:r w:rsidRPr="003E08C6">
        <w:t xml:space="preserve">Heterogeneity appears to be a common trait of innate immune cells having been observed in neutrophils and monocytes </w:t>
      </w:r>
      <w:r w:rsidRPr="003E08C6">
        <w:fldChar w:fldCharType="begin"/>
      </w:r>
      <w:r w:rsidR="000A209C">
        <w:instrText xml:space="preserve"> ADDIN ZOTERO_ITEM CSL_CITATION {"citationID":"eGRuV5QE","properties":{"formattedCitation":"(280\\uc0\\u8211{}286)","plainCitation":"(280–286)","noteIndex":0},"citationItems":[{"id":1307,"uris":["http://zotero.org/users/952979/items/KPKUIE62"],"uri":["http://zotero.org/users/952979/items/KPKUIE62"],"itemData":{"id":1307,"type":"article-journal","title":"Human neutrophil heterogeneity exists, but is it meaningful?","container-title":"Blood","page":"977-983","volume":"63","issue":"5","source":"www.bloodjournal.org","ISSN":"0006-4971, 1528-0020","note":"PMID: 6324930","language":"en","author":[{"family":"Gallin","given":"J. I."}],"issued":{"date-parts":[["1984",5,1]]}}},{"id":1318,"uris":["http://zotero.org/users/952979/items/3RVP8T3N"],"uri":["http://zotero.org/users/952979/items/3RVP8T3N"],"itemData":{"id":1318,"type":"article-journal","title":"The transcriptome of human monocyte subsets begins to emerge","container-title":"Journal of Biology","page":"99","volume":"8","issue":"11","source":"www.jbiol.com","abstract":"Human monocytes can be divided into subsets according to their expression or lack of the cell-surface antigen CD16. In papers published recently in the Journal of Proteome Research and in BMC Genomics, two groups publish independent transcriptome analyses of CD16+ and CD16-monocytes, with revealing results.","DOI":"10.1186/jbiol206","ISSN":"1475-4924","note":"PMID: 20067595","language":"en","author":[{"family":"Martinez","given":"Fernando O."}],"issued":{"date-parts":[["2009",12,23]]}}},{"id":1314,"uris":["http://zotero.org/users/952979/items/N9UNWEQ7"],"uri":["http://zotero.org/users/952979/items/N9UNWEQ7"],"itemData":{"id":1314,"type":"article-journal","title":"Phenotypic and functional plasticity of cells of innate immunity: macrophages, mast cells and neutrophils","container-title":"Nature Immunology","page":"1035-1044","volume":"12","issue":"11","source":"PubMed","abstract":"Hematopoietic cells, including lymphoid and myeloid cells, can develop into phenotypically distinct 'subpopulations' with different functions. However, evidence indicates that some of these subpopulations can manifest substantial plasticity (that is, undergo changes in their phenotype and function). Here we focus on the occurrence of phenotypically distinct subpopulations in three lineages of myeloid cells with important roles in innate and acquired immunity: macrophages, mast cells and neutrophils. Cytokine signals, epigenetic modifications and other microenvironmental factors can substantially and, in some cases, rapidly and reversibly alter the phenotype of these cells and influence their function. This suggests that regulation of the phenotype and function of differentiated hematopoietic cells by microenvironmental factors, including those generated during immune responses, represents a common mechanism for modulating innate or adaptive immunity.","DOI":"10.1038/ni.2109","ISSN":"1529-2916","note":"PMID: 22012443\nPMCID: PMC3412172","shortTitle":"Phenotypic and functional plasticity of cells of innate immunity","journalAbbreviation":"Nat. Immunol.","language":"eng","author":[{"family":"Galli","given":"Stephen J."},{"family":"Borregaard","given":"Niels"},{"family":"Wynn","given":"Thomas A."}],"issued":{"date-parts":[["2011",11]]}}},{"id":1368,"uris":["http://zotero.org/users/952979/items/JXV7W7CN"],"uri":["http://zotero.org/users/952979/items/JXV7W7CN"],"itemData":{"id":1368,"type":"article-journal","title":"The three human monocyte subsets: implications for health and disease","container-title":"Immunologic Research","page":"41-57","volume":"53","issue":"1-3","source":"PubMed","abstract":"Human blood monocytes are heterogeneous and conventionally subdivided into two subsets based on CD16 expression. Recently, the official nomenclature subdivides monocytes into three subsets, the additional subset arising from the segregation of the CD16+ monocytes into two based on relative expression of CD14. Recent whole genome analysis reveal that specialized functions and phenotypes can be attributed to these newly defined monocyte subsets. In this review, we discuss these recent results, and also the description and utility of this new segregation in several disease conditions. We also discuss alternative markers for segregating the monocyte subsets, for example using Tie-2 and slan, which do not necessarily follow the official method of segregating monocyte subsets based on relative CD14 and CD16 expressions.","DOI":"10.1007/s12026-012-8297-3","ISSN":"1559-0755","note":"PMID: 22430559","shortTitle":"The three human monocyte subsets","journalAbbreviation":"Immunol. Res.","language":"eng","author":[{"family":"Wong","given":"Kok Loon"},{"family":"Yeap","given":"Wei Hseun"},{"family":"Tai","given":"June Jing Yi"},{"family":"Ong","given":"Siew Min"},{"family":"Dang","given":"Truong Minh"},{"family":"Wong","given":"Siew Cheng"}],"issued":{"date-parts":[["2012",9]]}}},{"id":1367,"uris":["http://zotero.org/users/952979/items/C38SPJKM"],"uri":["http://zotero.org/users/952979/items/C38SPJKM"],"itemData":{"id":1367,"type":"article-journal","title":"Toward a Refined Definition of Monocyte Subsets","container-title":"Frontiers in Immunology","volume":"4","source":"PubMed Central","abstract":"In a nomenclature proposal published in 2010 monocytes were subdivided into classical and non-classical cells and in addition an intermediate monocyte subset was proposed. Over the last couple of years many studies have analyzed these intermediate cells, their characteristics have been described, and their expansion has been documented in many clinical settings. While these cells appear to be in transition from classical to non-classical monocytes and hence may not form a distinct cell population in a strict sense, their separate analysis and enumeration is warranted in health and disease.","URL":"http://www.ncbi.nlm.nih.gov/pmc/articles/PMC3562996/","DOI":"10.3389/fimmu.2013.00023","ISSN":"1664-3224","note":"PMID: 23382732\nPMCID: PMC3562996","journalAbbreviation":"Front Immunol","author":[{"family":"Ziegler-Heitbrock","given":"Loems"},{"family":"Hofer","given":"Thomas P. J."}],"issued":{"date-parts":[["2013",2,4]]},"accessed":{"date-parts":[["2015",9,28]]}}},{"id":1362,"uris":["http://zotero.org/users/952979/items/A5TFPR23"],"uri":["http://zotero.org/users/952979/items/A5TFPR23"],"itemData":{"id":1362,"type":"article-journal","title":"Monocyte and macrophage differentiation: circulation inflammatory monocyte as biomarker for inflammatory diseases","container-title":"Biomarker Research","page":"1","volume":"2","source":"PubMed Central","abstract":"Monocytes express various receptors, which monitor and sense environmental changes. Monocytes are highly plastic and heterogeneous, and change their functional phenotype in response to environmental stimulation. Evidence from murine and human studies has suggested that monocytosis can be an indicator of various inflammatory diseases. Monocytes can differentiate into inflammatory or anti-inflammatory subsets. Upon tissue damage or infection, monocytes are rapidly recruited to the tissue, where they can differentiate into tissue macrophages or dendritic cells. Given the rapid progress in monocyte research from broad spectrum of inflammatory diseases, there is a need to summarize our knowledge in monocyte heterogeneity and its impact in human disease. In this review, we describe the current understanding of heterogeneity of human and murine monocytes, the function of distinct subsets of monocytes, and a potential mechanism for monocyte differentiation. We emphasize that inflammatory monocyte subsets are valuable biomarkers for inflammatory diseases, including cardiovascular diseases.","DOI":"10.1186/2050-7771-2-1","ISSN":"2050-7771","note":"PMID: 24398220\nPMCID: PMC3892095","shortTitle":"Monocyte and macrophage differentiation","journalAbbreviation":"Biomark Res","author":[{"family":"Yang","given":"Jiyeon"},{"family":"Zhang","given":"Lixiao"},{"family":"Yu","given":"Caijia"},{"family":"Yang","given":"Xiao-Feng"},{"family":"Wang","given":"Hong"}],"issued":{"date-parts":[["2014",1,7]]}}},{"id":1365,"uris":["http://zotero.org/users/952979/items/NA9GCW4G"],"uri":["http://zotero.org/users/952979/items/NA9GCW4G"],"itemData":{"id":1365,"type":"article-journal","title":"Phenotypic Diversity and Plasticity in Circulating Neutrophil Subpopulations in Cancer","container-title":"Cell Reports","page":"562-573","volume":"10","issue":"4","source":"www.cell.com","abstract":"Controversy surrounds neutrophil function in cancer because neutrophils were shown to provide both pro- and antitumor functions. We identified a heterogeneous subset of low-density neutrophils (LDNs) that appear transiently in self-resolving inflammation but accumulate continuously with cancer progression. LDNs display impaired neutrophil function and immunosuppressive properties, characteristics that are in stark contrast to those of mature, high-density neutrophils (HDNs). LDNs consist of both immature myeloid-derived suppressor cells (MDSCs) and mature cells that are derived from HDNs in a TGF-β-dependent mechanism. Our findings identify three distinct populations of circulating neutrophils and challenge the concept that mature neutrophils have limited plasticity. Furthermore, our findings provide a mechanistic explanation to mitigate the controversy surrounding neutrophil function in cancer.","DOI":"10.1016/j.celrep.2014.12.039","ISSN":"2211-1247","note":"PMID: 25620698","language":"English","author":[{"family":"Sagiv","given":"Jitka Y."},{"family":"Michaeli","given":"Janna"},{"family":"Assi","given":"Simaan"},{"family":"Mishalian","given":"Inbal"},{"family":"Kisos","given":"Hen"},{"family":"Levy","given":"Liran"},{"family":"Damti","given":"Pazzit"},{"family":"Lumbroso","given":"Delphine"},{"family":"Polyansky","given":"Lola"},{"family":"Sionov","given":"Ronit V."},{"family":"Ariel","given":"Amiram"},{"family":"Hovav","given":"Avi-Hai"},{"family":"Henke","given":"Erik"},{"family":"Fridlender","given":"Zvi G."},{"family":"Granot","given":"Zvi"}],"issued":{"date-parts":[["2015",3,2]]}}}],"schema":"https://github.com/citation-style-language/schema/raw/master/csl-citation.json"} </w:instrText>
      </w:r>
      <w:r w:rsidRPr="003E08C6">
        <w:fldChar w:fldCharType="separate"/>
      </w:r>
      <w:r w:rsidR="004A1963" w:rsidRPr="004A1963">
        <w:rPr>
          <w:rFonts w:ascii="Calibri" w:hAnsi="Calibri" w:cs="Times New Roman"/>
        </w:rPr>
        <w:t>(280–286)</w:t>
      </w:r>
      <w:r w:rsidRPr="003E08C6">
        <w:fldChar w:fldCharType="end"/>
      </w:r>
      <w:r w:rsidRPr="003E08C6">
        <w:t>. Macrophage heterogeneity is well established in vertebrates</w:t>
      </w:r>
      <w:r>
        <w:t xml:space="preserve"> and is </w:t>
      </w:r>
      <w:r w:rsidRPr="003E08C6">
        <w:t xml:space="preserve">evolutionarily conserved </w:t>
      </w:r>
      <w:r>
        <w:t>in</w:t>
      </w:r>
      <w:r w:rsidRPr="003E08C6">
        <w:t xml:space="preserve"> </w:t>
      </w:r>
      <w:r w:rsidR="000E45F9">
        <w:t xml:space="preserve">teleost </w:t>
      </w:r>
      <w:r w:rsidRPr="003E08C6">
        <w:t xml:space="preserve">fish </w:t>
      </w:r>
      <w:r w:rsidRPr="003E08C6">
        <w:fldChar w:fldCharType="begin"/>
      </w:r>
      <w:r w:rsidR="000A209C">
        <w:instrText xml:space="preserve"> ADDIN ZOTERO_ITEM CSL_CITATION {"citationID":"RgBpGzR9","properties":{"formattedCitation":"(124,137,287,288)","plainCitation":"(124,137,287,288)","noteIndex":0},"citationItems":[{"id":1316,"uris":["http://zotero.org/users/952979/items/CIHFF2IF"],"uri":["http://zotero.org/users/952979/items/CIHFF2IF"],"itemData":{"id":1316,"type":"article-journal","title":"Head kidney-derived macrophages of common carp (Cyprinus carpio L.) show plasticity and functional polarization upon differential stimulation","container-title":"Journal of Immunology (Baltimore, Md.: 1950)","page":"61-69","volume":"177","issue":"1","source":"PubMed","abstract":"Cells from the myeloid lineage are pluripotent. To investigate the potential of myeloid cell polarization in a primitive vertebrate species, we phenotypically and functionally characterized myeloid cells of common carp (Cyprinus carpio L.) during culture. Flow cytometric analysis, Ab labeling of cell surface markers, and light microscopy showed the presence of a major population of heterogeneous macrophages after culture. These head kidney-derived macrophages can be considered the fish equivalent of bone marrow-derived macrophages and show the ability to phagocytose, produce radicals, and polarize into innate activated or alternatively activated macrophages. Macrophage polarization was based on differential activity of inducible NO synthase and arginase for innate and alternative activation, respectively. Correspondingly, gene expression profiling after stimulation with LPS or cAMP showed differential expression for most of the immune genes presently described for carp. The recently described novel Ig-like transcript 1 (NILT1) and the CXCR1 and CXCR2 chemokine receptors were up-regulated after stimulation with cAMP, an inducer of alternative activation in carp macrophages. Up-regulation of NILT1 was also seen during the later phase of a Trypanosoma carassii infection, where macrophages are primarily alternatively activated. However, NILT1 could not be up-regulated during a Trypanoplasma borreli infection, a model for innate activation. Our data suggest that NILT1, CXCR1, and CXCR2 could be considered markers for alternatively activated macrophages in fish.","ISSN":"0022-1767","note":"PMID: 16785499","journalAbbreviation":"J. Immunol.","language":"eng","author":[{"family":"Joerink","given":"Maaike"},{"family":"Ribeiro","given":"Carla M. S."},{"family":"Stet","given":"René J. M."},{"family":"Hermsen","given":"Trudi"},{"family":"Savelkoul","given":"Huub F. J."},{"family":"Wiegertjes","given":"Geert F."}],"issued":{"date-parts":[["2006",7,1]]}}},{"id":1320,"uris":["http://zotero.org/users/952979/items/3759TGNH"],"uri":["http://zotero.org/users/952979/items/3759TGNH"],"itemData":{"id":1320,"type":"article-journal","title":"Differential macrophage polarisation during parasitic infections in common carp (Cyprinus carpio L.)","container-title":"Fish &amp; Shellfish Immunology","page":"561-571","volume":"21","issue":"5","source":"ScienceDirect","abstract":"In many parasitic infections both classically activated macrophages (caMF) and alternatively activated macrophages (aaMF) play a pivotal role. To investigate if both types of macrophages also play an important role during parasitic infections in fish, we infected carp with either Trypanoplasma borreli or Trypanosoma carassii and determined the activation state of the head kidney leukocytes (HKL). Nitrite production was used as read-out for caMF and arginase activity as read-out for aaMF. Basal nitrite production and arginase activity of HKL were moderately different between the two infections. Differences were observed, however, after ex vivo re-stimulation of HKL. Re-stimulation with LPS and T. borreli lysates increased nitrite production by HKL of T. borreli-infected fish. Re-stimulation with cAMP increased arginase activity in HKL of T. carassii-infected fish. Our results indicate that T. borreli-infected carp are more prone to increase nitrite production by caMF while T. carassii-infected fish are more prone to increase arginase activity by aaMF.","DOI":"10.1016/j.fsi.2006.03.006","ISSN":"1050-4648","journalAbbreviation":"Fish &amp; Shellfish Immunology","author":[{"family":"Joerink","given":"Maaike"},{"family":"Forlenza","given":"Maria"},{"family":"Ribeiro","given":"Carla M. S."},{"family":"Vries","given":"Beitske J.","non-dropping-particle":"de"},{"family":"Savelkoul","given":"Huub F. J."},{"family":"Wiegertjes","given":"Geert F."}],"issued":{"date-parts":[["2006",11]]}}},{"id":1481,"uris":["http://zotero.org/users/952979/items/VXEKHQ7M"],"uri":["http://zotero.org/users/952979/items/VXEKHQ7M"],"itemData":{"id":1481,"type":"article-journal","title":"Evolutionary roots of arginase expression and regulation","container-title":"Molecular Innate Immunity","page":"544","volume":"5","source":"Frontiers","abstract":"Two main types of macrophage functions are known: classical (M1), producing nitric oxide, NO, and M2, in which arginase activity is primarily expressed. Ornithine, the product of arginase, is a substrate for synthesis of polyamines and collagen, important for growth and ontogeny of animals. M2 macrophages, expressing high level of mitochondrial arginase, have been implicated in promoting cell division and deposition of collagen during ontogeny and wound repair. Arginase expression is the default mode of tissue macrophages, but can also be amplified by signals, such as IL-4/13 or transforming growth factor-β (TGF-β) that accelerates wound healing and tissue repair. In worms, the induction of collagen gene is coupled with induction of immune response genes, both depending on the same TGF-β-like pathway. This suggests that the main function of M2 “heal” type macrophages is originally connected with the TGF-β superfamily of proteins, which are involved in regulation of tissue and organ differentiation in embryogenesis. Excretory–secretory products of metazoan parasites are able to induce M2-type of macrophage responses promoting wound healing without participation of Th2 cytokines IL-4/IL-13. The expression of arginase in lower animals can be induced by the presence of parasite antigens and TGF-β signals leading to collagen synthesis. This also means that the main proteins, which, in primitive metazoans, are involved in regulation of tissue and organ differentiation in embryogenesis are produced by innate immunity. The signaling function of NO is known already from the sponge stage of animal evolution. The cytotoxic role of NO molecule appeared later, as documented in immunity of marine mollusks and some insects. This implies that the M2-wound healing promoting function predates the defensive role of NO, a characteristic of M1 macrophages. Understanding when and how the M1 and M2 activities came to be in animals is useful for understanding how macrophage immunity, and immune responses operate.","DOI":"10.3389/fimmu.2014.00544","journalAbbreviation":"Front. Immunol.","author":[{"family":"Dzik","given":"Jolanta Maria"}],"issued":{"date-parts":[["2014"]]}}},{"id":1284,"uris":["http://zotero.org/users/952979/items/N38NZG8H"],"uri":["http://zotero.org/users/952979/items/N38NZG8H"],"itemData":{"id":1284,"type":"article-journal","title":"Polarization of immune responses in fish: The ‘macrophages first’ point of view","container-title":"Molecular Immunology","source":"ScienceDirect","abstract":"In this review, we support taking polarized immune responses in teleost fish from a ‘macrophage first’ point of view, a hypothesis that reverts the dichotomous T helper (TH)1 and TH2 driving forces by building on the idea of conservation of innate immune responses in lower vertebrates. It is plausible that the initial trigger for macrophage polarization into M1 (inflammation) or M2 (healing) could rely only on sensing microbial/parasite infection or other innate danger signals, without the influence of adaptive immunity. Given the long and ongoing debate on the presence/absence of a typical TH1 cytokine environment and, in particular, TH2 cytokine environment in fish immune responses, it stands out that the presence of macrophages with polarized phenotypes, alike M1 and M2, have been relatively easy to demonstrate for fish. We summarize in short present knowledge in teleost fish on those cytokines considered most critical to the dichotomous development of TH1/M1 and TH2/M2 polarization, in particular, but not exclusively, interferon-γ and interleukin (IL)-4/IL-13. We review, in more detail, polarization of fish immune responses taken from the macrophage point of view for which we adopted the simple nomenclature of M1 and M2. We discuss inducible nitric oxide synthase, or NOS-2, as a reliable M1 marker and arginase-2 as a reliable M2 marker for teleost fish and discuss the value of these macrophage markers for the generation of zebrafish reporter lines to study M1/M2 polarization in vivo.","URL":"http://www.sciencedirect.com/science/article/pii/S0161589015300894","DOI":"10.1016/j.molimm.2015.09.026","ISSN":"0161-5890","shortTitle":"Polarization of immune responses in fish","journalAbbreviation":"Molecular Immunology","author":[{"family":"Wiegertjes","given":"Geert F."},{"family":"Wentzel","given":"Annelieke S."},{"family":"Spaink","given":"Herman P."},{"family":"Elks","given":"Philip M."},{"family":"Fink","given":"Inge R."}],"issued":{"date-parts":[["2015"]]},"accessed":{"date-parts":[["2015",11,11]]}}}],"schema":"https://github.com/citation-style-language/schema/raw/master/csl-citation.json"} </w:instrText>
      </w:r>
      <w:r w:rsidRPr="003E08C6">
        <w:fldChar w:fldCharType="separate"/>
      </w:r>
      <w:r w:rsidR="004A1963" w:rsidRPr="004A1963">
        <w:rPr>
          <w:rFonts w:ascii="Calibri" w:hAnsi="Calibri"/>
        </w:rPr>
        <w:t>(124,137,287,288)</w:t>
      </w:r>
      <w:r w:rsidRPr="003E08C6">
        <w:fldChar w:fldCharType="end"/>
      </w:r>
      <w:r w:rsidRPr="003E08C6">
        <w:t>.</w:t>
      </w:r>
      <w:r>
        <w:t xml:space="preserve"> As outlined above, some plasticity and/or transdifferentiation of </w:t>
      </w:r>
      <w:r>
        <w:rPr>
          <w:i/>
        </w:rPr>
        <w:t>Drosophila</w:t>
      </w:r>
      <w:r>
        <w:t xml:space="preserve"> blood cells has been reported, which could plausibly relate to or drive macrophage heterogeneity in flies. </w:t>
      </w:r>
    </w:p>
    <w:p w14:paraId="29253DC3" w14:textId="77777777" w:rsidR="001D1AB8" w:rsidRDefault="001D1AB8" w:rsidP="006A45E9">
      <w:pPr>
        <w:pStyle w:val="Thesisnormal"/>
      </w:pPr>
    </w:p>
    <w:p w14:paraId="14BF2966" w14:textId="3A9412F6" w:rsidR="001D1AB8" w:rsidRDefault="001D1AB8" w:rsidP="006A45E9">
      <w:pPr>
        <w:pStyle w:val="Thesisnormal"/>
      </w:pPr>
      <w:r>
        <w:t xml:space="preserve">The first suggestions of plasmatocyte heterogeneity in </w:t>
      </w:r>
      <w:r>
        <w:rPr>
          <w:i/>
        </w:rPr>
        <w:t xml:space="preserve">Drosophila </w:t>
      </w:r>
      <w:r>
        <w:t xml:space="preserve">surfaced in 2003. While investigating the role of Nitric Oxide in </w:t>
      </w:r>
      <w:r w:rsidRPr="005B58CD">
        <w:rPr>
          <w:i/>
        </w:rPr>
        <w:t>Drosophila</w:t>
      </w:r>
      <w:r>
        <w:t xml:space="preserve">, Foley and O’Farrell found that Diptericin activity was present only in a subset of hemocytes isolated from infected larvae, suggesting that there was a differential response of the hemocytes, but did not confirm that this was specifically plasmatocytes </w:t>
      </w:r>
      <w:r>
        <w:fldChar w:fldCharType="begin"/>
      </w:r>
      <w:r w:rsidR="000A209C">
        <w:instrText xml:space="preserve"> ADDIN ZOTERO_ITEM CSL_CITATION {"citationID":"21hifg97e2","properties":{"formattedCitation":"(289)","plainCitation":"(289)","noteIndex":0},"citationItems":[{"id":1475,"uris":["http://zotero.org/users/952979/items/HTJD9MUF"],"uri":["http://zotero.org/users/952979/items/HTJD9MUF"],"itemData":{"id":1475,"type":"article-journal","title":"Nitric oxide contributes to induction of innate immune responses to gram-negative bacteria in Drosophila","container-title":"Genes &amp; Development","page":"115-125","volume":"17","issue":"1","source":"PubMed","abstract":"Studies in mammals uncovered important signaling roles of nitric oxide (NO), and contributions to innate immunity. Suggestions of conservation led us to explore the involvement of NO in Drosophila innate immunity. Inhibition of nitric oxide synthase (NOS) increased larval sensitivity to gram-negative bacterial infection, and abrogated induction of the antimicrobial peptide Diptericin. NOS was up-regulated after infection. Antimicrobial peptide reporters revealed that NO triggered an immune response in uninfected larvae. NO induction of Diptericin reporters in the fat body required immune deficiency (imd) and domino. These findings show that NOS activity is required for a robust innate immune response to gram-negative bacteria, NOS is induced by infection, and NO is sufficient to trigger response in the absence of infection. We propose that NO mediates an early step of the signal transduction pathway, inducing the innate immune response upon natural infection with gram-negative bacteria.","DOI":"10.1101/gad.1018503","ISSN":"0890-9369","note":"PMID: 12514104\nPMCID: PMC195964","journalAbbreviation":"Genes Dev.","language":"eng","author":[{"family":"Foley","given":"Edan"},{"family":"O'Farrell","given":"Patrick H."}],"issued":{"date-parts":[["2003",1,1]]}}}],"schema":"https://github.com/citation-style-language/schema/raw/master/csl-citation.json"} </w:instrText>
      </w:r>
      <w:r>
        <w:fldChar w:fldCharType="separate"/>
      </w:r>
      <w:r w:rsidR="004A1963" w:rsidRPr="004A1963">
        <w:rPr>
          <w:rFonts w:ascii="Calibri" w:hAnsi="Calibri"/>
        </w:rPr>
        <w:t>(289)</w:t>
      </w:r>
      <w:r>
        <w:fldChar w:fldCharType="end"/>
      </w:r>
      <w:r>
        <w:t xml:space="preserve">. Stronger evidence was gained from a study that aimed to characterise the function of </w:t>
      </w:r>
      <w:r w:rsidRPr="00D14257">
        <w:rPr>
          <w:i/>
        </w:rPr>
        <w:t>hemolectin</w:t>
      </w:r>
      <w:r>
        <w:t xml:space="preserve"> (</w:t>
      </w:r>
      <w:r w:rsidRPr="003B3FE1">
        <w:rPr>
          <w:i/>
        </w:rPr>
        <w:t>hml</w:t>
      </w:r>
      <w:r>
        <w:t xml:space="preserve">). The authors illustrated that </w:t>
      </w:r>
      <w:r w:rsidRPr="003B3FE1">
        <w:rPr>
          <w:i/>
        </w:rPr>
        <w:t>hml</w:t>
      </w:r>
      <w:r>
        <w:t xml:space="preserve"> was not expressed in all plasmatocytes, and confirmed this by co-localisation studies employing a pan-plasmatocyte marker, suggesting a heterogeneous population </w:t>
      </w:r>
      <w:r>
        <w:fldChar w:fldCharType="begin"/>
      </w:r>
      <w:r w:rsidR="000A209C">
        <w:instrText xml:space="preserve"> ADDIN ZOTERO_ITEM CSL_CITATION {"citationID":"64I6ZB5c","properties":{"formattedCitation":"(290)","plainCitation":"(290)","noteIndex":0},"citationItems":[{"id":1333,"uris":["http://zotero.org/users/952979/items/S6NEI7M9"],"uri":["http://zotero.org/users/952979/items/S6NEI7M9"],"itemData":{"id":1333,"type":"article-journal","title":"Drosophila hemolectin gene is expressed in embryonic and larval hemocytes and its knock down causes bleeding defects","container-title":"Developmental Biology","page":"582-591","volume":"264","issue":"2","source":"PubMed","abstract":"We have previously identified and characterized Drosophila hemolectin (Hml) in the conditioned medium of a Drosophila cell line. The deduced amino acids sequence contains a number of domains conserved in human von Willebrand factor, coagulation factor V/VIII, and complement factors. To characterize Hml localization and function, we have established two transgenic lines (hml-GAL4 and UAS-hmlRNAi). By crossing hml-GAL4 with UAS-eGFP, we observed that Hml is specifically expressed in embryonic and in larval hemocytes. We determined that Hml is expressed in a subpopulation of plasmatocytes and crystal cells but not in lamellocytes. hml RNAi larvae are viable and do not display obvious developmental defects under normal conditions. However, they show a bleeding defect upon injury. We confirmed that the failure to seal a wound is not due to a defect in melanin production or in phenoloxidase activity. The expression of antimicrobial peptides was not significantly affected on hml RNAi adults. Altogether, our data strongly suggest that Hml is involved in hemostasis and/or coagulation in Drosophila larvae.","ISSN":"0012-1606","note":"PMID: 14651939","journalAbbreviation":"Dev. Biol.","language":"eng","author":[{"family":"Goto","given":"Akira"},{"family":"Kadowaki","given":"Tatsuhiko"},{"family":"Kitagawa","given":"Yasuo"}],"issued":{"date-parts":[["2003",12,15]]}}}],"schema":"https://github.com/citation-style-language/schema/raw/master/csl-citation.json"} </w:instrText>
      </w:r>
      <w:r>
        <w:fldChar w:fldCharType="separate"/>
      </w:r>
      <w:r w:rsidR="004A1963" w:rsidRPr="004A1963">
        <w:rPr>
          <w:rFonts w:ascii="Calibri" w:hAnsi="Calibri"/>
        </w:rPr>
        <w:t>(290)</w:t>
      </w:r>
      <w:r>
        <w:fldChar w:fldCharType="end"/>
      </w:r>
      <w:r>
        <w:t xml:space="preserve">. A later study provided further evidence of a subpopulation by investigating hemocyte populations based on cell antigens </w:t>
      </w:r>
      <w:r>
        <w:fldChar w:fldCharType="begin"/>
      </w:r>
      <w:r w:rsidR="000A209C">
        <w:instrText xml:space="preserve"> ADDIN ZOTERO_ITEM CSL_CITATION {"citationID":"1d7dclv4o5","properties":{"formattedCitation":"(276)","plainCitation":"(276)","noteIndex":0},"citationItems":[{"id":1326,"uris":["http://zotero.org/users/952979/items/IGPCI8FJ"],"uri":["http://zotero.org/users/952979/items/IGPCI8FJ"],"itemData":{"id":1326,"type":"article-journal","title":"Definition of Drosophila hemocyte subsets by cell-type specific antigens","container-title":"Acta Biologica Hungarica","page":"95-111","volume":"58 Suppl","source":"PubMed","abstract":"We analyzed the heterogeneity of Drosophila hemocytes on the basis of the expression of cell-type specific antigens. The antigens characterize distinct subsets which partially overlap with those defined by morphological criteria. On the basis of the expression or the lack of expression of blood cell antigens the following hemocyte populations have been defined: crystal cells, plasmatocytes, lamellocytes and precursor cells. The expression of the antigens and thus the different cell types are developmentally regulated. The hemocytes are arranged in four main compartments: the circulating blood cells, the sessile tissue, the lymph glands and the posterior hematopoietic tissue. Each hemocyte compartment has a specific and characteristic composition of the various cell types. The described markers represent the first successful attempt to define hemocyte lineages by immunological markers in Drosophila and help to define morphologically, functionally, spatially and developmentally distinct subsets of hemocytes.","DOI":"10.1556/ABiol.58.2007.Suppl.8","ISSN":"0236-5383","note":"PMID: 18297797","journalAbbreviation":"Acta. Biol. Hung.","language":"eng","author":[{"family":"Kurucz","given":"Eva"},{"family":"Váczi","given":"B."},{"family":"Márkus","given":"R."},{"family":"Laurinyecz","given":"Barbara"},{"family":"Vilmos","given":"P."},{"family":"Zsámboki","given":"J."},{"family":"Csorba","given":"Kinga"},{"family":"Gateff","given":"Elisabeth"},{"family":"Hultmark","given":"D."},{"family":"Andó","given":"I."}],"issued":{"date-parts":[["2007"]]}}}],"schema":"https://github.com/citation-style-language/schema/raw/master/csl-citation.json"} </w:instrText>
      </w:r>
      <w:r>
        <w:fldChar w:fldCharType="separate"/>
      </w:r>
      <w:r w:rsidR="004A1963" w:rsidRPr="004A1963">
        <w:rPr>
          <w:rFonts w:ascii="Calibri" w:hAnsi="Calibri"/>
        </w:rPr>
        <w:t>(276)</w:t>
      </w:r>
      <w:r>
        <w:fldChar w:fldCharType="end"/>
      </w:r>
      <w:r>
        <w:t xml:space="preserve">. This study found that the antigen recognised by the monoclonal P3 antibody was expressed only in a subpopulation of plasmatocytes. However, it is still unknown what P3 recognises or what its function may be or if the labelled subpopulation displays any different behaviour compared to non-labelled populations. </w:t>
      </w:r>
    </w:p>
    <w:p w14:paraId="04A3F371" w14:textId="77777777" w:rsidR="001D1AB8" w:rsidRDefault="001D1AB8" w:rsidP="006A45E9">
      <w:pPr>
        <w:pStyle w:val="Thesisnormal"/>
      </w:pPr>
    </w:p>
    <w:p w14:paraId="20BEF12C" w14:textId="76E771FA" w:rsidR="001D1AB8" w:rsidRDefault="001D1AB8" w:rsidP="006A45E9">
      <w:pPr>
        <w:pStyle w:val="Thesisnormal"/>
      </w:pPr>
      <w:r>
        <w:t xml:space="preserve">The most recent study suggesting distinct populations of plasmatocytes demonstrated that following </w:t>
      </w:r>
      <w:r>
        <w:rPr>
          <w:i/>
        </w:rPr>
        <w:t>S. aureus</w:t>
      </w:r>
      <w:r>
        <w:t xml:space="preserve"> infection, the TGF-</w:t>
      </w:r>
      <w:r>
        <w:sym w:font="Symbol" w:char="F062"/>
      </w:r>
      <w:r>
        <w:t xml:space="preserve"> ligands </w:t>
      </w:r>
      <w:r w:rsidRPr="00507087">
        <w:rPr>
          <w:i/>
        </w:rPr>
        <w:t>decapentaplegic</w:t>
      </w:r>
      <w:r>
        <w:t xml:space="preserve"> and </w:t>
      </w:r>
      <w:r w:rsidRPr="00507087">
        <w:rPr>
          <w:i/>
        </w:rPr>
        <w:t>dawdle</w:t>
      </w:r>
      <w:r>
        <w:t xml:space="preserve"> were expressed in separate hemocyte populations </w:t>
      </w:r>
      <w:r>
        <w:fldChar w:fldCharType="begin"/>
      </w:r>
      <w:r w:rsidR="000A209C">
        <w:instrText xml:space="preserve"> ADDIN ZOTERO_ITEM CSL_CITATION {"citationID":"tpue1q4qe","properties":{"formattedCitation":"(291)","plainCitation":"(291)","noteIndex":0},"citationItems":[{"id":1480,"uris":["http://zotero.org/users/952979/items/9D2QAX7H"],"uri":["http://zotero.org/users/952979/items/9D2QAX7H"],"itemData":{"id":1480,"type":"article-journal","title":"Multiple TGF-β Superfamily Signals Modulate the Adult Drosophila Immune Response","container-title":"Current Biology","page":"1672-1677","volume":"21","issue":"19","source":"ScienceDirect","abstract":"Summary\nTGF-β superfamily signals play complex roles in regulation of tissue repair and inflammation in mammals [1]. Drosophila melanogaster is a well-established model for the study of innate immune function [2, 3] and wound healing [4–7]. Here, we explore the role and regulation of two TGF-β superfamily members, dawdle and decapentaplegic (dpp), in response to wounding and infection in adult Drosophila. We find that both TGF-β signals exhibit complex regulation in response to wounding and infection, each is expressed in a subset of phagocytes, and each inhibits a specific arm of the immune response. dpp is rapidly activated by wounds and represses the production of antimicrobial peptides; flies lacking dpp function display persistent, strong antimicrobial peptide expression after even a small wound. dawdle, in contrast, is activated by Gram-positive bacterial infection but repressed by Gram-negative infection or wounding; its role is to limit infection-induced melanization. Flies lacking dawdle function exhibit melanization even when uninfected. Together, these data imply a model in which the bone morphogenetic protein (BMP) dpp is an important inhibitor of inflammation following sterile injury whereas the activin-like dawdle determines the nature of the induced immune response.","DOI":"10.1016/j.cub.2011.08.048","ISSN":"0960-9822","journalAbbreviation":"Current Biology","author":[{"family":"Clark","given":"Rebecca I."},{"family":"Woodcock","given":"Katie J."},{"family":"Geissmann","given":"Frédéric"},{"family":"Trouillet","given":"Céline"},{"family":"Dionne","given":"Marc S."}],"issued":{"date-parts":[["2011",10,11]]}}}],"schema":"https://github.com/citation-style-language/schema/raw/master/csl-citation.json"} </w:instrText>
      </w:r>
      <w:r>
        <w:fldChar w:fldCharType="separate"/>
      </w:r>
      <w:r w:rsidR="004A1963" w:rsidRPr="004A1963">
        <w:rPr>
          <w:rFonts w:ascii="Calibri" w:hAnsi="Calibri"/>
        </w:rPr>
        <w:t>(291)</w:t>
      </w:r>
      <w:r>
        <w:fldChar w:fldCharType="end"/>
      </w:r>
      <w:r>
        <w:t xml:space="preserve">. Although this study also failed to demonstrate that this was specific to plasmatocytes rather than all hemocytes. The only study directly investigating plasmatocyte heterogeneity was a thesis from the Sucena lab </w:t>
      </w:r>
      <w:r>
        <w:fldChar w:fldCharType="begin"/>
      </w:r>
      <w:r w:rsidR="000A209C">
        <w:instrText xml:space="preserve"> ADDIN ZOTERO_ITEM CSL_CITATION {"citationID":"mel5f1345","properties":{"formattedCitation":"(292)","plainCitation":"(292)","noteIndex":0},"citationItems":[{"id":1321,"uris":["http://zotero.org/users/952979/items/M9P8DVM2"],"uri":["http://zotero.org/users/952979/items/M9P8DVM2"],"itemData":{"id":1321,"type":"thesis","title":"Towards the characterization of plasmatocyte heterogeneity in Drosophila melanogaster","publisher":"Universidade de Lisboa","source":"repositorio.ul.pt","abstract":"Resumo alargado em português disponível no documento","URL":"http://repositorio.ul.pt/handle/10451/1442","language":"eng","author":[{"family":"Leitão","given":"Alexandre Castanho Barata"}],"issued":{"date-parts":[["2009"]]},"accessed":{"date-parts":[["2015",10,13]]}}}],"schema":"https://github.com/citation-style-language/schema/raw/master/csl-citation.json"} </w:instrText>
      </w:r>
      <w:r>
        <w:fldChar w:fldCharType="separate"/>
      </w:r>
      <w:r w:rsidR="004A1963" w:rsidRPr="004A1963">
        <w:rPr>
          <w:rFonts w:ascii="Calibri" w:hAnsi="Calibri"/>
        </w:rPr>
        <w:t>(292)</w:t>
      </w:r>
      <w:r>
        <w:fldChar w:fldCharType="end"/>
      </w:r>
      <w:r>
        <w:t xml:space="preserve">. Utilising </w:t>
      </w:r>
      <w:r>
        <w:lastRenderedPageBreak/>
        <w:t xml:space="preserve">flow cytometry, the author demonstrated that 80% of plasmatocytes were positive for the marker </w:t>
      </w:r>
      <w:r w:rsidRPr="004B50D9">
        <w:rPr>
          <w:i/>
        </w:rPr>
        <w:t>Hemese</w:t>
      </w:r>
      <w:r>
        <w:t xml:space="preserve">. However, the author was unable to demonstrate any functional evidence for a sub-population and the work has not yet been published in a peer reviewed journal. In contrast, a different study demonstrated that only 30% of hemocytes express </w:t>
      </w:r>
      <w:r w:rsidRPr="004B50D9">
        <w:rPr>
          <w:i/>
        </w:rPr>
        <w:t>Hemese</w:t>
      </w:r>
      <w:r>
        <w:t xml:space="preserve"> </w:t>
      </w:r>
      <w:r>
        <w:fldChar w:fldCharType="begin"/>
      </w:r>
      <w:r w:rsidR="000A209C">
        <w:instrText xml:space="preserve"> ADDIN ZOTERO_ITEM CSL_CITATION {"citationID":"5rHj6fxw","properties":{"formattedCitation":"(293)","plainCitation":"(293)","noteIndex":0},"citationItems":[{"id":1322,"uris":["http://zotero.org/users/952979/items/BDCVR55D"],"uri":["http://zotero.org/users/952979/items/BDCVR55D"],"itemData":{"id":1322,"type":"article-journal","title":"A misexpression screen to identify regulators of Drosophila larval hemocyte development","container-title":"Genetics","page":"253-267","volume":"180","issue":"1","source":"PubMed","abstract":"In Drosophila, defense against foreign pathogens is mediated by an effective innate immune system, the cellular arm of which is composed of circulating hemocytes that engulf bacteria and encapsulate larger foreign particles. Three hemocyte types occur: plasmatocytes, crystal cells, and lamellocytes. The most abundant larval hemocyte type is the plasmatocyte, which is responsible for phagocytosis and is present either in circulation or in adherent sessile domains under the larval cuticle. The mechanisms controlling differentiation of plasmatocytes and their migration toward these sessile compartments are unclear. To address these questions we have conducted a misexpression screen using the plasmatocyte-expressed GAL4 driver Peroxidasin-GAL4 (Pxn-GAL4) and existing enhancer-promoter (EP) and EP yellow (EY) transposon libraries to systematically misexpress approximately 20% of Drosophila genes in larval hemocytes. The Pxn-GAL4 strain also contains a UAS-GFP reporter enabling hemocyte phenotypes to be visualized in the semitransparent larvae. Among 3412 insertions screened we uncovered 101 candidate hemocyte regulators. Some of these are known to control hemocyte development, but the majority either have no characterized function or are proteins of known function not previously implicated in hemocyte development. We have further analyzed three candidate genes for changes in hemocyte morphology, cell-cell adhesion properties, phagocytosis activity, and melanotic tumor formation.","DOI":"10.1534/genetics.108.089094","ISSN":"0016-6731","note":"PMID: 18757933\nPMCID: PMC2535679","journalAbbreviation":"Genetics","language":"eng","author":[{"family":"Stofanko","given":"Martin"},{"family":"Kwon","given":"So Yeon"},{"family":"Badenhorst","given":"Paul"}],"issued":{"date-parts":[["2008",9]]}}}],"schema":"https://github.com/citation-style-language/schema/raw/master/csl-citation.json"} </w:instrText>
      </w:r>
      <w:r>
        <w:fldChar w:fldCharType="separate"/>
      </w:r>
      <w:r w:rsidR="004A1963" w:rsidRPr="004A1963">
        <w:rPr>
          <w:rFonts w:ascii="Calibri" w:hAnsi="Calibri"/>
        </w:rPr>
        <w:t>(293)</w:t>
      </w:r>
      <w:r>
        <w:fldChar w:fldCharType="end"/>
      </w:r>
      <w:r>
        <w:t xml:space="preserve">. </w:t>
      </w:r>
    </w:p>
    <w:p w14:paraId="5836E486" w14:textId="77777777" w:rsidR="001D1AB8" w:rsidRDefault="001D1AB8" w:rsidP="006A45E9">
      <w:pPr>
        <w:pStyle w:val="Thesisnormal"/>
        <w:rPr>
          <w:b/>
        </w:rPr>
      </w:pPr>
    </w:p>
    <w:p w14:paraId="4CE9C3B8" w14:textId="73662C4A" w:rsidR="001D1AB8" w:rsidRDefault="001D1AB8" w:rsidP="006A45E9">
      <w:pPr>
        <w:pStyle w:val="Thesisnormal"/>
      </w:pPr>
      <w:r>
        <w:t xml:space="preserve">A recent paper from Neves </w:t>
      </w:r>
      <w:r>
        <w:rPr>
          <w:i/>
        </w:rPr>
        <w:t>et al</w:t>
      </w:r>
      <w:r>
        <w:t xml:space="preserve">, has described a factor that polarises immune cells towards a pro-healing phenotype, promoting tissue repair in both vertebrates and invertebrates. The authors performed RNA-sequence on isolated larval hemocytes to identify Pvr-dependent genes encoding proteins that were induced following UV-mediated epithelial damage </w:t>
      </w:r>
      <w:r>
        <w:fldChar w:fldCharType="begin"/>
      </w:r>
      <w:r w:rsidR="000A209C">
        <w:instrText xml:space="preserve"> ADDIN ZOTERO_ITEM CSL_CITATION {"citationID":"2cda4qksee","properties":{"formattedCitation":"(141)","plainCitation":"(141)","noteIndex":0},"citationItems":[{"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fldChar w:fldCharType="separate"/>
      </w:r>
      <w:r w:rsidR="004A1963" w:rsidRPr="004A1963">
        <w:rPr>
          <w:rFonts w:ascii="Calibri" w:hAnsi="Calibri"/>
        </w:rPr>
        <w:t>(141)</w:t>
      </w:r>
      <w:r>
        <w:fldChar w:fldCharType="end"/>
      </w:r>
      <w:r>
        <w:t>. They identified MANF (</w:t>
      </w:r>
      <w:r w:rsidRPr="00FA354D">
        <w:rPr>
          <w:i/>
        </w:rPr>
        <w:t>Mesencephalic astrocyte-derived neurotrophic factor</w:t>
      </w:r>
      <w:r>
        <w:t xml:space="preserve">) as one such gene. </w:t>
      </w:r>
      <w:r w:rsidRPr="00FA354D">
        <w:rPr>
          <w:i/>
        </w:rPr>
        <w:t>MANF</w:t>
      </w:r>
      <w:r>
        <w:t xml:space="preserve"> mutants had higher tissue degeneration in response to UV-induced damage which could be rescued by overexpression of </w:t>
      </w:r>
      <w:r w:rsidRPr="00FA354D">
        <w:rPr>
          <w:i/>
        </w:rPr>
        <w:t>MANF</w:t>
      </w:r>
      <w:r>
        <w:t xml:space="preserve">. Furthermore, overexpression of </w:t>
      </w:r>
      <w:r w:rsidRPr="00FA354D">
        <w:rPr>
          <w:i/>
        </w:rPr>
        <w:t>MANF</w:t>
      </w:r>
      <w:r>
        <w:t xml:space="preserve"> increased numbers of lamellocytes, as did treatment of cells with human recombinant MANF (hrMANF), indicated by </w:t>
      </w:r>
      <w:r w:rsidRPr="00FE3746">
        <w:rPr>
          <w:i/>
        </w:rPr>
        <w:t>Atilla</w:t>
      </w:r>
      <w:r>
        <w:t xml:space="preserve"> expression. This latter point suggests that </w:t>
      </w:r>
      <w:r>
        <w:rPr>
          <w:i/>
        </w:rPr>
        <w:t>Drosophila</w:t>
      </w:r>
      <w:r>
        <w:t xml:space="preserve"> hemocytes are capable of responding to human recombinant proteins and could be useful for further investigations with this thesis. Importantly, the authors illustrate that in wild-type hemocytes only 50% express Arginase</w:t>
      </w:r>
      <w:r w:rsidRPr="004E763A">
        <w:t>.</w:t>
      </w:r>
      <w:r>
        <w:t xml:space="preserve"> This is of particular relevance to this project as </w:t>
      </w:r>
      <w:r>
        <w:rPr>
          <w:i/>
        </w:rPr>
        <w:t>arg</w:t>
      </w:r>
      <w:r>
        <w:t xml:space="preserve"> is a canonical M2 macrophage marker. Furthermore, </w:t>
      </w:r>
      <w:r w:rsidRPr="00FA354D">
        <w:rPr>
          <w:i/>
        </w:rPr>
        <w:t>MANF</w:t>
      </w:r>
      <w:r>
        <w:t xml:space="preserve"> was shown to significantly increase the number of hemocytes expressing </w:t>
      </w:r>
      <w:r>
        <w:rPr>
          <w:i/>
        </w:rPr>
        <w:t>arg</w:t>
      </w:r>
      <w:r>
        <w:t xml:space="preserve"> and could therefore be used to polarise hemocytes. The authors progressed to demonstrate these findings in vertebrate models but ultimately did not show any hemocytes subsets </w:t>
      </w:r>
      <w:r>
        <w:fldChar w:fldCharType="begin"/>
      </w:r>
      <w:r w:rsidR="000A209C">
        <w:instrText xml:space="preserve"> ADDIN ZOTERO_ITEM CSL_CITATION {"citationID":"yCvopi4W","properties":{"formattedCitation":"(141)","plainCitation":"(141)","noteIndex":0},"citationItems":[{"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fldChar w:fldCharType="separate"/>
      </w:r>
      <w:r w:rsidR="004A1963" w:rsidRPr="004A1963">
        <w:rPr>
          <w:rFonts w:ascii="Calibri" w:hAnsi="Calibri"/>
        </w:rPr>
        <w:t>(141)</w:t>
      </w:r>
      <w:r>
        <w:fldChar w:fldCharType="end"/>
      </w:r>
      <w:r>
        <w:t xml:space="preserve">. </w:t>
      </w:r>
    </w:p>
    <w:p w14:paraId="3F0637EB" w14:textId="77777777" w:rsidR="001D1AB8" w:rsidRDefault="001D1AB8" w:rsidP="006A45E9">
      <w:pPr>
        <w:pStyle w:val="Thesisnormal"/>
        <w:rPr>
          <w:b/>
        </w:rPr>
      </w:pPr>
    </w:p>
    <w:p w14:paraId="6C9C168C" w14:textId="38B86215" w:rsidR="001D1AB8" w:rsidRPr="008E0BDA" w:rsidRDefault="001D1AB8" w:rsidP="006A45E9">
      <w:pPr>
        <w:pStyle w:val="Thesisnormal"/>
      </w:pPr>
      <w:r>
        <w:t>In one study investigating hemocytes within the p</w:t>
      </w:r>
      <w:r w:rsidRPr="008E0BDA">
        <w:t>roventriculus</w:t>
      </w:r>
      <w:r>
        <w:t xml:space="preserve"> (</w:t>
      </w:r>
      <w:r>
        <w:rPr>
          <w:i/>
        </w:rPr>
        <w:t>Drosophila</w:t>
      </w:r>
      <w:r>
        <w:t xml:space="preserve"> gut, PV)</w:t>
      </w:r>
      <w:r w:rsidRPr="008E0BDA">
        <w:t xml:space="preserve"> </w:t>
      </w:r>
      <w:r>
        <w:t xml:space="preserve">it was observed that there was a population of phagocytic hemocytes </w:t>
      </w:r>
      <w:r>
        <w:fldChar w:fldCharType="begin"/>
      </w:r>
      <w:r w:rsidR="000A209C">
        <w:instrText xml:space="preserve"> ADDIN ZOTERO_ITEM CSL_CITATION {"citationID":"WrPRTxhD","properties":{"formattedCitation":"(294)","plainCitation":"(294)","noteIndex":0},"citationItems":[{"id":1235,"uris":["http://zotero.org/users/952979/items/SGTVMKAR"],"uri":["http://zotero.org/users/952979/items/SGTVMKAR"],"itemData":{"id":1235,"type":"article-journal","title":"The Drosophila larva as a tool to study gut-associated macrophages: PI3K regulates a discrete hemocyte population at the proventriculus","container-title":"Developmental and Comparative Immunology","page":"638-647","volume":"36","issue":"4","source":"PubMed","abstract":"Immune cells not only patrol the body in the circulation but also importantly, associate with specific tissues, such as the intestinal epithelium. The complex interactions between immune cells and their target tissues are difficult to study and simple, genetically tractable models are lacking. Here, we present the first thorough characterization of gut-associated macrophages in Drosophila larvae. We analyze their gene expression, morphology, development and lineage and importantly, demonstrate that they are functional (phagocytic) macrophages. We test their regulation by phosphoinositide 3-kinase (PI3K) and show evidence that this pathway regulates the population size of gut hemocytes and their phagocytic activity, reminiscent of recent findings in mammalian colitis models. Our data suggest that PI3K signaling modifies the adhesive properties of hemocytes, a possible mechanism for gut-hemocyte regulation. These results demonstrate the potential of the Drosophila larva as a simple tool to uncover mechanisms regulating recruitment and maintenance of innate immune cells at their target tissues.","DOI":"10.1016/j.dci.2011.10.013","ISSN":"1879-0089","note":"PMID: 22085781","shortTitle":"The Drosophila larva as a tool to study gut-associated macrophages","journalAbbreviation":"Dev. Comp. Immunol.","language":"eng","author":[{"family":"Zaidman-Rémy","given":"Anna"},{"family":"Regan","given":"Jennifer C."},{"family":"Brandão","given":"Ana Sofia"},{"family":"Jacinto","given":"Antonio"}],"issued":{"date-parts":[["2012",4]]}}}],"schema":"https://github.com/citation-style-language/schema/raw/master/csl-citation.json"} </w:instrText>
      </w:r>
      <w:r>
        <w:fldChar w:fldCharType="separate"/>
      </w:r>
      <w:r w:rsidR="004A1963" w:rsidRPr="004A1963">
        <w:rPr>
          <w:rFonts w:ascii="Calibri" w:hAnsi="Calibri"/>
        </w:rPr>
        <w:t>(294)</w:t>
      </w:r>
      <w:r>
        <w:fldChar w:fldCharType="end"/>
      </w:r>
      <w:r>
        <w:t xml:space="preserve">. These cells expressed common hemocyte makers in the same proportions as the general hemocyte population. However, there was a subpopulation of </w:t>
      </w:r>
      <w:r w:rsidRPr="00022D3A">
        <w:rPr>
          <w:i/>
        </w:rPr>
        <w:t>Hemese</w:t>
      </w:r>
      <w:r>
        <w:t xml:space="preserve"> (</w:t>
      </w:r>
      <w:r w:rsidRPr="00022D3A">
        <w:rPr>
          <w:i/>
        </w:rPr>
        <w:t>He</w:t>
      </w:r>
      <w:r>
        <w:t xml:space="preserve">) positive hemocytes. Furthermore, the study found that a small proportion of the hemocytes in the PV expressed fascin </w:t>
      </w:r>
      <w:r>
        <w:fldChar w:fldCharType="begin"/>
      </w:r>
      <w:r w:rsidR="000A209C">
        <w:instrText xml:space="preserve"> ADDIN ZOTERO_ITEM CSL_CITATION {"citationID":"qDZKVw4a","properties":{"formattedCitation":"(294)","plainCitation":"(294)","noteIndex":0},"citationItems":[{"id":1235,"uris":["http://zotero.org/users/952979/items/SGTVMKAR"],"uri":["http://zotero.org/users/952979/items/SGTVMKAR"],"itemData":{"id":1235,"type":"article-journal","title":"The Drosophila larva as a tool to study gut-associated macrophages: PI3K regulates a discrete hemocyte population at the proventriculus","container-title":"Developmental and Comparative Immunology","page":"638-647","volume":"36","issue":"4","source":"PubMed","abstract":"Immune cells not only patrol the body in the circulation but also importantly, associate with specific tissues, such as the intestinal epithelium. The complex interactions between immune cells and their target tissues are difficult to study and simple, genetically tractable models are lacking. Here, we present the first thorough characterization of gut-associated macrophages in Drosophila larvae. We analyze their gene expression, morphology, development and lineage and importantly, demonstrate that they are functional (phagocytic) macrophages. We test their regulation by phosphoinositide 3-kinase (PI3K) and show evidence that this pathway regulates the population size of gut hemocytes and their phagocytic activity, reminiscent of recent findings in mammalian colitis models. Our data suggest that PI3K signaling modifies the adhesive properties of hemocytes, a possible mechanism for gut-hemocyte regulation. These results demonstrate the potential of the Drosophila larva as a simple tool to uncover mechanisms regulating recruitment and maintenance of innate immune cells at their target tissues.","DOI":"10.1016/j.dci.2011.10.013","ISSN":"1879-0089","note":"PMID: 22085781","shortTitle":"The Drosophila larva as a tool to study gut-associated macrophages","journalAbbreviation":"Dev. Comp. Immunol.","language":"eng","author":[{"family":"Zaidman-Rémy","given":"Anna"},{"family":"Regan","given":"Jennifer C."},{"family":"Brandão","given":"Ana Sofia"},{"family":"Jacinto","given":"Antonio"}],"issued":{"date-parts":[["2012",4]]}}}],"schema":"https://github.com/citation-style-language/schema/raw/master/csl-citation.json"} </w:instrText>
      </w:r>
      <w:r>
        <w:fldChar w:fldCharType="separate"/>
      </w:r>
      <w:r w:rsidR="004A1963" w:rsidRPr="004A1963">
        <w:rPr>
          <w:rFonts w:ascii="Calibri" w:hAnsi="Calibri"/>
        </w:rPr>
        <w:t>(294)</w:t>
      </w:r>
      <w:r>
        <w:fldChar w:fldCharType="end"/>
      </w:r>
      <w:r>
        <w:t xml:space="preserve">, an actin-bundling protein required for invasive migration of hemocytes </w:t>
      </w:r>
      <w:r>
        <w:fldChar w:fldCharType="begin"/>
      </w:r>
      <w:r w:rsidR="000A209C">
        <w:instrText xml:space="preserve"> ADDIN ZOTERO_ITEM CSL_CITATION {"citationID":"hp9iP0b9","properties":{"formattedCitation":"(295)","plainCitation":"(295)","noteIndex":0},"citationItems":[{"id":1879,"uris":["http://zotero.org/users/952979/items/NWRM9XPF"],"uri":["http://zotero.org/users/952979/items/NWRM9XPF"],"itemData":{"id":1879,"type":"article-journal","title":"Fascin is required for blood cell migration during Drosophila embryogenesis","container-title":"Development (Cambridge, England)","page":"2557-2565","volume":"136","issue":"15","source":"PubMed","abstract":"Fascin is well characterized in vitro as an actin-bundling protein and its increased expression is correlated with the invasiveness of various cancers. However, the actual roles and regulation of Fascin in vivo remain elusive. Here we show that Fascin is required for the invasive-like migration of blood cells in Drosophila embryos. Fascin expression is highly regulated during embryonic development and, within the blood lineage, is specific to the motile subpopulation of cells, which comprises macrophage-like plasmatocytes. We show that Fascin is required for plasmatocyte migration, both as these cells undergo developmental dispersal and during an inflammatory response to epithelial wounding. Live analyses further demonstrate that Fascin localizes to, and is essential for the assembly of, dynamic actin-rich microspikes within plasmatocyte lamellae that polarize towards the direction of migration. We show that a regulatory serine of Fascin identified from in vitro studies is not required for in vivo cell motility, but is crucial for the formation of actin bundles within epithelial bristles. Together, these results offer a first glimpse into the mechanisms regulating Fascin function during normal development, which might be relevant for understanding the impact of Fascin in cancers.","DOI":"10.1242/dev.036517","ISSN":"0950-1991","note":"PMID: 19592575","journalAbbreviation":"Development","language":"eng","author":[{"family":"Zanet","given":"Jennifer"},{"family":"Stramer","given":"Brian"},{"family":"Millard","given":"Thomas"},{"family":"Martin","given":"Paul"},{"family":"Payre","given":"François"},{"family":"Plaza","given":"Serge"}],"issued":{"date-parts":[["2009",8]]}}}],"schema":"https://github.com/citation-style-language/schema/raw/master/csl-citation.json"} </w:instrText>
      </w:r>
      <w:r>
        <w:fldChar w:fldCharType="separate"/>
      </w:r>
      <w:r w:rsidR="004A1963" w:rsidRPr="004A1963">
        <w:rPr>
          <w:rFonts w:ascii="Calibri" w:hAnsi="Calibri"/>
        </w:rPr>
        <w:t>(295)</w:t>
      </w:r>
      <w:r>
        <w:fldChar w:fldCharType="end"/>
      </w:r>
      <w:r>
        <w:t xml:space="preserve">. This data suggested that these PV hemocytes may represent a tissue resident population that are recruited from embryonic hemocytes during the larval stages. </w:t>
      </w:r>
    </w:p>
    <w:p w14:paraId="3B19F371" w14:textId="77777777" w:rsidR="001D1AB8" w:rsidRDefault="001D1AB8" w:rsidP="006A45E9">
      <w:pPr>
        <w:pStyle w:val="Thesisnormal"/>
        <w:rPr>
          <w:b/>
        </w:rPr>
      </w:pPr>
    </w:p>
    <w:p w14:paraId="6D9D162E" w14:textId="6C9545F6" w:rsidR="001D1AB8" w:rsidRPr="002700C3" w:rsidRDefault="001D1AB8" w:rsidP="006A45E9">
      <w:pPr>
        <w:pStyle w:val="Thesisnormal"/>
      </w:pPr>
      <w:r>
        <w:lastRenderedPageBreak/>
        <w:t>Similarly</w:t>
      </w:r>
      <w:r w:rsidRPr="00464857">
        <w:t xml:space="preserve">, </w:t>
      </w:r>
      <w:r>
        <w:t xml:space="preserve">there have been descriptions of tumour-associated hemocytes, potentially resembling tumour-associated macrophages </w:t>
      </w:r>
      <w:r>
        <w:fldChar w:fldCharType="begin"/>
      </w:r>
      <w:r w:rsidR="000A209C">
        <w:instrText xml:space="preserve"> ADDIN ZOTERO_ITEM CSL_CITATION {"citationID":"uivQfB0i","properties":{"formattedCitation":"(249,296,297)","plainCitation":"(249,296,297)","noteIndex":0},"citationItems":[{"id":1552,"uris":["http://zotero.org/users/952979/items/K3TKDZC6"],"uri":["http://zotero.org/users/952979/items/K3TKDZC6"],"itemData":{"id":1552,"type":"article-journal","title":"Oncogenic Ras Diverts a Host TNF Tumor Suppressor Activity into Tumor Promoter","container-title":"Developmental cell","page":"999-1011","volume":"18","issue":"6","source":"PubMed Central","abstract":"The roles of inflammatory cytokines and the immune response in cancer remain paradoxical. In the case of tumor necrosis factor (TNF), there is undisputed evidence indicating both protumor and antitumor activities. Recent work in Drosophila indicated that a TNF-dependent mechanism eliminates cells deficient for the polarity tumor suppressors dlg or scrib. In this study, however, we show that in tumors deficient for scrib that also expressed the Ras oncoprotein, the TNF signal was diverted into a protumor signal that enhanced tumor growth through larval arrest and stimulated invasive migration. In this case, TNF promoted malignancy and was detrimental to host survival. TNF was expressed at high levels by tumor-associated hemocytes recruited from the circulation. The expression of TNF by hemocytes was both necessary and sufficient to trigger TNF signaling in tumor cells. Our evidence suggests that tumors can evolve into malignancy through oncogenic Ras activation and the hijacking of TNF signaling.","DOI":"10.1016/j.devcel.2010.05.014","ISSN":"1534-5807","note":"PMID: 20627081\nPMCID: PMC3175220","journalAbbreviation":"Dev Cell","author":[{"family":"Cordero","given":"Julia B."},{"family":"Macagno","given":"Juan P."},{"family":"Stefanatos","given":"Rhoda K."},{"family":"Strathdee","given":"Karen E."},{"family":"Cagan","given":"Ross L."},{"family":"Vidal","given":"Marcos"}],"issued":{"date-parts":[["2010",6,15]]}}},{"id":1510,"uris":["http://zotero.org/users/952979/items/KU96XA3C"],"uri":["http://zotero.org/users/952979/items/KU96XA3C"],"itemData":{"id":1510,"type":"article-journal","title":"The beneficial role of extracellular reactive oxygen species in apoptosis-induced compensatory proliferation","container-title":"Fly","page":"46-52","volume":"11","issue":"1","source":"Taylor and Francis+NEJM","abstract":"Apoptosis-induced proliferation (AiP) maintains tissue homeostasis following massive stress-induced cell death. During this phenomenon, dying cells induce proliferation of the surviving cells to compensate for the tissue loss, and thus restore organ size. Along with wound healing and tissue regeneration, AiP also contributes to tumor repopulation following radiation or chemotherapy. There are several models of AiP. Using an “undead” AiP model that causes hyperplastic overgrowth of Drosophila epithelial tissue, we recently demonstrated that extracellular reactive oxygen species (eROS) are produced by undead epithelial cells, and are necessary for inducing AiP and overgrowth. Furthermore, hemocytes, the Drosophila blood cells, are seen adjacent to the undead epithelial tissue, and may secrete the TNF ortholog Eiger that signals through the TNF receptor to active Jun-N-terminal kinase (JNK) in the undead tissue and induce proliferation. We propose that undead epithelial tissue triggers an inflammatory response that resembles recruitment of macrophages to human epithelial tumors, and that these tumor-associated macrophages release signals for proliferation and tumor growth of the epithelium. This Extra View article summarizes these recent findings with a focus on the role of eROS for promoting regeneration and inflammation-induced tumorigenesis.","DOI":"10.1080/19336934.2016.1222997","ISSN":"1933-6934","note":"PMID: 27575697","author":[{"family":"Diwanji","given":"Neha"},{"family":"Bergmann","given":"Andreas"}],"issued":{"date-parts":[["2017",1,2]]}}},{"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(249,296,297)</w:t>
      </w:r>
      <w:r>
        <w:fldChar w:fldCharType="end"/>
      </w:r>
      <w:r>
        <w:t xml:space="preserve">. It was initially observed that tumours (induced by </w:t>
      </w:r>
      <w:r w:rsidRPr="00F8234A">
        <w:rPr>
          <w:i/>
        </w:rPr>
        <w:t>Ras</w:t>
      </w:r>
      <w:r w:rsidRPr="00F8234A">
        <w:rPr>
          <w:i/>
          <w:vertAlign w:val="superscript"/>
        </w:rPr>
        <w:t>V12</w:t>
      </w:r>
      <w:r>
        <w:t>/</w:t>
      </w:r>
      <w:r w:rsidRPr="00F8234A">
        <w:rPr>
          <w:i/>
        </w:rPr>
        <w:t>scrib</w:t>
      </w:r>
      <w:r w:rsidRPr="00F8234A">
        <w:rPr>
          <w:i/>
          <w:vertAlign w:val="superscript"/>
        </w:rPr>
        <w:t>-/-</w:t>
      </w:r>
      <w:r w:rsidRPr="00F8234A">
        <w:t>)</w:t>
      </w:r>
      <w:r>
        <w:t xml:space="preserve"> increase the numbers of circulating hemocytes in larvae </w:t>
      </w:r>
      <w:r>
        <w:fldChar w:fldCharType="begin"/>
      </w:r>
      <w:r w:rsidR="000A209C">
        <w:instrText xml:space="preserve"> ADDIN ZOTERO_ITEM CSL_CITATION {"citationID":"HaIZ1pUp","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t xml:space="preserve">. The authors demonstrated that this increase was induced by the presence of tumours as the lymph gland had not emptied and histone staining confirmed that hemocytes were undergoing mitosis. Reducing hemocyte numbers in </w:t>
      </w:r>
      <w:r>
        <w:rPr>
          <w:i/>
        </w:rPr>
        <w:t>scrib</w:t>
      </w:r>
      <w:r>
        <w:rPr>
          <w:i/>
          <w:vertAlign w:val="superscript"/>
        </w:rPr>
        <w:t>-/-</w:t>
      </w:r>
      <w:r>
        <w:rPr>
          <w:i/>
        </w:rPr>
        <w:t xml:space="preserve"> larvae </w:t>
      </w:r>
      <w:r>
        <w:t xml:space="preserve">resulted in larger tumours, demonstrating that hemocytes are actively suppressing tumour growth </w:t>
      </w:r>
      <w:r>
        <w:fldChar w:fldCharType="begin"/>
      </w:r>
      <w:r w:rsidR="000A209C">
        <w:instrText xml:space="preserve"> ADDIN ZOTERO_ITEM CSL_CITATION {"citationID":"2FhTcH7b","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t xml:space="preserve">. Using the same genetic background, a different group demonstrated that tumour invasion into surrounding tissues is the result of </w:t>
      </w:r>
      <w:r w:rsidRPr="00C72384">
        <w:rPr>
          <w:i/>
        </w:rPr>
        <w:t>Eiger</w:t>
      </w:r>
      <w:r>
        <w:t xml:space="preserve"> (TNF) produced by tumour associated hemocytes </w:t>
      </w:r>
      <w:r>
        <w:fldChar w:fldCharType="begin"/>
      </w:r>
      <w:r w:rsidR="000A209C">
        <w:instrText xml:space="preserve"> ADDIN ZOTERO_ITEM CSL_CITATION {"citationID":"BFbahzsZ","properties":{"formattedCitation":"(296)","plainCitation":"(296)","noteIndex":0},"citationItems":[{"id":1552,"uris":["http://zotero.org/users/952979/items/K3TKDZC6"],"uri":["http://zotero.org/users/952979/items/K3TKDZC6"],"itemData":{"id":1552,"type":"article-journal","title":"Oncogenic Ras Diverts a Host TNF Tumor Suppressor Activity into Tumor Promoter","container-title":"Developmental cell","page":"999-1011","volume":"18","issue":"6","source":"PubMed Central","abstract":"The roles of inflammatory cytokines and the immune response in cancer remain paradoxical. In the case of tumor necrosis factor (TNF), there is undisputed evidence indicating both protumor and antitumor activities. Recent work in Drosophila indicated that a TNF-dependent mechanism eliminates cells deficient for the polarity tumor suppressors dlg or scrib. In this study, however, we show that in tumors deficient for scrib that also expressed the Ras oncoprotein, the TNF signal was diverted into a protumor signal that enhanced tumor growth through larval arrest and stimulated invasive migration. In this case, TNF promoted malignancy and was detrimental to host survival. TNF was expressed at high levels by tumor-associated hemocytes recruited from the circulation. The expression of TNF by hemocytes was both necessary and sufficient to trigger TNF signaling in tumor cells. Our evidence suggests that tumors can evolve into malignancy through oncogenic Ras activation and the hijacking of TNF signaling.","DOI":"10.1016/j.devcel.2010.05.014","ISSN":"1534-5807","note":"PMID: 20627081\nPMCID: PMC3175220","journalAbbreviation":"Dev Cell","author":[{"family":"Cordero","given":"Julia B."},{"family":"Macagno","given":"Juan P."},{"family":"Stefanatos","given":"Rhoda K."},{"family":"Strathdee","given":"Karen E."},{"family":"Cagan","given":"Ross L."},{"family":"Vidal","given":"Marcos"}],"issued":{"date-parts":[["2010",6,15]]}}}],"schema":"https://github.com/citation-style-language/schema/raw/master/csl-citation.json"} </w:instrText>
      </w:r>
      <w:r>
        <w:fldChar w:fldCharType="separate"/>
      </w:r>
      <w:r w:rsidR="004A1963" w:rsidRPr="004A1963">
        <w:rPr>
          <w:rFonts w:ascii="Calibri" w:hAnsi="Calibri"/>
        </w:rPr>
        <w:t>(296)</w:t>
      </w:r>
      <w:r>
        <w:fldChar w:fldCharType="end"/>
      </w:r>
      <w:r>
        <w:t xml:space="preserve">. In further support that hemocytes actively control tumour growth, Cordero </w:t>
      </w:r>
      <w:r w:rsidRPr="002700C3">
        <w:rPr>
          <w:i/>
        </w:rPr>
        <w:t>et al</w:t>
      </w:r>
      <w:r>
        <w:t xml:space="preserve"> observed engulfed tumour cell fragments within the tumour-associated hemocytes, demonstrating that these hemocytes are sampling the tumour. Recently a group using an ‘undead’ model of apoptosis induced proliferation (AiP), in which the apoptotic cascade is initiated but caspases are inhibited, revealed that hemocytes adhere to such tissue and promote proliferation </w:t>
      </w:r>
      <w:r>
        <w:fldChar w:fldCharType="begin"/>
      </w:r>
      <w:r w:rsidR="000A209C">
        <w:instrText xml:space="preserve"> ADDIN ZOTERO_ITEM CSL_CITATION {"citationID":"Zq7UC0pn","properties":{"formattedCitation":"(297,298)","plainCitation":"(297,298)","noteIndex":0},"citationItems":[{"id":1510,"uris":["http://zotero.org/users/952979/items/KU96XA3C"],"uri":["http://zotero.org/users/952979/items/KU96XA3C"],"itemData":{"id":1510,"type":"article-journal","title":"The beneficial role of extracellular reactive oxygen species in apoptosis-induced compensatory proliferation","container-title":"Fly","page":"46-52","volume":"11","issue":"1","source":"Taylor and Francis+NEJM","abstract":"Apoptosis-induced proliferation (AiP) maintains tissue homeostasis following massive stress-induced cell death. During this phenomenon, dying cells induce proliferation of the surviving cells to compensate for the tissue loss, and thus restore organ size. Along with wound healing and tissue regeneration, AiP also contributes to tumor repopulation following radiation or chemotherapy. There are several models of AiP. Using an “undead” AiP model that causes hyperplastic overgrowth of Drosophila epithelial tissue, we recently demonstrated that extracellular reactive oxygen species (eROS) are produced by undead epithelial cells, and are necessary for inducing AiP and overgrowth. Furthermore, hemocytes, the Drosophila blood cells, are seen adjacent to the undead epithelial tissue, and may secrete the TNF ortholog Eiger that signals through the TNF receptor to active Jun-N-terminal kinase (JNK) in the undead tissue and induce proliferation. We propose that undead epithelial tissue triggers an inflammatory response that resembles recruitment of macrophages to human epithelial tumors, and that these tumor-associated macrophages release signals for proliferation and tumor growth of the epithelium. This Extra View article summarizes these recent findings with a focus on the role of eROS for promoting regeneration and inflammation-induced tumorigenesis.","DOI":"10.1080/19336934.2016.1222997","ISSN":"1933-6934","note":"PMID: 27575697","author":[{"family":"Diwanji","given":"Neha"},{"family":"Bergmann","given":"Andreas"}],"issued":{"date-parts":[["2017",1,2]]}}},{"id":1251,"uris":["http://zotero.org/users/952979/items/MWNS7EZ4"],"uri":["http://zotero.org/users/952979/items/MWNS7EZ4"],"itemData":{"id":1251,"type":"article-journal","title":"Extracellular Reactive Oxygen Species Drive Apoptosis-Induced Proliferation via Drosophila Macrophages","container-title":"Current biology: CB","page":"575-584","volume":"26","issue":"5","source":"PubMed","abstract":"Apoptosis-induced proliferation (AiP) is a compensatory mechanism to maintain tissue size and morphology following unexpected cell loss during normal development, and may also be a contributing factor to cancer and drug resistance. In apoptotic cells, caspase-initiated signaling cascades lead to the downstream production of mitogenic factors and the proliferation of neighboring surviving cells. In epithelial cells of Drosophila imaginal discs, the Caspase-9 ortholog Dronc drives AiP via activation of Jun N-terminal kinase (JNK); however, the specific mechanisms of JNK activation remain unknown. Here we show that caspase-induced activation of JNK during AiP depends on an inflammatory response. This is mediated by extracellular reactive oxygen species (ROSs) generated by the NADPH oxidase Duox in epithelial disc cells. Extracellular ROSs activate Drosophila macrophages (hemocytes), which in turn trigger JNK activity in epithelial cells by signaling through the tumor necrosis factor (TNF) ortholog Eiger. We propose that in an immortalized (\"undead\") model of AiP, signaling back and forth between epithelial disc cells and hemocytes by extracellular ROSs and TNF/Eiger drives overgrowth of the disc epithelium. These data illustrate a bidirectional cell-cell communication pathway with implication for tissue repair, regeneration, and cancer.","DOI":"10.1016/j.cub.2015.12.064","ISSN":"1879-0445","note":"PMID: 26898463\nPMCID: PMC4765900","journalAbbreviation":"Curr. Biol.","language":"eng","author":[{"family":"Fogarty","given":"Caitlin E."},{"family":"Diwanji","given":"Neha"},{"family":"Lindblad","given":"Jillian L."},{"family":"Tare","given":"Meghana"},{"family":"Amcheslavsky","given":"Alla"},{"family":"Makhijani","given":"Kalpana"},{"family":"Brückner","given":"Katja"},{"family":"Fan","given":"Yun"},{"family":"Bergmann","given":"Andreas"}],"issued":{"date-parts":[["2016",3,7]]}}}],"schema":"https://github.com/citation-style-language/schema/raw/master/csl-citation.json"} </w:instrText>
      </w:r>
      <w:r>
        <w:fldChar w:fldCharType="separate"/>
      </w:r>
      <w:r w:rsidR="004A1963" w:rsidRPr="004A1963">
        <w:rPr>
          <w:rFonts w:ascii="Calibri" w:hAnsi="Calibri"/>
        </w:rPr>
        <w:t>(297,298)</w:t>
      </w:r>
      <w:r>
        <w:fldChar w:fldCharType="end"/>
      </w:r>
      <w:r>
        <w:t xml:space="preserve">. These hemocytes communicate with the undead tissue via extracellular ROS (eROS) and </w:t>
      </w:r>
      <w:r w:rsidRPr="007F41A6">
        <w:t>Eiger</w:t>
      </w:r>
      <w:r>
        <w:t xml:space="preserve">. The authors suggested that these hemocytes are behaving in a similar manner to M2 macrophages </w:t>
      </w:r>
      <w:r>
        <w:fldChar w:fldCharType="begin"/>
      </w:r>
      <w:r w:rsidR="000A209C">
        <w:instrText xml:space="preserve"> ADDIN ZOTERO_ITEM CSL_CITATION {"citationID":"547PC8SX","properties":{"formattedCitation":"(297,298)","plainCitation":"(297,298)","noteIndex":0},"citationItems":[{"id":1510,"uris":["http://zotero.org/users/952979/items/KU96XA3C"],"uri":["http://zotero.org/users/952979/items/KU96XA3C"],"itemData":{"id":1510,"type":"article-journal","title":"The beneficial role of extracellular reactive oxygen species in apoptosis-induced compensatory proliferation","container-title":"Fly","page":"46-52","volume":"11","issue":"1","source":"Taylor and Francis+NEJM","abstract":"Apoptosis-induced proliferation (AiP) maintains tissue homeostasis following massive stress-induced cell death. During this phenomenon, dying cells induce proliferation of the surviving cells to compensate for the tissue loss, and thus restore organ size. Along with wound healing and tissue regeneration, AiP also contributes to tumor repopulation following radiation or chemotherapy. There are several models of AiP. Using an “undead” AiP model that causes hyperplastic overgrowth of Drosophila epithelial tissue, we recently demonstrated that extracellular reactive oxygen species (eROS) are produced by undead epithelial cells, and are necessary for inducing AiP and overgrowth. Furthermore, hemocytes, the Drosophila blood cells, are seen adjacent to the undead epithelial tissue, and may secrete the TNF ortholog Eiger that signals through the TNF receptor to active Jun-N-terminal kinase (JNK) in the undead tissue and induce proliferation. We propose that undead epithelial tissue triggers an inflammatory response that resembles recruitment of macrophages to human epithelial tumors, and that these tumor-associated macrophages release signals for proliferation and tumor growth of the epithelium. This Extra View article summarizes these recent findings with a focus on the role of eROS for promoting regeneration and inflammation-induced tumorigenesis.","DOI":"10.1080/19336934.2016.1222997","ISSN":"1933-6934","note":"PMID: 27575697","author":[{"family":"Diwanji","given":"Neha"},{"family":"Bergmann","given":"Andreas"}],"issued":{"date-parts":[["2017",1,2]]}}},{"id":1251,"uris":["http://zotero.org/users/952979/items/MWNS7EZ4"],"uri":["http://zotero.org/users/952979/items/MWNS7EZ4"],"itemData":{"id":1251,"type":"article-journal","title":"Extracellular Reactive Oxygen Species Drive Apoptosis-Induced Proliferation via Drosophila Macrophages","container-title":"Current biology: CB","page":"575-584","volume":"26","issue":"5","source":"PubMed","abstract":"Apoptosis-induced proliferation (AiP) is a compensatory mechanism to maintain tissue size and morphology following unexpected cell loss during normal development, and may also be a contributing factor to cancer and drug resistance. In apoptotic cells, caspase-initiated signaling cascades lead to the downstream production of mitogenic factors and the proliferation of neighboring surviving cells. In epithelial cells of Drosophila imaginal discs, the Caspase-9 ortholog Dronc drives AiP via activation of Jun N-terminal kinase (JNK); however, the specific mechanisms of JNK activation remain unknown. Here we show that caspase-induced activation of JNK during AiP depends on an inflammatory response. This is mediated by extracellular reactive oxygen species (ROSs) generated by the NADPH oxidase Duox in epithelial disc cells. Extracellular ROSs activate Drosophila macrophages (hemocytes), which in turn trigger JNK activity in epithelial cells by signaling through the tumor necrosis factor (TNF) ortholog Eiger. We propose that in an immortalized (\"undead\") model of AiP, signaling back and forth between epithelial disc cells and hemocytes by extracellular ROSs and TNF/Eiger drives overgrowth of the disc epithelium. These data illustrate a bidirectional cell-cell communication pathway with implication for tissue repair, regeneration, and cancer.","DOI":"10.1016/j.cub.2015.12.064","ISSN":"1879-0445","note":"PMID: 26898463\nPMCID: PMC4765900","journalAbbreviation":"Curr. Biol.","language":"eng","author":[{"family":"Fogarty","given":"Caitlin E."},{"family":"Diwanji","given":"Neha"},{"family":"Lindblad","given":"Jillian L."},{"family":"Tare","given":"Meghana"},{"family":"Amcheslavsky","given":"Alla"},{"family":"Makhijani","given":"Kalpana"},{"family":"Brückner","given":"Katja"},{"family":"Fan","given":"Yun"},{"family":"Bergmann","given":"Andreas"}],"issued":{"date-parts":[["2016",3,7]]}}}],"schema":"https://github.com/citation-style-language/schema/raw/master/csl-citation.json"} </w:instrText>
      </w:r>
      <w:r>
        <w:fldChar w:fldCharType="separate"/>
      </w:r>
      <w:r w:rsidR="004A1963" w:rsidRPr="004A1963">
        <w:rPr>
          <w:rFonts w:ascii="Calibri" w:hAnsi="Calibri"/>
        </w:rPr>
        <w:t>(297,298)</w:t>
      </w:r>
      <w:r>
        <w:fldChar w:fldCharType="end"/>
      </w:r>
      <w:r>
        <w:t xml:space="preserve">.  </w:t>
      </w:r>
    </w:p>
    <w:p w14:paraId="3E68E4A3" w14:textId="77777777" w:rsidR="001D1AB8" w:rsidRPr="00464857" w:rsidRDefault="001D1AB8" w:rsidP="006A45E9">
      <w:pPr>
        <w:pStyle w:val="Thesisnormal"/>
      </w:pPr>
    </w:p>
    <w:p w14:paraId="591819DB" w14:textId="77777777" w:rsidR="001D1AB8" w:rsidRDefault="001D1AB8" w:rsidP="006A45E9">
      <w:pPr>
        <w:pStyle w:val="Thesisnormal"/>
      </w:pPr>
      <w:r w:rsidRPr="008C0D59">
        <w:t xml:space="preserve">Together, this data </w:t>
      </w:r>
      <w:r>
        <w:t xml:space="preserve">provides evidence to suggest that hemocytes exist as a heterogeneous population, but this remains to be actively and directly studied. </w:t>
      </w:r>
    </w:p>
    <w:p w14:paraId="0CA4BBD5" w14:textId="77777777" w:rsidR="001D1AB8" w:rsidRDefault="001D1AB8" w:rsidP="001D1AB8">
      <w:pPr>
        <w:spacing w:line="360" w:lineRule="auto"/>
        <w:jc w:val="both"/>
        <w:rPr>
          <w:b/>
        </w:rPr>
      </w:pPr>
    </w:p>
    <w:p w14:paraId="26C6829E" w14:textId="77777777" w:rsidR="001D1AB8" w:rsidRDefault="001D1AB8" w:rsidP="001D1AB8">
      <w:pPr>
        <w:pStyle w:val="Heading2"/>
      </w:pPr>
      <w:bookmarkStart w:id="61" w:name="_Toc502936297"/>
      <w:bookmarkStart w:id="62" w:name="_Toc4589273"/>
      <w:r>
        <w:t>1.8 Hypothesis and aims</w:t>
      </w:r>
      <w:bookmarkEnd w:id="61"/>
      <w:bookmarkEnd w:id="62"/>
    </w:p>
    <w:p w14:paraId="288DAFA2" w14:textId="77777777" w:rsidR="001D1AB8" w:rsidRDefault="001D1AB8" w:rsidP="006A45E9">
      <w:pPr>
        <w:pStyle w:val="Thesisnormal"/>
      </w:pPr>
    </w:p>
    <w:p w14:paraId="5E979139" w14:textId="77777777" w:rsidR="001D1AB8" w:rsidRDefault="001D1AB8" w:rsidP="006A45E9">
      <w:pPr>
        <w:pStyle w:val="Thesisnormal"/>
      </w:pPr>
      <w:r>
        <w:t xml:space="preserve">As discussed, macrophage heterogeneity in mammals is a highly complex field of study with conflicting evidence based on the model used to study different aspects of macrophage biology. Thus, there is a requirement for a simpler model organism that could provide insight into novel mechanisms controlling these processes and increase our understanding of these functions </w:t>
      </w:r>
      <w:r>
        <w:rPr>
          <w:i/>
        </w:rPr>
        <w:t>in vivo</w:t>
      </w:r>
      <w:r>
        <w:t xml:space="preserve">. </w:t>
      </w:r>
    </w:p>
    <w:p w14:paraId="77AB1A76" w14:textId="77777777" w:rsidR="001D1AB8" w:rsidRDefault="001D1AB8" w:rsidP="006A45E9">
      <w:pPr>
        <w:pStyle w:val="Thesisnormal"/>
      </w:pPr>
    </w:p>
    <w:p w14:paraId="7A230A23" w14:textId="5C42AA89" w:rsidR="001D1AB8" w:rsidRDefault="001D1AB8" w:rsidP="006A45E9">
      <w:pPr>
        <w:pStyle w:val="Thesisnormal"/>
      </w:pPr>
      <w:r>
        <w:t xml:space="preserve">The general consensus is that the division of macrophage function into M1 and M2 phenotypes first occurred in </w:t>
      </w:r>
      <w:r w:rsidR="000E45F9">
        <w:t xml:space="preserve">teleost </w:t>
      </w:r>
      <w:r>
        <w:t xml:space="preserve">fish </w:t>
      </w:r>
      <w:r>
        <w:fldChar w:fldCharType="begin"/>
      </w:r>
      <w:r w:rsidR="000A209C">
        <w:instrText xml:space="preserve"> ADDIN ZOTERO_ITEM CSL_CITATION {"citationID":"E7KGfvg6","properties":{"formattedCitation":"(148)","plainCitation":"(148)","noteIndex":0},"citationItems":[{"id":1876,"uris":["http://zotero.org/users/952979/items/E68TYFMH"],"uri":["http://zotero.org/users/952979/items/E68TYFMH"],"itemData":{"id":1876,"type":"article-journal","title":"Evolution of Innate Immunity: Clues from Invertebrates via Fish to Mammals","container-title":"Frontiers in Immunology","page":"459","volume":"5","source":"PubMed","abstract":"Host responses against invading pathogens are basic physiological reactions of all living organisms. Since the appearance of the first eukaryotic cells, a series of defense mechanisms have evolved in order to secure cellular integrity, homeostasis, and survival of the host. Invertebrates, ranging from protozoans to metazoans, possess cellular receptors, which bind to foreign elements and differentiate self from non-self. This ability is in multicellular animals associated with presence of phagocytes, bearing different names (amebocytes, hemocytes, coelomocytes) in various groups including animal sponges, worms, cnidarians, mollusks, crustaceans, chelicerates, insects, and echinoderms (sea stars and urchins). Basically, these cells have a macrophage-like appearance and function and the repair and/or fight functions associated with these cells are prominent even at the earliest evolutionary stage. The cells possess pathogen recognition receptors recognizing pathogen-associated molecular patterns, which are well-conserved molecular structures expressed by various pathogens (virus, bacteria, fungi, protozoans, helminths). Scavenger receptors, Toll-like receptors, and Nod-like receptors (NLRs) are prominent representatives within this group of host receptors. Following receptor-ligand binding, signal transduction initiates a complex cascade of cellular reactions, which lead to production of one or more of a wide array of effector molecules. Cytokines take part in this orchestration of responses even in lower invertebrates, which eventually may result in elimination or inactivation of the intruder. Important innate effector molecules are oxygen and nitrogen species, antimicrobial peptides, lectins, fibrinogen-related peptides, leucine rich repeats (LRRs), pentraxins, and complement-related proteins. Echinoderms represent the most developed invertebrates and the bridge leading to the primitive chordates, cephalochordates, and urochordates, in which many autologous genes and functions from their ancestors can be found. They exhibit numerous variants of innate recognition and effector molecules, which allow fast and innate responses toward diverse pathogens despite lack of adaptive responses. The primitive vertebrates (agnathans also termed jawless fish) were the first to supplement innate responses with adaptive elements. Thus hagfish and lampreys use LRRs as variable lymphocyte receptors, whereas higher vertebrates [cartilaginous and bony fishes (jawed fish), amphibians, reptiles, birds, and mammals] developed the major histocompatibility complex, T-cell receptors, and B-cell receptors (immunoglobulins) as additional adaptive weaponry to assist innate responses. Extensive cytokine networks are recognized in fish, but related signal molecules can be traced among invertebrates. The high specificity, antibody maturation, immunological memory, and secondary responses of adaptive immunity were so successful that it allowed higher vertebrates to reduce the number of variants of the innate molecules originating from both invertebrates and lower vertebrates. Nonetheless, vertebrates combine the two arms in an intricate inter-dependent network. Organisms at all developmental stages have, in order to survive, applied available genes and functions of which some may have been lost or may have changed function through evolution. The molecular mechanisms involved in evolution of immune molecules, might apart from simple base substitutions be as diverse as gene duplication, deletions, alternative splicing, gene recombination, domain shuffling, retrotransposition, and gene conversion. Further, variable regulation of gene expression may have played a role.","DOI":"10.3389/fimmu.2014.00459","ISSN":"1664-3224","note":"PMID: 25295041\nPMCID: PMC4172062","shortTitle":"Evolution of Innate Immunity","journalAbbreviation":"Front Immunol","language":"eng","author":[{"family":"Buchmann","given":"Kurt"}],"issued":{"date-parts":[["2014"]]}}}],"schema":"https://github.com/citation-style-language/schema/raw/master/csl-citation.json"} </w:instrText>
      </w:r>
      <w:r>
        <w:fldChar w:fldCharType="separate"/>
      </w:r>
      <w:r w:rsidR="004A1963" w:rsidRPr="004A1963">
        <w:rPr>
          <w:rFonts w:ascii="Calibri" w:hAnsi="Calibri"/>
        </w:rPr>
        <w:t>(148)</w:t>
      </w:r>
      <w:r>
        <w:fldChar w:fldCharType="end"/>
      </w:r>
      <w:r>
        <w:t xml:space="preserve">. However, there are tantalising suggestions from the literature that </w:t>
      </w:r>
      <w:r>
        <w:rPr>
          <w:i/>
        </w:rPr>
        <w:t>Drosophila</w:t>
      </w:r>
      <w:r>
        <w:t xml:space="preserve"> hemocytes exist as distinct sub-populations. However, </w:t>
      </w:r>
      <w:r>
        <w:lastRenderedPageBreak/>
        <w:t xml:space="preserve">little work directly investigates this in flies, therefore the existence and degree of </w:t>
      </w:r>
      <w:bookmarkStart w:id="63" w:name="_Hlk5038619"/>
      <w:r>
        <w:t xml:space="preserve">heterogeneity within </w:t>
      </w:r>
      <w:r>
        <w:rPr>
          <w:i/>
        </w:rPr>
        <w:t>Drosophila</w:t>
      </w:r>
      <w:r>
        <w:t xml:space="preserve"> blood cells remains unresolved. This project therefore aims to </w:t>
      </w:r>
      <w:r w:rsidR="003D2D62">
        <w:t xml:space="preserve">primarily </w:t>
      </w:r>
      <w:r>
        <w:t>address the following questions:</w:t>
      </w:r>
    </w:p>
    <w:p w14:paraId="2D48E8DC" w14:textId="77777777" w:rsidR="001D1AB8" w:rsidRDefault="001D1AB8" w:rsidP="006A45E9">
      <w:pPr>
        <w:pStyle w:val="Thesisnormal"/>
      </w:pPr>
    </w:p>
    <w:p w14:paraId="611A1B68" w14:textId="63E4D692" w:rsidR="001D1AB8" w:rsidRDefault="001D1AB8" w:rsidP="009E54C5">
      <w:pPr>
        <w:pStyle w:val="Thesisnormal"/>
        <w:numPr>
          <w:ilvl w:val="0"/>
          <w:numId w:val="32"/>
        </w:numPr>
      </w:pPr>
      <w:r>
        <w:t xml:space="preserve">Do </w:t>
      </w:r>
      <w:r>
        <w:rPr>
          <w:i/>
        </w:rPr>
        <w:t xml:space="preserve">Drosophila </w:t>
      </w:r>
      <w:r>
        <w:t>hemocytes exist as distinct subpopulations?</w:t>
      </w:r>
    </w:p>
    <w:p w14:paraId="5D0885EA" w14:textId="7CB00044" w:rsidR="003E3091" w:rsidRDefault="003E3091" w:rsidP="003E3091">
      <w:pPr>
        <w:pStyle w:val="Thesisnormal"/>
        <w:numPr>
          <w:ilvl w:val="1"/>
          <w:numId w:val="32"/>
        </w:numPr>
      </w:pPr>
      <w:r>
        <w:t>Develop novel tools to visualise populations</w:t>
      </w:r>
    </w:p>
    <w:p w14:paraId="7F91723D" w14:textId="09D882C1" w:rsidR="003E3091" w:rsidRDefault="001D1AB8" w:rsidP="009E54C5">
      <w:pPr>
        <w:pStyle w:val="Thesisnormal"/>
        <w:numPr>
          <w:ilvl w:val="0"/>
          <w:numId w:val="32"/>
        </w:numPr>
      </w:pPr>
      <w:r>
        <w:t>Are these subpopulations functionally distinct?</w:t>
      </w:r>
      <w:r w:rsidR="003D2D62">
        <w:t xml:space="preserve"> </w:t>
      </w:r>
    </w:p>
    <w:p w14:paraId="521CCB80" w14:textId="0041EF2E" w:rsidR="003E3091" w:rsidRDefault="003E3091" w:rsidP="003E3091">
      <w:pPr>
        <w:pStyle w:val="Thesisnormal"/>
        <w:numPr>
          <w:ilvl w:val="1"/>
          <w:numId w:val="32"/>
        </w:numPr>
      </w:pPr>
      <w:r>
        <w:t>Investigate behaviours of subpopulations</w:t>
      </w:r>
    </w:p>
    <w:p w14:paraId="7C817453" w14:textId="57AEFEA0" w:rsidR="003E3091" w:rsidRDefault="003E3091" w:rsidP="003E3091">
      <w:pPr>
        <w:pStyle w:val="Thesisnormal"/>
        <w:numPr>
          <w:ilvl w:val="0"/>
          <w:numId w:val="32"/>
        </w:numPr>
      </w:pPr>
      <w:r>
        <w:t xml:space="preserve">Do </w:t>
      </w:r>
      <w:r>
        <w:rPr>
          <w:i/>
        </w:rPr>
        <w:t>Drosophila</w:t>
      </w:r>
      <w:r>
        <w:t xml:space="preserve"> hemocytes behave in a pro- and anti-inflammatory manner, akin to mammalian macrophages?</w:t>
      </w:r>
    </w:p>
    <w:p w14:paraId="05A4DD0E" w14:textId="6C12BEA5" w:rsidR="003E3091" w:rsidRDefault="003E3091" w:rsidP="003E3091">
      <w:pPr>
        <w:pStyle w:val="Thesisnormal"/>
        <w:numPr>
          <w:ilvl w:val="1"/>
          <w:numId w:val="32"/>
        </w:numPr>
      </w:pPr>
      <w:r>
        <w:t>Investigate the whole hemocyte population responses to manipulation of known mammalian pathways</w:t>
      </w:r>
    </w:p>
    <w:p w14:paraId="33AAA652" w14:textId="1134075A" w:rsidR="003E3091" w:rsidRDefault="003E3091" w:rsidP="003E3091">
      <w:pPr>
        <w:pStyle w:val="Thesisnormal"/>
        <w:numPr>
          <w:ilvl w:val="1"/>
          <w:numId w:val="32"/>
        </w:numPr>
      </w:pPr>
      <w:r>
        <w:t>Investigate known mammalian signalling pathways in relation to identified subpopulations</w:t>
      </w:r>
    </w:p>
    <w:p w14:paraId="59E1D793" w14:textId="09CD6D12" w:rsidR="001D1AB8" w:rsidRDefault="001D1AB8" w:rsidP="009E54C5">
      <w:pPr>
        <w:pStyle w:val="Thesisnormal"/>
        <w:numPr>
          <w:ilvl w:val="0"/>
          <w:numId w:val="32"/>
        </w:numPr>
      </w:pPr>
      <w:r>
        <w:t xml:space="preserve">How are these subpopulations controlled? </w:t>
      </w:r>
    </w:p>
    <w:p w14:paraId="28DE0370" w14:textId="52540A50" w:rsidR="000E7DCE" w:rsidRPr="00D42831" w:rsidRDefault="000E7DCE" w:rsidP="000E7DCE">
      <w:pPr>
        <w:pStyle w:val="Thesisnormal"/>
        <w:numPr>
          <w:ilvl w:val="1"/>
          <w:numId w:val="32"/>
        </w:numPr>
      </w:pPr>
      <w:bookmarkStart w:id="64" w:name="_Hlk5038763"/>
      <w:r>
        <w:t>Investigate genes potentially under the control of the enhancers</w:t>
      </w:r>
    </w:p>
    <w:bookmarkEnd w:id="64"/>
    <w:p w14:paraId="4817F8DF" w14:textId="77777777" w:rsidR="001D1AB8" w:rsidRDefault="001D1AB8" w:rsidP="006A45E9">
      <w:pPr>
        <w:pStyle w:val="Thesisnormal"/>
      </w:pPr>
    </w:p>
    <w:p w14:paraId="5AB34E03" w14:textId="3AAB0894" w:rsidR="001D1AB8" w:rsidRDefault="001D1AB8" w:rsidP="006A45E9">
      <w:pPr>
        <w:pStyle w:val="Thesisnormal"/>
      </w:pPr>
      <w:r>
        <w:t xml:space="preserve">To answer these questions, we have developed tools to visualise and label subpopulations of hemocytes. Using these tools, we investigated the function of identified </w:t>
      </w:r>
      <w:r w:rsidR="003D2D62">
        <w:t xml:space="preserve">functionally distinct </w:t>
      </w:r>
      <w:r>
        <w:t>subpopulations through assays such as wounding and immune challenge.</w:t>
      </w:r>
      <w:r w:rsidR="003E3091">
        <w:t xml:space="preserve"> We further developed novel transgenic fly lines to facilitate future work, principally in relation to aim </w:t>
      </w:r>
      <w:r w:rsidR="000E7DCE">
        <w:t>3b</w:t>
      </w:r>
      <w:r w:rsidR="003E3091">
        <w:t>. Moreover</w:t>
      </w:r>
      <w:r>
        <w:t>, we investigated mechanisms that could control these populations</w:t>
      </w:r>
      <w:r w:rsidR="003D2D62">
        <w:t xml:space="preserve"> by manipulating pathways known to be involved in mammalian macrophage polarisation</w:t>
      </w:r>
      <w:r>
        <w:t xml:space="preserve">. </w:t>
      </w:r>
      <w:r w:rsidR="003D2D62">
        <w:t xml:space="preserve">This </w:t>
      </w:r>
      <w:r w:rsidR="003E3091">
        <w:t>work</w:t>
      </w:r>
      <w:r w:rsidR="003D2D62">
        <w:t xml:space="preserve"> resulted in</w:t>
      </w:r>
      <w:r w:rsidR="003E3091">
        <w:t xml:space="preserve"> a</w:t>
      </w:r>
      <w:r w:rsidR="003D2D62">
        <w:t xml:space="preserve"> further aim of investigating the role of glucose metabolism on hemocyte behaviour. </w:t>
      </w:r>
      <w:r w:rsidR="003E3091">
        <w:t xml:space="preserve">As an additional investigation, we focussed on JAK/STAT signalling (a key signalling pathway in mammalian macrophage function) within embryonic hemocytes. </w:t>
      </w:r>
    </w:p>
    <w:bookmarkEnd w:id="63"/>
    <w:p w14:paraId="2BC4C27A" w14:textId="77777777" w:rsidR="001D1AB8" w:rsidRDefault="001D1AB8" w:rsidP="006A45E9">
      <w:pPr>
        <w:pStyle w:val="Thesisnormal"/>
      </w:pPr>
    </w:p>
    <w:p w14:paraId="36657FB0" w14:textId="77777777" w:rsidR="001D1AB8" w:rsidRPr="00E2681D" w:rsidRDefault="001D1AB8" w:rsidP="006A45E9">
      <w:pPr>
        <w:pStyle w:val="Thesisnormal"/>
      </w:pPr>
      <w:r>
        <w:t xml:space="preserve">My hypothesis is that macrophage heterogeneity is a key feature of organisms with an in innate immune system and that this exists in </w:t>
      </w:r>
      <w:r w:rsidRPr="00E2681D">
        <w:rPr>
          <w:i/>
        </w:rPr>
        <w:t xml:space="preserve">Drosophila </w:t>
      </w:r>
      <w:r>
        <w:rPr>
          <w:i/>
        </w:rPr>
        <w:t>m</w:t>
      </w:r>
      <w:r w:rsidRPr="00E2681D">
        <w:rPr>
          <w:i/>
        </w:rPr>
        <w:t>elanogaster</w:t>
      </w:r>
      <w:r>
        <w:rPr>
          <w:i/>
        </w:rPr>
        <w:t>.</w:t>
      </w:r>
      <w:r>
        <w:t xml:space="preserve"> Ultimately, this project aims to establish </w:t>
      </w:r>
      <w:r w:rsidRPr="005F4F4A">
        <w:rPr>
          <w:i/>
        </w:rPr>
        <w:t>Drosophila</w:t>
      </w:r>
      <w:r>
        <w:t xml:space="preserve"> as a model organism for studying macrophage heterogeneity </w:t>
      </w:r>
      <w:r>
        <w:rPr>
          <w:i/>
        </w:rPr>
        <w:t>in vivo</w:t>
      </w:r>
      <w:r>
        <w:t xml:space="preserve">. </w:t>
      </w:r>
    </w:p>
    <w:p w14:paraId="6EE053B5" w14:textId="77777777" w:rsidR="002A5868" w:rsidRDefault="002A5868" w:rsidP="006A45E9">
      <w:pPr>
        <w:pStyle w:val="Thesisnormal"/>
      </w:pPr>
      <w:r>
        <w:br w:type="page"/>
      </w:r>
    </w:p>
    <w:p w14:paraId="2EF83F9D" w14:textId="77777777" w:rsidR="0084644E" w:rsidRDefault="0084644E" w:rsidP="0084644E">
      <w:pPr>
        <w:pStyle w:val="Heading1"/>
        <w:spacing w:line="360" w:lineRule="auto"/>
      </w:pPr>
      <w:bookmarkStart w:id="65" w:name="_Toc476834038"/>
      <w:bookmarkStart w:id="66" w:name="_Toc4589274"/>
      <w:r>
        <w:lastRenderedPageBreak/>
        <w:t>Chapter 2. Materials and Methods</w:t>
      </w:r>
      <w:bookmarkEnd w:id="65"/>
      <w:bookmarkEnd w:id="66"/>
    </w:p>
    <w:p w14:paraId="04AD436E" w14:textId="77777777" w:rsidR="0084644E" w:rsidRDefault="0084644E" w:rsidP="0084644E">
      <w:pPr>
        <w:pStyle w:val="Thesisnormal"/>
      </w:pPr>
    </w:p>
    <w:p w14:paraId="06007AD4" w14:textId="77777777" w:rsidR="0084644E" w:rsidRDefault="0084644E" w:rsidP="0084644E">
      <w:pPr>
        <w:pStyle w:val="Heading2"/>
        <w:spacing w:line="360" w:lineRule="auto"/>
      </w:pPr>
      <w:r>
        <w:tab/>
      </w:r>
      <w:bookmarkStart w:id="67" w:name="_Toc476834039"/>
      <w:bookmarkStart w:id="68" w:name="_Toc4589275"/>
      <w:r>
        <w:t>2.1 Materials</w:t>
      </w:r>
      <w:bookmarkEnd w:id="67"/>
      <w:bookmarkEnd w:id="68"/>
    </w:p>
    <w:p w14:paraId="5B74BC67" w14:textId="77777777" w:rsidR="0084644E" w:rsidRPr="0059796F" w:rsidRDefault="0084644E" w:rsidP="0084644E">
      <w:pPr>
        <w:pStyle w:val="Thesisnormal"/>
      </w:pPr>
    </w:p>
    <w:p w14:paraId="286CADC3" w14:textId="77777777" w:rsidR="0084644E" w:rsidRDefault="0084644E" w:rsidP="0084644E">
      <w:pPr>
        <w:pStyle w:val="Heading3"/>
        <w:spacing w:line="360" w:lineRule="auto"/>
      </w:pPr>
      <w:r>
        <w:tab/>
      </w:r>
      <w:r>
        <w:tab/>
      </w:r>
      <w:bookmarkStart w:id="69" w:name="_Toc476834040"/>
      <w:bookmarkStart w:id="70" w:name="_Toc4589276"/>
      <w:r>
        <w:t>2.1.1 Fly stocks</w:t>
      </w:r>
      <w:bookmarkEnd w:id="69"/>
      <w:r>
        <w:t xml:space="preserve"> used in this study</w:t>
      </w:r>
      <w:bookmarkEnd w:id="70"/>
    </w:p>
    <w:p w14:paraId="6C52CC5B" w14:textId="77777777" w:rsidR="0084644E" w:rsidRPr="0059796F" w:rsidRDefault="0084644E" w:rsidP="0084644E">
      <w:pPr>
        <w:pStyle w:val="Thesisnormal"/>
      </w:pPr>
    </w:p>
    <w:p w14:paraId="3F76B9F1" w14:textId="77777777" w:rsidR="0084644E" w:rsidRDefault="0084644E" w:rsidP="0084644E">
      <w:pPr>
        <w:pStyle w:val="Heading3"/>
        <w:spacing w:line="360" w:lineRule="auto"/>
      </w:pPr>
      <w:bookmarkStart w:id="71" w:name="_Toc4589277"/>
      <w:r>
        <w:t>2.1.1.2 The GAL4-UAS system</w:t>
      </w:r>
      <w:bookmarkEnd w:id="71"/>
    </w:p>
    <w:p w14:paraId="48C82832" w14:textId="77777777" w:rsidR="0084644E" w:rsidRPr="00E956CD" w:rsidRDefault="0084644E" w:rsidP="0084644E">
      <w:pPr>
        <w:pStyle w:val="Thesisnormal"/>
      </w:pPr>
    </w:p>
    <w:p w14:paraId="41BAD13E" w14:textId="6F09D097" w:rsidR="0084644E" w:rsidRDefault="0084644E" w:rsidP="0084644E">
      <w:pPr>
        <w:pStyle w:val="Thesisnormal"/>
      </w:pPr>
      <w:r>
        <w:t xml:space="preserve">The GAL4-UAS system </w:t>
      </w:r>
      <w:r>
        <w:fldChar w:fldCharType="begin"/>
      </w:r>
      <w:r w:rsidR="000A209C">
        <w:instrText xml:space="preserve"> ADDIN ZOTERO_ITEM CSL_CITATION {"citationID":"YmXqBLl9","properties":{"formattedCitation":"(158,185)","plainCitation":"(158,185)","noteIndex":0},"citationItems":[{"id":30,"uris":["http://zotero.org/users/952979/items/S6IS7PE7"],"uri":["http://zotero.org/users/952979/items/S6IS7PE7"],"itemData":{"id":30,"type":"article-journal","title":"GAL4 system in drosophila: A fly geneticist's swiss army knife","container-title":"genesis","page":"1-15","volume":"34","issue":"1-2","source":"Wiley Online Library","DOI":"10.1002/gene.10150","ISSN":"1526-968X","shortTitle":"GAL4 system in drosophila","journalAbbreviation":"Genesis","language":"en","author":[{"family":"Duffy","given":"Joseph B."}],"issued":{"date-parts":[["2002",9,1]]}}},{"id":1332,"uris":["http://zotero.org/users/952979/items/JH7Q3JH8"],"uri":["http://zotero.org/users/952979/items/JH7Q3JH8"],"itemData":{"id":1332,"type":"article-journal","title":"Targeted gene expression as a means of altering cell fates and generating dominant phenotypes","container-title":"Development (Cambridge, England)","page":"401-415","volume":"118","issue":"2","source":"PubMed","abstract":"We have designed a system for targeted gene expression that allows the selective activation of any cloned gene in a wide variety of tissue- and cell-specific patterns. The gene encoding the yeast transcriptional activator GAL4 is inserted randomly into the Drosophila genome to drive GAL4 expression from one of a diverse array of genomic enhancers. It is then possible to introduce a gene containing GAL4 binding sites within its promoter, to activate it in those cells where GAL4 is expressed, and to observe the effect of this directed misexpression on development. We have used GAL4-directed transcription to expand the domain of embryonic expression of the homeobox protein even-skipped. We show that even-skipped represses wingless and transforms cells that would normally secrete naked cuticle into denticle secreting cells. The GAL4 system can thus be used to study regulatory interactions during embryonic development. In adults, targeted expression can be used to generate dominant phenotypes for use in genetic screens. We have directed expression of an activated form of the Dras2 protein, resulting in dominant eye and wing defects that can be used in screens to identify other members of the Dras2 signal transduction pathway.","ISSN":"0950-1991","note":"PMID: 8223268","journalAbbreviation":"Development","language":"eng","author":[{"family":"Brand","given":"A. H."},{"family":"Perrimon","given":"N."}],"issued":{"date-parts":[["1993",6]]}}}],"schema":"https://github.com/citation-style-language/schema/raw/master/csl-citation.json"} </w:instrText>
      </w:r>
      <w:r>
        <w:fldChar w:fldCharType="separate"/>
      </w:r>
      <w:r w:rsidR="004A1963" w:rsidRPr="004A1963">
        <w:rPr>
          <w:rFonts w:ascii="Calibri" w:hAnsi="Calibri"/>
        </w:rPr>
        <w:t>(158,185)</w:t>
      </w:r>
      <w:r>
        <w:fldChar w:fldCharType="end"/>
      </w:r>
      <w:r>
        <w:t xml:space="preserve"> was used to drive hemocyte-specific expression of UAS transgenes (Table 2.1). A number of fluorescent genes under UAS control were used to monitor VT enhancer expression or to analyse cell activity (Table 2.2). The GAL4-UAS system was also used to induce hemocyte specific expression or knockdown of various genes (Table 2.3). </w:t>
      </w:r>
    </w:p>
    <w:p w14:paraId="36FA1183" w14:textId="77777777" w:rsidR="0084644E" w:rsidRDefault="0084644E" w:rsidP="0084644E">
      <w:pPr>
        <w:pStyle w:val="Thesisnormal"/>
      </w:pPr>
    </w:p>
    <w:p w14:paraId="327EAE33" w14:textId="77777777" w:rsidR="0084644E" w:rsidRPr="00E956CD" w:rsidRDefault="0084644E" w:rsidP="0084644E">
      <w:pPr>
        <w:pStyle w:val="No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1"/>
        <w:gridCol w:w="1647"/>
        <w:gridCol w:w="2708"/>
        <w:gridCol w:w="2300"/>
      </w:tblGrid>
      <w:tr w:rsidR="0084644E" w14:paraId="78DFDAD2" w14:textId="77777777" w:rsidTr="004B2ADE">
        <w:tc>
          <w:tcPr>
            <w:tcW w:w="9236" w:type="dxa"/>
            <w:gridSpan w:val="4"/>
            <w:vAlign w:val="center"/>
          </w:tcPr>
          <w:p w14:paraId="40EDABAD" w14:textId="77777777" w:rsidR="0084644E" w:rsidRPr="006A45E9" w:rsidRDefault="0084644E" w:rsidP="001E4361">
            <w:pPr>
              <w:pStyle w:val="Thesisnormal"/>
              <w:jc w:val="center"/>
              <w:rPr>
                <w:b/>
                <w:u w:val="single"/>
              </w:rPr>
            </w:pPr>
            <w:r w:rsidRPr="006A45E9">
              <w:rPr>
                <w:b/>
                <w:u w:val="single"/>
              </w:rPr>
              <w:t>Table 2.1 GAL4 drivers used for hemocyte-specific expression</w:t>
            </w:r>
          </w:p>
        </w:tc>
      </w:tr>
      <w:tr w:rsidR="0084644E" w14:paraId="005143B7" w14:textId="77777777" w:rsidTr="004B2ADE">
        <w:tc>
          <w:tcPr>
            <w:tcW w:w="2424" w:type="dxa"/>
            <w:vAlign w:val="center"/>
          </w:tcPr>
          <w:p w14:paraId="3EDA955D" w14:textId="77777777" w:rsidR="0084644E" w:rsidRPr="00A83999" w:rsidRDefault="0084644E" w:rsidP="001E4361">
            <w:pPr>
              <w:pStyle w:val="Thesisnormal"/>
              <w:jc w:val="center"/>
              <w:rPr>
                <w:b/>
                <w:u w:val="single"/>
              </w:rPr>
            </w:pPr>
            <w:r w:rsidRPr="00A83999">
              <w:rPr>
                <w:b/>
                <w:u w:val="single"/>
              </w:rPr>
              <w:t>Genotype</w:t>
            </w:r>
          </w:p>
        </w:tc>
        <w:tc>
          <w:tcPr>
            <w:tcW w:w="1653" w:type="dxa"/>
            <w:vAlign w:val="center"/>
          </w:tcPr>
          <w:p w14:paraId="62A0D9FD" w14:textId="77777777" w:rsidR="0084644E" w:rsidRPr="00A83999" w:rsidRDefault="0084644E" w:rsidP="001E4361">
            <w:pPr>
              <w:pStyle w:val="Thesisnormal"/>
              <w:jc w:val="center"/>
              <w:rPr>
                <w:b/>
                <w:u w:val="single"/>
              </w:rPr>
            </w:pPr>
            <w:r>
              <w:rPr>
                <w:b/>
                <w:u w:val="single"/>
              </w:rPr>
              <w:t>Chromosome</w:t>
            </w:r>
          </w:p>
        </w:tc>
        <w:tc>
          <w:tcPr>
            <w:tcW w:w="2792" w:type="dxa"/>
            <w:vAlign w:val="center"/>
          </w:tcPr>
          <w:p w14:paraId="4FD7AA82" w14:textId="77777777" w:rsidR="0084644E" w:rsidRPr="00A83999" w:rsidRDefault="0084644E" w:rsidP="001E4361">
            <w:pPr>
              <w:pStyle w:val="Thesisnormal"/>
              <w:jc w:val="center"/>
              <w:rPr>
                <w:b/>
                <w:u w:val="single"/>
              </w:rPr>
            </w:pPr>
            <w:r w:rsidRPr="00A83999">
              <w:rPr>
                <w:b/>
                <w:u w:val="single"/>
              </w:rPr>
              <w:t>Supplier</w:t>
            </w:r>
          </w:p>
        </w:tc>
        <w:tc>
          <w:tcPr>
            <w:tcW w:w="2367" w:type="dxa"/>
            <w:vAlign w:val="center"/>
          </w:tcPr>
          <w:p w14:paraId="1FB510C6" w14:textId="77777777" w:rsidR="0084644E" w:rsidRPr="00A83999" w:rsidRDefault="0084644E" w:rsidP="001E4361">
            <w:pPr>
              <w:pStyle w:val="Thesisnormal"/>
              <w:jc w:val="center"/>
              <w:rPr>
                <w:b/>
                <w:u w:val="single"/>
              </w:rPr>
            </w:pPr>
            <w:r w:rsidRPr="00A83999">
              <w:rPr>
                <w:b/>
                <w:u w:val="single"/>
              </w:rPr>
              <w:t>Reference</w:t>
            </w:r>
          </w:p>
        </w:tc>
      </w:tr>
      <w:tr w:rsidR="0084644E" w14:paraId="411576F0" w14:textId="77777777" w:rsidTr="004B2ADE">
        <w:trPr>
          <w:trHeight w:val="440"/>
        </w:trPr>
        <w:tc>
          <w:tcPr>
            <w:tcW w:w="2424" w:type="dxa"/>
            <w:vAlign w:val="center"/>
          </w:tcPr>
          <w:p w14:paraId="489F7768" w14:textId="77777777" w:rsidR="0084644E" w:rsidRPr="00EC7BB1" w:rsidRDefault="0084644E" w:rsidP="001E4361">
            <w:pPr>
              <w:spacing w:line="360" w:lineRule="auto"/>
              <w:jc w:val="center"/>
            </w:pPr>
            <w:r>
              <w:rPr>
                <w:i/>
              </w:rPr>
              <w:t>Serpent</w:t>
            </w:r>
            <w:r w:rsidRPr="00EC7BB1">
              <w:rPr>
                <w:i/>
              </w:rPr>
              <w:t>-GAL4</w:t>
            </w:r>
          </w:p>
        </w:tc>
        <w:tc>
          <w:tcPr>
            <w:tcW w:w="1653" w:type="dxa"/>
            <w:vAlign w:val="center"/>
          </w:tcPr>
          <w:p w14:paraId="28B4A5E7" w14:textId="77777777" w:rsidR="0084644E" w:rsidRDefault="0084644E" w:rsidP="001E4361">
            <w:pPr>
              <w:spacing w:line="360" w:lineRule="auto"/>
              <w:jc w:val="center"/>
            </w:pPr>
            <w:r>
              <w:t>2</w:t>
            </w:r>
          </w:p>
        </w:tc>
        <w:tc>
          <w:tcPr>
            <w:tcW w:w="2792" w:type="dxa"/>
            <w:vAlign w:val="center"/>
          </w:tcPr>
          <w:p w14:paraId="354D5DF8" w14:textId="77777777" w:rsidR="0084644E" w:rsidRDefault="0084644E" w:rsidP="001E4361">
            <w:pPr>
              <w:spacing w:line="360" w:lineRule="auto"/>
              <w:jc w:val="center"/>
            </w:pPr>
            <w:r>
              <w:t>Bloomington Stock Centre</w:t>
            </w:r>
          </w:p>
        </w:tc>
        <w:tc>
          <w:tcPr>
            <w:tcW w:w="2367" w:type="dxa"/>
            <w:vAlign w:val="center"/>
          </w:tcPr>
          <w:p w14:paraId="741ABEC5" w14:textId="1037EC5E" w:rsidR="0084644E" w:rsidRDefault="0084644E" w:rsidP="001E4361">
            <w:pPr>
              <w:spacing w:line="360" w:lineRule="auto"/>
              <w:jc w:val="center"/>
            </w:pPr>
            <w:r>
              <w:fldChar w:fldCharType="begin"/>
            </w:r>
            <w:r w:rsidR="000A209C">
              <w:instrText xml:space="preserve"> ADDIN ZOTERO_ITEM CSL_CITATION {"citationID":"uEDDXYME","properties":{"formattedCitation":"(248)","plainCitation":"(248)","noteIndex":0},"citationItems":[{"id":1408,"uris":["http://zotero.org/users/952979/items/8V5NZCDI"],"uri":["http://zotero.org/users/952979/items/8V5NZCDI"],"itemData":{"id":1408,"type":"article-journal","title":"Live imaging of wound inflammation in Drosophila embryos reveals key roles for small GTPases during in vivo cell migration","container-title":"The Journal of Cell Biology","page":"567-573","volume":"168","issue":"4","source":"PubMed","abstract":"Aa robust inflammatory response to tissue damage and infection is conserved across almost all animal phyla. Neutrophils and macrophages, or their equivalents, are drawn to the wound site where they engulf cell and matrix debris and release signals that direct components of the repair process. This orchestrated cell migration is clinically important, and yet, to date, leukocyte chemotaxis has largely been studied in vitro. Here, we describe a genetically tractable in vivo wound model of inflammation in the Drosophila melanogaster embryo that is amenable to cinemicroscopy. For the first time, we are able to examine the roles of Rho-family small GTPases during inflammation in vivo and show that Rac-mediated lamellae are essential for hemocyte motility and Rho signaling is necessary for cells to retract from sites of matrix- and cell-cell contacts. Cdc42 is necessary for maintaining cellular polarity and yet, despite in vitro evidence, is dispensable for sensing and crawling toward wound cues.","DOI":"10.1083/jcb.200405120","ISSN":"0021-9525","note":"PMID: 15699212\nPMCID: PMC2171743","journalAbbreviation":"J. Cell Biol.","language":"eng","author":[{"family":"Stramer","given":"Brian"},{"family":"Wood","given":"Will"},{"family":"Galko","given":"Michael J."},{"family":"Redd","given":"Michael J."},{"family":"Jacinto","given":"Antonio"},{"family":"Parkhurst","given":"Susan M."},{"family":"Martin","given":"Paul"}],"issued":{"date-parts":[["2005",2,14]]}}}],"schema":"https://github.com/citation-style-language/schema/raw/master/csl-citation.json"} </w:instrText>
            </w:r>
            <w:r>
              <w:fldChar w:fldCharType="separate"/>
            </w:r>
            <w:r w:rsidR="004A1963" w:rsidRPr="004A1963">
              <w:rPr>
                <w:rFonts w:ascii="Calibri" w:hAnsi="Calibri"/>
              </w:rPr>
              <w:t>(248)</w:t>
            </w:r>
            <w:r>
              <w:fldChar w:fldCharType="end"/>
            </w:r>
          </w:p>
        </w:tc>
      </w:tr>
      <w:tr w:rsidR="0084644E" w14:paraId="5D6D35C3" w14:textId="77777777" w:rsidTr="004B2ADE">
        <w:trPr>
          <w:trHeight w:val="260"/>
        </w:trPr>
        <w:tc>
          <w:tcPr>
            <w:tcW w:w="2424" w:type="dxa"/>
            <w:vAlign w:val="center"/>
          </w:tcPr>
          <w:p w14:paraId="6F80BA43" w14:textId="77777777" w:rsidR="0084644E" w:rsidRPr="00EC7BB1" w:rsidRDefault="0084644E" w:rsidP="001E4361">
            <w:pPr>
              <w:spacing w:line="360" w:lineRule="auto"/>
              <w:jc w:val="center"/>
              <w:rPr>
                <w:i/>
              </w:rPr>
            </w:pPr>
            <w:r>
              <w:rPr>
                <w:i/>
              </w:rPr>
              <w:t>Croquemort-GAL4</w:t>
            </w:r>
          </w:p>
        </w:tc>
        <w:tc>
          <w:tcPr>
            <w:tcW w:w="1653" w:type="dxa"/>
            <w:vAlign w:val="center"/>
          </w:tcPr>
          <w:p w14:paraId="38769DD1" w14:textId="77777777" w:rsidR="0084644E" w:rsidRDefault="0084644E" w:rsidP="001E4361">
            <w:pPr>
              <w:spacing w:line="360" w:lineRule="auto"/>
              <w:jc w:val="center"/>
            </w:pPr>
            <w:r>
              <w:t>3</w:t>
            </w:r>
          </w:p>
        </w:tc>
        <w:tc>
          <w:tcPr>
            <w:tcW w:w="2792" w:type="dxa"/>
            <w:vAlign w:val="center"/>
          </w:tcPr>
          <w:p w14:paraId="39912FF8" w14:textId="77777777" w:rsidR="0084644E" w:rsidRDefault="0084644E" w:rsidP="001E4361">
            <w:pPr>
              <w:spacing w:line="360" w:lineRule="auto"/>
              <w:jc w:val="center"/>
            </w:pPr>
            <w:r>
              <w:t>Bloomington Stock Centre</w:t>
            </w:r>
          </w:p>
        </w:tc>
        <w:tc>
          <w:tcPr>
            <w:tcW w:w="2367" w:type="dxa"/>
            <w:vAlign w:val="center"/>
          </w:tcPr>
          <w:p w14:paraId="11EA1D28" w14:textId="5594C50C" w:rsidR="0084644E" w:rsidRDefault="0084644E" w:rsidP="009C2B02">
            <w:pPr>
              <w:spacing w:line="360" w:lineRule="auto"/>
              <w:jc w:val="center"/>
            </w:pPr>
            <w:r>
              <w:fldChar w:fldCharType="begin"/>
            </w:r>
            <w:r w:rsidR="000A209C">
              <w:instrText xml:space="preserve"> ADDIN ZOTERO_ITEM CSL_CITATION {"citationID":"5gznQKGG","properties":{"formattedCitation":"(218)","plainCitation":"(218)","noteIndex":0},"citationItems":[{"id":1454,"uris":["http://zotero.org/users/952979/items/K2GQP4ZR"],"uri":["http://zotero.org/users/952979/items/K2GQP4ZR"],"itemData":{"id":1454,"type":"article-journal","title":"The PDGF/VEGF receptor controls blood cell survival in Drosophila","container-title":"Developmental Cell","page":"73-84","volume":"7","issue":"1","source":"PubMed","abstract":"The Drosophila PDGF/VEGF receptor (PVR) has known functions in the guidance of cell migration. We now demonstrate that during embryonic hematopoiesis, PVR has a role in the control of antiapoptotic cell survival. In Pvr mutants, a large fraction of the embryonic hemocyte population undergoes apoptosis, and the remaining blood cells cannibalistically phagocytose their dying peers. Consequently, total hemocyte numbers drop dramatically during embryogenesis, and large aggregates of engorged macrophages carrying multiple apoptotic corpses form. Hemocyte-specific expression of the pan-caspase inhibitor p35 in Pvr mutants eliminates hemocyte aggregates and restores blood cell counts and morphology. Additional rescue experiments suggest involvement of the Ras pathway in PVR-mediated blood cell survival. In cell culture, we demonstrate that PVR directly controls survival of a hemocyte cell line. This function of PVR shows striking conservation with mammalian hematopoiesis and establishes Drosophila as a model to study hematopoietic cell survival in development and disease.","DOI":"10.1016/j.devcel.2004.06.007","ISSN":"1534-5807","note":"PMID: 15239955","journalAbbreviation":"Dev. Cell","language":"eng","author":[{"family":"Brückner","given":"Katja"},{"family":"Kockel","given":"Lutz"},{"family":"Duchek","given":"Peter"},{"family":"Luque","given":"Carlos M."},{"family":"Rørth","given":"Pernille"},{"family":"Perrimon","given":"Norbert"}],"issued":{"date-parts":[["2004",7]]}}}],"schema":"https://github.com/citation-style-language/schema/raw/master/csl-citation.json"} </w:instrText>
            </w:r>
            <w:r>
              <w:fldChar w:fldCharType="separate"/>
            </w:r>
            <w:r w:rsidR="004A1963" w:rsidRPr="004A1963">
              <w:rPr>
                <w:rFonts w:ascii="Calibri" w:hAnsi="Calibri"/>
              </w:rPr>
              <w:t>(218)</w:t>
            </w:r>
            <w:r>
              <w:fldChar w:fldCharType="end"/>
            </w:r>
          </w:p>
        </w:tc>
      </w:tr>
      <w:tr w:rsidR="0084644E" w14:paraId="6436C267" w14:textId="77777777" w:rsidTr="004B2ADE">
        <w:trPr>
          <w:trHeight w:val="260"/>
        </w:trPr>
        <w:tc>
          <w:tcPr>
            <w:tcW w:w="2424" w:type="dxa"/>
            <w:vAlign w:val="center"/>
          </w:tcPr>
          <w:p w14:paraId="41B45674" w14:textId="77777777" w:rsidR="0084644E" w:rsidRPr="00EC7BB1" w:rsidRDefault="0084644E" w:rsidP="001E4361">
            <w:pPr>
              <w:spacing w:line="360" w:lineRule="auto"/>
              <w:jc w:val="center"/>
              <w:rPr>
                <w:i/>
              </w:rPr>
            </w:pPr>
            <w:r w:rsidRPr="00EC7BB1">
              <w:rPr>
                <w:i/>
              </w:rPr>
              <w:t>VT-GAL4</w:t>
            </w:r>
          </w:p>
        </w:tc>
        <w:tc>
          <w:tcPr>
            <w:tcW w:w="1653" w:type="dxa"/>
            <w:vAlign w:val="center"/>
          </w:tcPr>
          <w:p w14:paraId="3E656719" w14:textId="77777777" w:rsidR="0084644E" w:rsidRDefault="0084644E" w:rsidP="001E4361">
            <w:pPr>
              <w:spacing w:line="360" w:lineRule="auto"/>
              <w:jc w:val="center"/>
            </w:pPr>
            <w:r>
              <w:t>3</w:t>
            </w:r>
          </w:p>
        </w:tc>
        <w:tc>
          <w:tcPr>
            <w:tcW w:w="2792" w:type="dxa"/>
            <w:vAlign w:val="center"/>
          </w:tcPr>
          <w:p w14:paraId="53310472" w14:textId="77777777" w:rsidR="0084644E" w:rsidRDefault="0084644E" w:rsidP="001E4361">
            <w:pPr>
              <w:spacing w:line="360" w:lineRule="auto"/>
              <w:jc w:val="center"/>
            </w:pPr>
            <w:r>
              <w:t>Vienna Drosophila Resource Centre</w:t>
            </w:r>
          </w:p>
        </w:tc>
        <w:tc>
          <w:tcPr>
            <w:tcW w:w="2367" w:type="dxa"/>
            <w:vAlign w:val="center"/>
          </w:tcPr>
          <w:p w14:paraId="1A846581" w14:textId="0C6FDBC8" w:rsidR="0084644E" w:rsidRDefault="0084644E" w:rsidP="001E4361">
            <w:pPr>
              <w:spacing w:line="360" w:lineRule="auto"/>
              <w:jc w:val="center"/>
            </w:pPr>
            <w:r>
              <w:fldChar w:fldCharType="begin"/>
            </w:r>
            <w:r w:rsidR="000A209C">
              <w:instrText xml:space="preserve"> ADDIN ZOTERO_ITEM CSL_CITATION {"citationID":"OY8CZ73C","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p>
        </w:tc>
      </w:tr>
      <w:tr w:rsidR="0084644E" w14:paraId="1C990E3B" w14:textId="77777777" w:rsidTr="004B2ADE">
        <w:trPr>
          <w:trHeight w:val="260"/>
        </w:trPr>
        <w:tc>
          <w:tcPr>
            <w:tcW w:w="2424" w:type="dxa"/>
            <w:vAlign w:val="center"/>
          </w:tcPr>
          <w:p w14:paraId="23CCE0A2" w14:textId="77777777" w:rsidR="0084644E" w:rsidRPr="008474A7" w:rsidRDefault="0084644E" w:rsidP="001E4361">
            <w:pPr>
              <w:spacing w:line="360" w:lineRule="auto"/>
              <w:jc w:val="center"/>
              <w:rPr>
                <w:i/>
              </w:rPr>
            </w:pPr>
            <w:r>
              <w:rPr>
                <w:i/>
              </w:rPr>
              <w:t>Hemolectin-GAL4</w:t>
            </w:r>
          </w:p>
        </w:tc>
        <w:tc>
          <w:tcPr>
            <w:tcW w:w="1653" w:type="dxa"/>
            <w:vAlign w:val="center"/>
          </w:tcPr>
          <w:p w14:paraId="05D259F5" w14:textId="77777777" w:rsidR="0084644E" w:rsidRDefault="0084644E" w:rsidP="001E4361">
            <w:pPr>
              <w:spacing w:line="360" w:lineRule="auto"/>
              <w:jc w:val="center"/>
            </w:pPr>
            <w:r>
              <w:t>2 and 3</w:t>
            </w:r>
          </w:p>
        </w:tc>
        <w:tc>
          <w:tcPr>
            <w:tcW w:w="2792" w:type="dxa"/>
            <w:vAlign w:val="center"/>
          </w:tcPr>
          <w:p w14:paraId="71D1BAD5" w14:textId="77777777" w:rsidR="0084644E" w:rsidRDefault="0084644E" w:rsidP="001E4361">
            <w:pPr>
              <w:spacing w:line="360" w:lineRule="auto"/>
              <w:jc w:val="center"/>
            </w:pPr>
            <w:r>
              <w:t>Bloomington Stock Centre</w:t>
            </w:r>
          </w:p>
        </w:tc>
        <w:tc>
          <w:tcPr>
            <w:tcW w:w="2367" w:type="dxa"/>
            <w:vAlign w:val="center"/>
          </w:tcPr>
          <w:p w14:paraId="15F96B60" w14:textId="2A325FE7" w:rsidR="0084644E" w:rsidRDefault="0084644E" w:rsidP="001E4361">
            <w:pPr>
              <w:spacing w:line="360" w:lineRule="auto"/>
              <w:jc w:val="center"/>
            </w:pPr>
            <w:r>
              <w:fldChar w:fldCharType="begin"/>
            </w:r>
            <w:r w:rsidR="000A209C">
              <w:instrText xml:space="preserve"> ADDIN ZOTERO_ITEM CSL_CITATION {"citationID":"15EhX7vp","properties":{"formattedCitation":"(290)","plainCitation":"(290)","noteIndex":0},"citationItems":[{"id":1333,"uris":["http://zotero.org/users/952979/items/S6NEI7M9"],"uri":["http://zotero.org/users/952979/items/S6NEI7M9"],"itemData":{"id":1333,"type":"article-journal","title":"Drosophila hemolectin gene is expressed in embryonic and larval hemocytes and its knock down causes bleeding defects","container-title":"Developmental Biology","page":"582-591","volume":"264","issue":"2","source":"PubMed","abstract":"We have previously identified and characterized Drosophila hemolectin (Hml) in the conditioned medium of a Drosophila cell line. The deduced amino acids sequence contains a number of domains conserved in human von Willebrand factor, coagulation factor V/VIII, and complement factors. To characterize Hml localization and function, we have established two transgenic lines (hml-GAL4 and UAS-hmlRNAi). By crossing hml-GAL4 with UAS-eGFP, we observed that Hml is specifically expressed in embryonic and in larval hemocytes. We determined that Hml is expressed in a subpopulation of plasmatocytes and crystal cells but not in lamellocytes. hml RNAi larvae are viable and do not display obvious developmental defects under normal conditions. However, they show a bleeding defect upon injury. We confirmed that the failure to seal a wound is not due to a defect in melanin production or in phenoloxidase activity. The expression of antimicrobial peptides was not significantly affected on hml RNAi adults. Altogether, our data strongly suggest that Hml is involved in hemostasis and/or coagulation in Drosophila larvae.","ISSN":"0012-1606","note":"PMID: 14651939","journalAbbreviation":"Dev. Biol.","language":"eng","author":[{"family":"Goto","given":"Akira"},{"family":"Kadowaki","given":"Tatsuhiko"},{"family":"Kitagawa","given":"Yasuo"}],"issued":{"date-parts":[["2003",12,15]]}}}],"schema":"https://github.com/citation-style-language/schema/raw/master/csl-citation.json"} </w:instrText>
            </w:r>
            <w:r>
              <w:fldChar w:fldCharType="separate"/>
            </w:r>
            <w:r w:rsidR="004A1963" w:rsidRPr="004A1963">
              <w:rPr>
                <w:rFonts w:ascii="Calibri" w:hAnsi="Calibri"/>
              </w:rPr>
              <w:t>(290)</w:t>
            </w:r>
            <w:r>
              <w:fldChar w:fldCharType="end"/>
            </w:r>
          </w:p>
        </w:tc>
      </w:tr>
    </w:tbl>
    <w:p w14:paraId="36C3A46F" w14:textId="77777777" w:rsidR="0084644E" w:rsidRPr="00974436" w:rsidRDefault="0084644E" w:rsidP="0084644E">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5"/>
        <w:gridCol w:w="1552"/>
        <w:gridCol w:w="2764"/>
        <w:gridCol w:w="2345"/>
      </w:tblGrid>
      <w:tr w:rsidR="0084644E" w14:paraId="2CEFF644" w14:textId="77777777" w:rsidTr="004B2ADE">
        <w:tc>
          <w:tcPr>
            <w:tcW w:w="9026" w:type="dxa"/>
            <w:gridSpan w:val="4"/>
            <w:vAlign w:val="center"/>
          </w:tcPr>
          <w:p w14:paraId="64C321AE" w14:textId="77777777" w:rsidR="0084644E" w:rsidRPr="006A45E9" w:rsidRDefault="0084644E" w:rsidP="001E4361">
            <w:pPr>
              <w:pStyle w:val="Thesisnormal"/>
              <w:jc w:val="center"/>
              <w:rPr>
                <w:b/>
                <w:u w:val="single"/>
              </w:rPr>
            </w:pPr>
            <w:r w:rsidRPr="006A45E9">
              <w:rPr>
                <w:b/>
                <w:u w:val="single"/>
              </w:rPr>
              <w:t>Table 2.2 UAS lines used to mark reporter expression</w:t>
            </w:r>
          </w:p>
        </w:tc>
      </w:tr>
      <w:tr w:rsidR="0084644E" w14:paraId="224BC8CB" w14:textId="77777777" w:rsidTr="004B2ADE">
        <w:tc>
          <w:tcPr>
            <w:tcW w:w="2357" w:type="dxa"/>
            <w:vAlign w:val="center"/>
          </w:tcPr>
          <w:p w14:paraId="0CC75151" w14:textId="77777777" w:rsidR="0084644E" w:rsidRPr="00A83999" w:rsidRDefault="0084644E" w:rsidP="001E4361">
            <w:pPr>
              <w:pStyle w:val="Thesisnormal"/>
              <w:jc w:val="center"/>
              <w:rPr>
                <w:b/>
                <w:u w:val="single"/>
              </w:rPr>
            </w:pPr>
            <w:r w:rsidRPr="00A83999">
              <w:rPr>
                <w:b/>
                <w:u w:val="single"/>
              </w:rPr>
              <w:t>Genotype</w:t>
            </w:r>
          </w:p>
        </w:tc>
        <w:tc>
          <w:tcPr>
            <w:tcW w:w="1552" w:type="dxa"/>
            <w:vAlign w:val="center"/>
          </w:tcPr>
          <w:p w14:paraId="55875642" w14:textId="77777777" w:rsidR="0084644E" w:rsidRPr="00A83999" w:rsidRDefault="0084644E" w:rsidP="001E4361">
            <w:pPr>
              <w:pStyle w:val="Thesisnormal"/>
              <w:jc w:val="center"/>
              <w:rPr>
                <w:b/>
                <w:u w:val="single"/>
              </w:rPr>
            </w:pPr>
            <w:r>
              <w:rPr>
                <w:b/>
                <w:u w:val="single"/>
              </w:rPr>
              <w:t>Chromosome</w:t>
            </w:r>
          </w:p>
        </w:tc>
        <w:tc>
          <w:tcPr>
            <w:tcW w:w="2769" w:type="dxa"/>
            <w:vAlign w:val="center"/>
          </w:tcPr>
          <w:p w14:paraId="440506E8" w14:textId="77777777" w:rsidR="0084644E" w:rsidRPr="00A83999" w:rsidRDefault="0084644E" w:rsidP="001E4361">
            <w:pPr>
              <w:pStyle w:val="Thesisnormal"/>
              <w:jc w:val="center"/>
              <w:rPr>
                <w:b/>
                <w:u w:val="single"/>
              </w:rPr>
            </w:pPr>
            <w:r w:rsidRPr="00A83999">
              <w:rPr>
                <w:b/>
                <w:u w:val="single"/>
              </w:rPr>
              <w:t>Supplier</w:t>
            </w:r>
          </w:p>
        </w:tc>
        <w:tc>
          <w:tcPr>
            <w:tcW w:w="2348" w:type="dxa"/>
            <w:vAlign w:val="center"/>
          </w:tcPr>
          <w:p w14:paraId="0FE6BF76" w14:textId="77777777" w:rsidR="0084644E" w:rsidRPr="00A83999" w:rsidRDefault="0084644E" w:rsidP="001E4361">
            <w:pPr>
              <w:pStyle w:val="Thesisnormal"/>
              <w:jc w:val="center"/>
              <w:rPr>
                <w:b/>
                <w:u w:val="single"/>
              </w:rPr>
            </w:pPr>
            <w:r w:rsidRPr="00A83999">
              <w:rPr>
                <w:b/>
                <w:u w:val="single"/>
              </w:rPr>
              <w:t>Reference</w:t>
            </w:r>
          </w:p>
        </w:tc>
      </w:tr>
      <w:tr w:rsidR="0084644E" w14:paraId="3EA40CE9" w14:textId="77777777" w:rsidTr="004B2ADE">
        <w:tc>
          <w:tcPr>
            <w:tcW w:w="2357" w:type="dxa"/>
            <w:vAlign w:val="center"/>
          </w:tcPr>
          <w:p w14:paraId="5062CCB1" w14:textId="77777777" w:rsidR="0084644E" w:rsidRPr="00D61B4E" w:rsidRDefault="0084644E" w:rsidP="001E4361">
            <w:pPr>
              <w:spacing w:line="360" w:lineRule="auto"/>
              <w:jc w:val="center"/>
              <w:rPr>
                <w:i/>
              </w:rPr>
            </w:pPr>
            <w:r w:rsidRPr="00D61B4E">
              <w:rPr>
                <w:i/>
              </w:rPr>
              <w:t>UAS-GFP</w:t>
            </w:r>
          </w:p>
        </w:tc>
        <w:tc>
          <w:tcPr>
            <w:tcW w:w="1552" w:type="dxa"/>
            <w:vAlign w:val="center"/>
          </w:tcPr>
          <w:p w14:paraId="79537DEF" w14:textId="77777777" w:rsidR="0084644E" w:rsidRDefault="0084644E" w:rsidP="001E4361">
            <w:pPr>
              <w:spacing w:line="360" w:lineRule="auto"/>
              <w:jc w:val="center"/>
            </w:pPr>
            <w:r>
              <w:t>2 and 3</w:t>
            </w:r>
          </w:p>
        </w:tc>
        <w:tc>
          <w:tcPr>
            <w:tcW w:w="2769" w:type="dxa"/>
            <w:vAlign w:val="center"/>
          </w:tcPr>
          <w:p w14:paraId="13133FA6" w14:textId="77777777" w:rsidR="0084644E" w:rsidRDefault="0084644E" w:rsidP="001E4361">
            <w:pPr>
              <w:spacing w:line="360" w:lineRule="auto"/>
              <w:jc w:val="center"/>
            </w:pPr>
            <w:r>
              <w:t>Bloomington Stock Centre</w:t>
            </w:r>
          </w:p>
        </w:tc>
        <w:tc>
          <w:tcPr>
            <w:tcW w:w="2348" w:type="dxa"/>
            <w:vAlign w:val="center"/>
          </w:tcPr>
          <w:p w14:paraId="647D86AA" w14:textId="5D71FCFB" w:rsidR="0084644E" w:rsidRDefault="0084644E" w:rsidP="001E4361">
            <w:pPr>
              <w:spacing w:line="360" w:lineRule="auto"/>
              <w:jc w:val="center"/>
            </w:pPr>
            <w:r>
              <w:fldChar w:fldCharType="begin"/>
            </w:r>
            <w:r w:rsidR="000A209C">
              <w:instrText xml:space="preserve"> ADDIN ZOTERO_ITEM CSL_CITATION {"citationID":"Wdz0kfgu","properties":{"formattedCitation":"(299)","plainCitation":"(299)","noteIndex":0},"citationItems":[{"id":1772,"uris":["http://zotero.org/users/952979/items/CRPV3H8H"],"uri":["http://zotero.org/users/952979/items/CRPV3H8H"],"itemData":{"id":1772,"type":"article-journal","title":"Green fluorescent protein as a vital marker and reporter of gene expression in Drosophila.","container-title":"Proceedings of the National Academy of Sciences of the United States of America","page":"7036-7040","volume":"92","issue":"15","source":"PubMed Central","abstract":"We have used the green fluorescent protein (GFP) from the jellyfish Aequorea victoria as a vital marker/reporter in Drosophila melanogaster. Transgenic flies were generated in which GFP was expressed under the transcriptional control of the yeast upstream activating sequence that is recognized by GAL4. These flies were crossed to several GAL4 enhancer trap lines, and expression of GFP was monitored in a variety of tissues during development using confocal microscopy. Here, we show that GFP could be detected in freshly dissected ovaries, imaginal discs, and the larval nervous system without prior fixation or the addition of substrates or antibodies. We also show that expression of GFP could be monitored in intact living embryos and larvae and in cultured egg chambers, allowing us to visualize dynamic changes in gene expression during real time.","ISSN":"0027-8424","note":"PMID: 7624365\nPMCID: PMC41466","journalAbbreviation":"Proc Natl Acad Sci U S A","author":[{"family":"Yeh","given":"E"},{"family":"Gustafson","given":"K"},{"family":"Boulianne","given":"G L"}],"issued":{"date-parts":[["1995",7,18]]}}}],"schema":"https://github.com/citation-style-language/schema/raw/master/csl-citation.json"} </w:instrText>
            </w:r>
            <w:r>
              <w:fldChar w:fldCharType="separate"/>
            </w:r>
            <w:r w:rsidR="004A1963" w:rsidRPr="004A1963">
              <w:rPr>
                <w:rFonts w:ascii="Calibri" w:hAnsi="Calibri"/>
              </w:rPr>
              <w:t>(299)</w:t>
            </w:r>
            <w:r>
              <w:fldChar w:fldCharType="end"/>
            </w:r>
          </w:p>
        </w:tc>
      </w:tr>
      <w:tr w:rsidR="0084644E" w14:paraId="6FAD4285" w14:textId="77777777" w:rsidTr="004B2ADE">
        <w:tc>
          <w:tcPr>
            <w:tcW w:w="2357" w:type="dxa"/>
            <w:vAlign w:val="center"/>
          </w:tcPr>
          <w:p w14:paraId="369028BA" w14:textId="77777777" w:rsidR="0084644E" w:rsidRPr="00D61B4E" w:rsidRDefault="0084644E" w:rsidP="001E4361">
            <w:pPr>
              <w:spacing w:line="360" w:lineRule="auto"/>
              <w:jc w:val="center"/>
              <w:rPr>
                <w:i/>
              </w:rPr>
            </w:pPr>
            <w:r w:rsidRPr="00D61B4E">
              <w:rPr>
                <w:i/>
              </w:rPr>
              <w:t>UAS-eGFP</w:t>
            </w:r>
          </w:p>
        </w:tc>
        <w:tc>
          <w:tcPr>
            <w:tcW w:w="1552" w:type="dxa"/>
            <w:vAlign w:val="center"/>
          </w:tcPr>
          <w:p w14:paraId="5377387E" w14:textId="77777777" w:rsidR="0084644E" w:rsidRDefault="0084644E" w:rsidP="001E4361">
            <w:pPr>
              <w:spacing w:line="360" w:lineRule="auto"/>
              <w:jc w:val="center"/>
            </w:pPr>
            <w:r>
              <w:t>2</w:t>
            </w:r>
          </w:p>
        </w:tc>
        <w:tc>
          <w:tcPr>
            <w:tcW w:w="2769" w:type="dxa"/>
            <w:vAlign w:val="center"/>
          </w:tcPr>
          <w:p w14:paraId="1FBF1A35" w14:textId="77777777" w:rsidR="0084644E" w:rsidRDefault="0084644E" w:rsidP="001E4361">
            <w:pPr>
              <w:spacing w:line="360" w:lineRule="auto"/>
              <w:jc w:val="center"/>
            </w:pPr>
            <w:r>
              <w:t>Gift from Martin Zeidler</w:t>
            </w:r>
          </w:p>
        </w:tc>
        <w:tc>
          <w:tcPr>
            <w:tcW w:w="2348" w:type="dxa"/>
            <w:vAlign w:val="center"/>
          </w:tcPr>
          <w:p w14:paraId="015D3455" w14:textId="77777777" w:rsidR="0084644E" w:rsidRDefault="0084644E" w:rsidP="001E4361">
            <w:pPr>
              <w:spacing w:line="360" w:lineRule="auto"/>
              <w:jc w:val="center"/>
            </w:pPr>
            <w:r>
              <w:t>unpublished</w:t>
            </w:r>
          </w:p>
        </w:tc>
      </w:tr>
      <w:tr w:rsidR="0084644E" w14:paraId="2875ECBF" w14:textId="77777777" w:rsidTr="004B2ADE">
        <w:tc>
          <w:tcPr>
            <w:tcW w:w="2357" w:type="dxa"/>
            <w:vAlign w:val="center"/>
          </w:tcPr>
          <w:p w14:paraId="64DDD782" w14:textId="77777777" w:rsidR="0084644E" w:rsidRPr="00D61B4E" w:rsidRDefault="0084644E" w:rsidP="001E4361">
            <w:pPr>
              <w:spacing w:line="360" w:lineRule="auto"/>
              <w:jc w:val="center"/>
              <w:rPr>
                <w:i/>
              </w:rPr>
            </w:pPr>
            <w:r w:rsidRPr="00D61B4E">
              <w:rPr>
                <w:i/>
              </w:rPr>
              <w:t>UAS-tdTom</w:t>
            </w:r>
          </w:p>
        </w:tc>
        <w:tc>
          <w:tcPr>
            <w:tcW w:w="1552" w:type="dxa"/>
            <w:vAlign w:val="center"/>
          </w:tcPr>
          <w:p w14:paraId="2DA190E3" w14:textId="77777777" w:rsidR="0084644E" w:rsidRDefault="0084644E" w:rsidP="001E4361">
            <w:pPr>
              <w:spacing w:line="360" w:lineRule="auto"/>
              <w:jc w:val="center"/>
            </w:pPr>
            <w:r>
              <w:t>2</w:t>
            </w:r>
          </w:p>
        </w:tc>
        <w:tc>
          <w:tcPr>
            <w:tcW w:w="2769" w:type="dxa"/>
            <w:vAlign w:val="center"/>
          </w:tcPr>
          <w:p w14:paraId="2A401534" w14:textId="77777777" w:rsidR="0084644E" w:rsidRDefault="0084644E" w:rsidP="001E4361">
            <w:pPr>
              <w:spacing w:line="360" w:lineRule="auto"/>
              <w:jc w:val="center"/>
            </w:pPr>
            <w:r>
              <w:t>Bloomington Stock Centre</w:t>
            </w:r>
          </w:p>
        </w:tc>
        <w:tc>
          <w:tcPr>
            <w:tcW w:w="2348" w:type="dxa"/>
            <w:vAlign w:val="center"/>
          </w:tcPr>
          <w:p w14:paraId="777A4354" w14:textId="77777777" w:rsidR="0084644E" w:rsidRDefault="0084644E" w:rsidP="001E4361">
            <w:pPr>
              <w:spacing w:line="360" w:lineRule="auto"/>
              <w:jc w:val="center"/>
            </w:pPr>
          </w:p>
        </w:tc>
      </w:tr>
      <w:tr w:rsidR="0084644E" w14:paraId="183C714F" w14:textId="77777777" w:rsidTr="004B2ADE">
        <w:trPr>
          <w:trHeight w:val="260"/>
        </w:trPr>
        <w:tc>
          <w:tcPr>
            <w:tcW w:w="2357" w:type="dxa"/>
            <w:vAlign w:val="center"/>
          </w:tcPr>
          <w:p w14:paraId="4F081F59" w14:textId="77777777" w:rsidR="0084644E" w:rsidRPr="00D61B4E" w:rsidRDefault="0084644E" w:rsidP="001E4361">
            <w:pPr>
              <w:spacing w:line="360" w:lineRule="auto"/>
              <w:jc w:val="center"/>
              <w:rPr>
                <w:i/>
              </w:rPr>
            </w:pPr>
            <w:r w:rsidRPr="00D61B4E">
              <w:rPr>
                <w:i/>
              </w:rPr>
              <w:lastRenderedPageBreak/>
              <w:t>P{srp-GMA}</w:t>
            </w:r>
          </w:p>
        </w:tc>
        <w:tc>
          <w:tcPr>
            <w:tcW w:w="1552" w:type="dxa"/>
            <w:vAlign w:val="center"/>
          </w:tcPr>
          <w:p w14:paraId="05A76982" w14:textId="77777777" w:rsidR="0084644E" w:rsidRDefault="0084644E" w:rsidP="001E4361">
            <w:pPr>
              <w:spacing w:line="360" w:lineRule="auto"/>
              <w:jc w:val="center"/>
            </w:pPr>
            <w:r>
              <w:t>2 and 3</w:t>
            </w:r>
          </w:p>
        </w:tc>
        <w:tc>
          <w:tcPr>
            <w:tcW w:w="2769" w:type="dxa"/>
            <w:vAlign w:val="center"/>
          </w:tcPr>
          <w:p w14:paraId="02876158" w14:textId="77777777" w:rsidR="0084644E" w:rsidRDefault="0084644E" w:rsidP="001E4361">
            <w:pPr>
              <w:spacing w:line="360" w:lineRule="auto"/>
              <w:jc w:val="center"/>
            </w:pPr>
            <w:r>
              <w:t>Bloomington Stock Centre</w:t>
            </w:r>
          </w:p>
        </w:tc>
        <w:tc>
          <w:tcPr>
            <w:tcW w:w="2348" w:type="dxa"/>
            <w:vAlign w:val="center"/>
          </w:tcPr>
          <w:p w14:paraId="1EAE1A87" w14:textId="79AB773C" w:rsidR="0084644E" w:rsidRDefault="0084644E" w:rsidP="001E4361">
            <w:pPr>
              <w:spacing w:line="360" w:lineRule="auto"/>
              <w:jc w:val="center"/>
            </w:pPr>
            <w:r>
              <w:fldChar w:fldCharType="begin"/>
            </w:r>
            <w:r w:rsidR="000A209C">
              <w:instrText xml:space="preserve"> ADDIN ZOTERO_ITEM CSL_CITATION {"citationID":"glW5GOR6","properties":{"formattedCitation":"(300)","plainCitation":"(300)","noteIndex":0},"citationItems":[{"id":1771,"uris":["http://zotero.org/users/952979/items/ILMB2KVX"],"uri":["http://zotero.org/users/952979/items/ILMB2KVX"],"itemData":{"id":1771,"type":"article-journal","title":"zipper Nonmuscle myosin-II functions downstream of PS2 integrin in Drosophila myogenesis and is necessary for myofibril formation","container-title":"Developmental Biology","page":"215-228","volume":"239","issue":"2","source":"PubMed","abstract":"Nonmuscle myosin-II is a key motor protein that drives cell shape change and cell movement. Here, we analyze the function of nonmuscle myosin-II during Drosophila embryonic myogenesis. We find that nonmuscle myosin-II and the adhesion molecule, PS2 integrin, colocalize at the developing muscle termini. In the paradigm emerging from cultured fibroblasts, nonmuscle actomyosin-II contractility, mediated by the small GTPase Rho, is required to cluster integrins at focal adhesions. In direct opposition to this model, we find that neither nonmuscle myosin-II nor RhoA appear to function in PS2 clustering. Instead, PS2 integrin is required for the maintenance of nonmuscle myosin-II localization and we show that the cytoplasmic tail of the beta(PS) integrin subunit is capable of mediating this PS2 integrin function. We show that embryos that lack zygotic expression of nonmuscle myosin-II fail to form striated myofibrils. In keeping with this, we demonstrate that a PS2 mutant that specifically disrupts myofibril formation is unable to mediate proper localization of nonmuscle myosin-II at the muscle termini. In contrast, embryos that lack RhoA function do generate striated muscles. Finally, we find that nonmuscle myosin-II localizes to the Z-line in mature larval muscle. We suggest that nonmuscle myosin-II functions at the muscle termini and the Z-line as an actin crosslinker and acts to maintain the structural integrity of the sarcomere.","DOI":"10.1006/dbio.2001.0452","ISSN":"0012-1606","note":"PMID: 11784030","journalAbbreviation":"Dev. Biol.","language":"eng","author":[{"family":"Bloor","given":"J. W."},{"family":"Kiehart","given":"D. P."}],"issued":{"date-parts":[["2001",11,15]]}}}],"schema":"https://github.com/citation-style-language/schema/raw/master/csl-citation.json"} </w:instrText>
            </w:r>
            <w:r>
              <w:fldChar w:fldCharType="separate"/>
            </w:r>
            <w:r w:rsidR="004A1963" w:rsidRPr="004A1963">
              <w:rPr>
                <w:rFonts w:ascii="Calibri" w:hAnsi="Calibri"/>
              </w:rPr>
              <w:t>(300)</w:t>
            </w:r>
            <w:r>
              <w:fldChar w:fldCharType="end"/>
            </w:r>
          </w:p>
        </w:tc>
      </w:tr>
      <w:tr w:rsidR="0084644E" w14:paraId="4FE5CD75" w14:textId="77777777" w:rsidTr="004B2ADE">
        <w:trPr>
          <w:trHeight w:val="260"/>
        </w:trPr>
        <w:tc>
          <w:tcPr>
            <w:tcW w:w="2357" w:type="dxa"/>
            <w:vAlign w:val="center"/>
          </w:tcPr>
          <w:p w14:paraId="61D39A05" w14:textId="77777777" w:rsidR="0084644E" w:rsidRPr="00D61B4E" w:rsidRDefault="0084644E" w:rsidP="001E4361">
            <w:pPr>
              <w:spacing w:line="360" w:lineRule="auto"/>
              <w:jc w:val="center"/>
              <w:rPr>
                <w:i/>
              </w:rPr>
            </w:pPr>
            <w:r w:rsidRPr="00D61B4E">
              <w:rPr>
                <w:i/>
              </w:rPr>
              <w:t>UAS-Stinger</w:t>
            </w:r>
          </w:p>
        </w:tc>
        <w:tc>
          <w:tcPr>
            <w:tcW w:w="1552" w:type="dxa"/>
            <w:vAlign w:val="center"/>
          </w:tcPr>
          <w:p w14:paraId="0DC8A61C" w14:textId="77777777" w:rsidR="0084644E" w:rsidRDefault="0084644E" w:rsidP="001E4361">
            <w:pPr>
              <w:spacing w:line="360" w:lineRule="auto"/>
              <w:jc w:val="center"/>
            </w:pPr>
            <w:r>
              <w:t>2</w:t>
            </w:r>
          </w:p>
        </w:tc>
        <w:tc>
          <w:tcPr>
            <w:tcW w:w="2769" w:type="dxa"/>
            <w:vAlign w:val="center"/>
          </w:tcPr>
          <w:p w14:paraId="6599300D" w14:textId="77777777" w:rsidR="0084644E" w:rsidRDefault="0084644E" w:rsidP="001E4361">
            <w:pPr>
              <w:spacing w:line="360" w:lineRule="auto"/>
              <w:jc w:val="center"/>
            </w:pPr>
            <w:r>
              <w:t>Gift from Andrew Lin</w:t>
            </w:r>
          </w:p>
        </w:tc>
        <w:tc>
          <w:tcPr>
            <w:tcW w:w="2348" w:type="dxa"/>
            <w:vAlign w:val="center"/>
          </w:tcPr>
          <w:p w14:paraId="40D53F2F" w14:textId="589AA20A" w:rsidR="0084644E" w:rsidRDefault="0084644E" w:rsidP="001E4361">
            <w:pPr>
              <w:spacing w:line="360" w:lineRule="auto"/>
              <w:jc w:val="center"/>
            </w:pPr>
            <w:r>
              <w:fldChar w:fldCharType="begin"/>
            </w:r>
            <w:r w:rsidR="000A209C">
              <w:instrText xml:space="preserve"> ADDIN ZOTERO_ITEM CSL_CITATION {"citationID":"10R9TzXf","properties":{"formattedCitation":"(301)","plainCitation":"(301)","noteIndex":0},"citationItems":[{"id":1629,"uris":["http://zotero.org/users/952979/items/XNF8XYGC"],"uri":["http://zotero.org/users/952979/items/XNF8XYGC"],"itemData":{"id":1629,"type":"article-journal","title":"GFP and beta-galactosidase transformation vectors for promoter/enhancer analysis in Drosophila","container-title":"BioTechniques","page":"726, 728, 730, 732","volume":"29","issue":"4","source":"PubMed","DOI":"10.2144/00294bm10","ISSN":"0736-6205","note":"PMID: 11056799","journalAbbreviation":"BioTechniques","language":"eng","author":[{"family":"Barolo","given":"S."},{"family":"Carver","given":"L. A."},{"family":"Posakony","given":"J. W."}],"issued":{"date-parts":[["2000",10]]}}}],"schema":"https://github.com/citation-style-language/schema/raw/master/csl-citation.json"} </w:instrText>
            </w:r>
            <w:r>
              <w:fldChar w:fldCharType="separate"/>
            </w:r>
            <w:r w:rsidR="004A1963" w:rsidRPr="004A1963">
              <w:rPr>
                <w:rFonts w:ascii="Calibri" w:hAnsi="Calibri"/>
              </w:rPr>
              <w:t>(301)</w:t>
            </w:r>
            <w:r>
              <w:fldChar w:fldCharType="end"/>
            </w:r>
          </w:p>
        </w:tc>
      </w:tr>
      <w:tr w:rsidR="0084644E" w14:paraId="4C8137B7" w14:textId="77777777" w:rsidTr="004B2ADE">
        <w:trPr>
          <w:trHeight w:val="260"/>
        </w:trPr>
        <w:tc>
          <w:tcPr>
            <w:tcW w:w="2357" w:type="dxa"/>
            <w:vAlign w:val="center"/>
          </w:tcPr>
          <w:p w14:paraId="3E07E41C" w14:textId="77777777" w:rsidR="0084644E" w:rsidRPr="00D61B4E" w:rsidRDefault="0084644E" w:rsidP="001E4361">
            <w:pPr>
              <w:spacing w:line="360" w:lineRule="auto"/>
              <w:jc w:val="center"/>
              <w:rPr>
                <w:i/>
              </w:rPr>
            </w:pPr>
            <w:r w:rsidRPr="00D61B4E">
              <w:rPr>
                <w:i/>
              </w:rPr>
              <w:t>SrpHemo-H2A::3xmCherry</w:t>
            </w:r>
          </w:p>
        </w:tc>
        <w:tc>
          <w:tcPr>
            <w:tcW w:w="1552" w:type="dxa"/>
            <w:vAlign w:val="center"/>
          </w:tcPr>
          <w:p w14:paraId="4FC6E182" w14:textId="77777777" w:rsidR="0084644E" w:rsidRDefault="0084644E" w:rsidP="001E4361">
            <w:pPr>
              <w:spacing w:line="360" w:lineRule="auto"/>
              <w:jc w:val="center"/>
            </w:pPr>
            <w:r>
              <w:t>2</w:t>
            </w:r>
          </w:p>
        </w:tc>
        <w:tc>
          <w:tcPr>
            <w:tcW w:w="2769" w:type="dxa"/>
            <w:vAlign w:val="center"/>
          </w:tcPr>
          <w:p w14:paraId="1BC6222D" w14:textId="77777777" w:rsidR="0084644E" w:rsidRDefault="0084644E" w:rsidP="001E4361">
            <w:pPr>
              <w:spacing w:line="360" w:lineRule="auto"/>
              <w:jc w:val="center"/>
            </w:pPr>
            <w:r>
              <w:t>Gift from Tom Millard</w:t>
            </w:r>
          </w:p>
        </w:tc>
        <w:tc>
          <w:tcPr>
            <w:tcW w:w="2348" w:type="dxa"/>
            <w:vAlign w:val="center"/>
          </w:tcPr>
          <w:p w14:paraId="1B19EC0C" w14:textId="42D1056F" w:rsidR="0084644E" w:rsidRDefault="0084644E" w:rsidP="001E4361">
            <w:pPr>
              <w:spacing w:line="360" w:lineRule="auto"/>
              <w:jc w:val="center"/>
            </w:pPr>
            <w:r>
              <w:fldChar w:fldCharType="begin"/>
            </w:r>
            <w:r w:rsidR="000A209C">
              <w:instrText xml:space="preserve"> ADDIN ZOTERO_ITEM CSL_CITATION {"citationID":"GTI93v4F","properties":{"formattedCitation":"(163)","plainCitation":"(163)","noteIndex":0},"citationItems":[{"id":26,"uris":["http://zotero.org/users/952979/items/TZD54I77"],"uri":["http://zotero.org/users/952979/items/TZD54I77"],"itemData":{"id":26,"type":"article-journal","title":"Tools Allowing Independent Visualization and Genetic Manipulation of Drosophilamelanogaster Macrophages and Surrounding Tissues","container-title":"G3 (Bethesda, Md.)","source":"PubMed","abstract":"Drosophila melanogaster plasmatocytes, the phagocytic cells among hemocytes, are essential for immune responses, but also play key roles from early development to death through their interactions with other cell types. They regulate homeostasis and signaling during development, stem cell proliferation, metabolism, cancer, wound responses and aging, displaying intriguing molecular and functional conservation with vertebrate macrophages. Given the relative ease of genetics in Drosophila compared to vertebrates, tools permitting visualization and genetic manipulation of plasmatocytes and surrounding tissues independently at all stages would greatly aid in fully understanding these processes, but are lacking. Here we describe a comprehensive set of transgenic lines that allow this. These include extremely brightly fluorescing mCherry-based lines that allow GAL4-independent visualization of plasmatocyte nuclei, cytoplasm or actin cytoskeleton from embryonic Stage 8 through adulthood in both live and fixed samples even as heterozygotes, greatly facilitating screening. These lines allow live visualization and tracking of embryonic plasmatocytes, as well as larval plasmatocytes residing at the body wall or flowing with the surrounding hemolymph. With confocal imaging, interactions of plasmatocytes and inner tissues can be seen in live or fixed embryos, larvae and adults. They permit efficient GAL4-independent FACS analysis/sorting of plasmatocytes throughout life. To facilitate genetic analysis of reciprocal signaling, we have also made a plasmatocyte-expressing QF2 line that in combination with extant GAL4 drivers allows independent genetic manipulation of both plasmatocytes and surrounding tissues, and a GAL80 line that blocks GAL4 drivers from affecting plasmatocytes, both of which function from the early embryo to the adult.","DOI":"10.1534/g3.117.300452","ISSN":"2160-1836","note":"PMID: 29321168","journalAbbreviation":"G3 (Bethesda)","language":"eng","author":[{"family":"Gyoergy","given":"Attila"},{"family":"Roblek","given":"Marko"},{"family":"Ratheesh","given":"Aparna"},{"family":"Valoskova","given":"Katarina"},{"family":"Belyaeva","given":"Vera"},{"family":"Wachner","given":"Stephanie"},{"family":"Matsubayashi","given":"Yutaka"},{"family":"Sánchez-Sánchez","given":"Besaiz J."},{"family":"Stramer","given":"Brian"},{"family":"Siekhaus","given":"Daria E."}],"issued":{"date-parts":[["2018",1,10]]}}}],"schema":"https://github.com/citation-style-language/schema/raw/master/csl-citation.json"} </w:instrText>
            </w:r>
            <w:r>
              <w:fldChar w:fldCharType="separate"/>
            </w:r>
            <w:r w:rsidR="004A1963" w:rsidRPr="004A1963">
              <w:rPr>
                <w:rFonts w:ascii="Calibri" w:hAnsi="Calibri"/>
              </w:rPr>
              <w:t>(163)</w:t>
            </w:r>
            <w:r>
              <w:fldChar w:fldCharType="end"/>
            </w:r>
          </w:p>
        </w:tc>
      </w:tr>
    </w:tbl>
    <w:p w14:paraId="14433988" w14:textId="77777777" w:rsidR="0084644E" w:rsidRPr="00974436" w:rsidRDefault="0084644E" w:rsidP="0084644E">
      <w:pPr>
        <w:spacing w:line="360" w:lineRule="auto"/>
      </w:pPr>
    </w:p>
    <w:p w14:paraId="6F6F5BA0" w14:textId="77777777" w:rsidR="0084644E" w:rsidRPr="00E956CD" w:rsidRDefault="0084644E" w:rsidP="0084644E">
      <w:pPr>
        <w:pStyle w:val="NoSpacing"/>
        <w:rPr>
          <w:b/>
        </w:rPr>
      </w:pPr>
    </w:p>
    <w:tbl>
      <w:tblPr>
        <w:tblW w:w="8916"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5"/>
        <w:gridCol w:w="1559"/>
        <w:gridCol w:w="2694"/>
        <w:gridCol w:w="2268"/>
      </w:tblGrid>
      <w:tr w:rsidR="00B46718" w14:paraId="7A30D98E" w14:textId="77777777" w:rsidTr="004B2ADE">
        <w:tc>
          <w:tcPr>
            <w:tcW w:w="8916" w:type="dxa"/>
            <w:gridSpan w:val="4"/>
            <w:vAlign w:val="center"/>
          </w:tcPr>
          <w:p w14:paraId="548129E3" w14:textId="5AE7BB5F" w:rsidR="00B46718" w:rsidRPr="00A83999" w:rsidRDefault="00B46718" w:rsidP="001E4361">
            <w:pPr>
              <w:pStyle w:val="Thesisnormal"/>
              <w:jc w:val="center"/>
              <w:rPr>
                <w:b/>
                <w:u w:val="single"/>
              </w:rPr>
            </w:pPr>
            <w:r w:rsidRPr="006A45E9">
              <w:rPr>
                <w:b/>
                <w:u w:val="single"/>
              </w:rPr>
              <w:t>Table 2.3 Other UAS lines used in this study</w:t>
            </w:r>
          </w:p>
        </w:tc>
      </w:tr>
      <w:tr w:rsidR="00B46718" w14:paraId="43322FE9" w14:textId="77777777" w:rsidTr="004B2ADE">
        <w:tc>
          <w:tcPr>
            <w:tcW w:w="2395" w:type="dxa"/>
            <w:vAlign w:val="center"/>
          </w:tcPr>
          <w:p w14:paraId="0435B34A" w14:textId="284E8419" w:rsidR="00B46718" w:rsidRDefault="00B46718" w:rsidP="001E4361">
            <w:pPr>
              <w:pStyle w:val="Thesisnormal"/>
              <w:jc w:val="center"/>
              <w:rPr>
                <w:b/>
                <w:u w:val="single"/>
              </w:rPr>
            </w:pPr>
            <w:r>
              <w:rPr>
                <w:b/>
                <w:u w:val="single"/>
              </w:rPr>
              <w:t>Genotype</w:t>
            </w:r>
          </w:p>
        </w:tc>
        <w:tc>
          <w:tcPr>
            <w:tcW w:w="1559" w:type="dxa"/>
            <w:vAlign w:val="center"/>
          </w:tcPr>
          <w:p w14:paraId="1B2BBEB4" w14:textId="77777777" w:rsidR="00B46718" w:rsidRPr="00A83999" w:rsidRDefault="00B46718" w:rsidP="001E4361">
            <w:pPr>
              <w:pStyle w:val="Thesisnormal"/>
              <w:jc w:val="center"/>
              <w:rPr>
                <w:b/>
                <w:u w:val="single"/>
              </w:rPr>
            </w:pPr>
            <w:r>
              <w:rPr>
                <w:b/>
                <w:u w:val="single"/>
              </w:rPr>
              <w:t>Chromosome</w:t>
            </w:r>
          </w:p>
        </w:tc>
        <w:tc>
          <w:tcPr>
            <w:tcW w:w="2694" w:type="dxa"/>
            <w:vAlign w:val="center"/>
          </w:tcPr>
          <w:p w14:paraId="783FC84B" w14:textId="77777777" w:rsidR="00B46718" w:rsidRPr="00A83999" w:rsidRDefault="00B46718" w:rsidP="001E4361">
            <w:pPr>
              <w:pStyle w:val="Thesisnormal"/>
              <w:jc w:val="center"/>
              <w:rPr>
                <w:b/>
                <w:u w:val="single"/>
              </w:rPr>
            </w:pPr>
            <w:r w:rsidRPr="00A83999">
              <w:rPr>
                <w:b/>
                <w:u w:val="single"/>
              </w:rPr>
              <w:t>Supplier</w:t>
            </w:r>
          </w:p>
        </w:tc>
        <w:tc>
          <w:tcPr>
            <w:tcW w:w="2268" w:type="dxa"/>
            <w:vAlign w:val="center"/>
          </w:tcPr>
          <w:p w14:paraId="41F3DB55" w14:textId="77777777" w:rsidR="00B46718" w:rsidRPr="00A83999" w:rsidRDefault="00B46718" w:rsidP="001E4361">
            <w:pPr>
              <w:pStyle w:val="Thesisnormal"/>
              <w:jc w:val="center"/>
              <w:rPr>
                <w:b/>
                <w:u w:val="single"/>
              </w:rPr>
            </w:pPr>
            <w:r w:rsidRPr="00A83999">
              <w:rPr>
                <w:b/>
                <w:u w:val="single"/>
              </w:rPr>
              <w:t>Reference</w:t>
            </w:r>
          </w:p>
        </w:tc>
      </w:tr>
      <w:tr w:rsidR="00B46718" w14:paraId="078F0652" w14:textId="77777777" w:rsidTr="004B2ADE">
        <w:tc>
          <w:tcPr>
            <w:tcW w:w="2395" w:type="dxa"/>
            <w:vAlign w:val="center"/>
          </w:tcPr>
          <w:p w14:paraId="6FBD4378" w14:textId="1538342E" w:rsidR="00B46718" w:rsidRPr="00D61B4E" w:rsidRDefault="00B46718" w:rsidP="00D61B4E">
            <w:pPr>
              <w:spacing w:line="360" w:lineRule="auto"/>
              <w:jc w:val="center"/>
              <w:rPr>
                <w:i/>
              </w:rPr>
            </w:pPr>
            <w:r w:rsidRPr="00D61B4E">
              <w:rPr>
                <w:i/>
              </w:rPr>
              <w:t>UAS-RNAi-Keap1</w:t>
            </w:r>
          </w:p>
        </w:tc>
        <w:tc>
          <w:tcPr>
            <w:tcW w:w="1559" w:type="dxa"/>
            <w:vAlign w:val="center"/>
          </w:tcPr>
          <w:p w14:paraId="4AD253D8" w14:textId="77777777" w:rsidR="00B46718" w:rsidRDefault="00B46718" w:rsidP="001E4361">
            <w:pPr>
              <w:spacing w:line="360" w:lineRule="auto"/>
              <w:jc w:val="center"/>
            </w:pPr>
            <w:r>
              <w:t>2</w:t>
            </w:r>
          </w:p>
        </w:tc>
        <w:tc>
          <w:tcPr>
            <w:tcW w:w="2694" w:type="dxa"/>
            <w:vAlign w:val="center"/>
          </w:tcPr>
          <w:p w14:paraId="01E76C0D" w14:textId="77777777" w:rsidR="00B46718" w:rsidRDefault="00B46718" w:rsidP="001E4361">
            <w:pPr>
              <w:spacing w:line="360" w:lineRule="auto"/>
              <w:jc w:val="center"/>
            </w:pPr>
            <w:r>
              <w:t>Bloomington Stock Centre</w:t>
            </w:r>
          </w:p>
        </w:tc>
        <w:tc>
          <w:tcPr>
            <w:tcW w:w="2268" w:type="dxa"/>
            <w:vAlign w:val="center"/>
          </w:tcPr>
          <w:p w14:paraId="2628D563" w14:textId="74ABDECC" w:rsidR="00B46718" w:rsidRDefault="00B46718" w:rsidP="001E4361">
            <w:pPr>
              <w:spacing w:line="360" w:lineRule="auto"/>
              <w:jc w:val="center"/>
            </w:pPr>
            <w:r>
              <w:fldChar w:fldCharType="begin"/>
            </w:r>
            <w:r w:rsidR="000A209C">
              <w:instrText xml:space="preserve"> ADDIN ZOTERO_ITEM CSL_CITATION {"citationID":"NS97GQkW","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0CC23305" w14:textId="77777777" w:rsidTr="004B2ADE">
        <w:trPr>
          <w:trHeight w:val="260"/>
        </w:trPr>
        <w:tc>
          <w:tcPr>
            <w:tcW w:w="2395" w:type="dxa"/>
            <w:vAlign w:val="center"/>
          </w:tcPr>
          <w:p w14:paraId="29336439" w14:textId="506BEAE6" w:rsidR="00B46718" w:rsidRPr="00D61B4E" w:rsidRDefault="00B46718" w:rsidP="001E4361">
            <w:pPr>
              <w:spacing w:line="360" w:lineRule="auto"/>
              <w:jc w:val="center"/>
              <w:rPr>
                <w:i/>
              </w:rPr>
            </w:pPr>
            <w:r w:rsidRPr="00D61B4E">
              <w:rPr>
                <w:i/>
              </w:rPr>
              <w:t>UAS-RNAi-pdp</w:t>
            </w:r>
          </w:p>
        </w:tc>
        <w:tc>
          <w:tcPr>
            <w:tcW w:w="1559" w:type="dxa"/>
            <w:vAlign w:val="center"/>
          </w:tcPr>
          <w:p w14:paraId="33989FAC" w14:textId="77777777" w:rsidR="00B46718" w:rsidRDefault="00B46718" w:rsidP="001E4361">
            <w:pPr>
              <w:spacing w:line="360" w:lineRule="auto"/>
              <w:jc w:val="center"/>
            </w:pPr>
            <w:r>
              <w:t>2</w:t>
            </w:r>
          </w:p>
        </w:tc>
        <w:tc>
          <w:tcPr>
            <w:tcW w:w="2694" w:type="dxa"/>
            <w:vAlign w:val="center"/>
          </w:tcPr>
          <w:p w14:paraId="01324F79" w14:textId="77777777" w:rsidR="00B46718" w:rsidRDefault="00B46718" w:rsidP="001E4361">
            <w:pPr>
              <w:spacing w:line="360" w:lineRule="auto"/>
              <w:jc w:val="center"/>
            </w:pPr>
            <w:r>
              <w:t>Bloomington Stock Centre</w:t>
            </w:r>
          </w:p>
        </w:tc>
        <w:tc>
          <w:tcPr>
            <w:tcW w:w="2268" w:type="dxa"/>
            <w:vAlign w:val="center"/>
          </w:tcPr>
          <w:p w14:paraId="021F7B1A" w14:textId="6D1935A6" w:rsidR="00B46718" w:rsidRDefault="00B46718" w:rsidP="001E4361">
            <w:pPr>
              <w:spacing w:line="360" w:lineRule="auto"/>
              <w:jc w:val="center"/>
            </w:pPr>
            <w:r>
              <w:fldChar w:fldCharType="begin"/>
            </w:r>
            <w:r w:rsidR="000A209C">
              <w:instrText xml:space="preserve"> ADDIN ZOTERO_ITEM CSL_CITATION {"citationID":"Jqm188xA","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1613CBF4" w14:textId="77777777" w:rsidTr="004B2ADE">
        <w:trPr>
          <w:trHeight w:val="260"/>
        </w:trPr>
        <w:tc>
          <w:tcPr>
            <w:tcW w:w="2395" w:type="dxa"/>
            <w:vAlign w:val="center"/>
          </w:tcPr>
          <w:p w14:paraId="6187FED4" w14:textId="3EB29134" w:rsidR="00B46718" w:rsidRPr="00D61B4E" w:rsidRDefault="00B46718" w:rsidP="00D61B4E">
            <w:pPr>
              <w:spacing w:line="360" w:lineRule="auto"/>
              <w:jc w:val="center"/>
              <w:rPr>
                <w:i/>
              </w:rPr>
            </w:pPr>
            <w:r w:rsidRPr="00D61B4E">
              <w:rPr>
                <w:i/>
              </w:rPr>
              <w:t>UAS-RNAi-ND20</w:t>
            </w:r>
          </w:p>
        </w:tc>
        <w:tc>
          <w:tcPr>
            <w:tcW w:w="1559" w:type="dxa"/>
            <w:vAlign w:val="center"/>
          </w:tcPr>
          <w:p w14:paraId="3947FC88" w14:textId="77777777" w:rsidR="00B46718" w:rsidRDefault="00B46718" w:rsidP="001E4361">
            <w:pPr>
              <w:spacing w:line="360" w:lineRule="auto"/>
              <w:jc w:val="center"/>
            </w:pPr>
            <w:r>
              <w:t>2</w:t>
            </w:r>
          </w:p>
        </w:tc>
        <w:tc>
          <w:tcPr>
            <w:tcW w:w="2694" w:type="dxa"/>
            <w:vAlign w:val="center"/>
          </w:tcPr>
          <w:p w14:paraId="19AFCE5E" w14:textId="77777777" w:rsidR="00B46718" w:rsidRDefault="00B46718" w:rsidP="001E4361">
            <w:pPr>
              <w:spacing w:line="360" w:lineRule="auto"/>
              <w:jc w:val="center"/>
            </w:pPr>
            <w:r>
              <w:t>Bloomington Stock Centre</w:t>
            </w:r>
          </w:p>
        </w:tc>
        <w:tc>
          <w:tcPr>
            <w:tcW w:w="2268" w:type="dxa"/>
            <w:vAlign w:val="center"/>
          </w:tcPr>
          <w:p w14:paraId="088CA147" w14:textId="088C4F76" w:rsidR="00B46718" w:rsidRDefault="00B46718" w:rsidP="001E4361">
            <w:pPr>
              <w:spacing w:line="360" w:lineRule="auto"/>
              <w:jc w:val="center"/>
            </w:pPr>
            <w:r>
              <w:fldChar w:fldCharType="begin"/>
            </w:r>
            <w:r w:rsidR="000A209C">
              <w:instrText xml:space="preserve"> ADDIN ZOTERO_ITEM CSL_CITATION {"citationID":"YgvoBOnb","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561481D7" w14:textId="77777777" w:rsidTr="004B2ADE">
        <w:trPr>
          <w:trHeight w:val="260"/>
        </w:trPr>
        <w:tc>
          <w:tcPr>
            <w:tcW w:w="2395" w:type="dxa"/>
            <w:vAlign w:val="center"/>
          </w:tcPr>
          <w:p w14:paraId="37103E30" w14:textId="63795B3E" w:rsidR="00B46718" w:rsidRPr="00D61B4E" w:rsidRDefault="00B46718" w:rsidP="00D61B4E">
            <w:pPr>
              <w:spacing w:line="360" w:lineRule="auto"/>
              <w:jc w:val="center"/>
              <w:rPr>
                <w:i/>
              </w:rPr>
            </w:pPr>
            <w:r w:rsidRPr="00D61B4E">
              <w:rPr>
                <w:i/>
              </w:rPr>
              <w:t>UAS-RNAi-ND75</w:t>
            </w:r>
          </w:p>
        </w:tc>
        <w:tc>
          <w:tcPr>
            <w:tcW w:w="1559" w:type="dxa"/>
            <w:vAlign w:val="center"/>
          </w:tcPr>
          <w:p w14:paraId="052E8272" w14:textId="77777777" w:rsidR="00B46718" w:rsidRDefault="00B46718" w:rsidP="001E4361">
            <w:pPr>
              <w:spacing w:line="360" w:lineRule="auto"/>
              <w:jc w:val="center"/>
            </w:pPr>
            <w:r>
              <w:t>2</w:t>
            </w:r>
          </w:p>
        </w:tc>
        <w:tc>
          <w:tcPr>
            <w:tcW w:w="2694" w:type="dxa"/>
            <w:vAlign w:val="center"/>
          </w:tcPr>
          <w:p w14:paraId="644EFC12" w14:textId="77777777" w:rsidR="00B46718" w:rsidRDefault="00B46718" w:rsidP="001E4361">
            <w:pPr>
              <w:spacing w:line="360" w:lineRule="auto"/>
              <w:jc w:val="center"/>
            </w:pPr>
            <w:r>
              <w:t>Bloomington Stock Centre</w:t>
            </w:r>
          </w:p>
        </w:tc>
        <w:tc>
          <w:tcPr>
            <w:tcW w:w="2268" w:type="dxa"/>
            <w:vAlign w:val="center"/>
          </w:tcPr>
          <w:p w14:paraId="45292245" w14:textId="6700ADAE" w:rsidR="00B46718" w:rsidRDefault="00B46718" w:rsidP="001E4361">
            <w:pPr>
              <w:spacing w:line="360" w:lineRule="auto"/>
              <w:jc w:val="center"/>
            </w:pPr>
            <w:r>
              <w:fldChar w:fldCharType="begin"/>
            </w:r>
            <w:r w:rsidR="000A209C">
              <w:instrText xml:space="preserve"> ADDIN ZOTERO_ITEM CSL_CITATION {"citationID":"oDQLJuFc","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226A4637" w14:textId="77777777" w:rsidTr="004B2ADE">
        <w:trPr>
          <w:trHeight w:val="260"/>
        </w:trPr>
        <w:tc>
          <w:tcPr>
            <w:tcW w:w="2395" w:type="dxa"/>
            <w:vAlign w:val="center"/>
          </w:tcPr>
          <w:p w14:paraId="2252D843" w14:textId="0AC0B79B" w:rsidR="00B46718" w:rsidRPr="00D61B4E" w:rsidRDefault="00B46718" w:rsidP="00D61B4E">
            <w:pPr>
              <w:spacing w:line="360" w:lineRule="auto"/>
              <w:jc w:val="center"/>
              <w:rPr>
                <w:i/>
              </w:rPr>
            </w:pPr>
            <w:r w:rsidRPr="00D61B4E">
              <w:rPr>
                <w:i/>
              </w:rPr>
              <w:t>UAS-RNAi-GSS</w:t>
            </w:r>
          </w:p>
        </w:tc>
        <w:tc>
          <w:tcPr>
            <w:tcW w:w="1559" w:type="dxa"/>
            <w:vAlign w:val="center"/>
          </w:tcPr>
          <w:p w14:paraId="5F3F4998" w14:textId="77777777" w:rsidR="00B46718" w:rsidRDefault="00B46718" w:rsidP="001E4361">
            <w:pPr>
              <w:spacing w:line="360" w:lineRule="auto"/>
              <w:jc w:val="center"/>
            </w:pPr>
            <w:r>
              <w:t>2</w:t>
            </w:r>
          </w:p>
        </w:tc>
        <w:tc>
          <w:tcPr>
            <w:tcW w:w="2694" w:type="dxa"/>
            <w:vAlign w:val="center"/>
          </w:tcPr>
          <w:p w14:paraId="19F74275" w14:textId="77777777" w:rsidR="00B46718" w:rsidRDefault="00B46718" w:rsidP="001E4361">
            <w:pPr>
              <w:spacing w:line="360" w:lineRule="auto"/>
              <w:jc w:val="center"/>
            </w:pPr>
            <w:r>
              <w:t>Bloomington Stock Centre</w:t>
            </w:r>
          </w:p>
        </w:tc>
        <w:tc>
          <w:tcPr>
            <w:tcW w:w="2268" w:type="dxa"/>
            <w:vAlign w:val="center"/>
          </w:tcPr>
          <w:p w14:paraId="3DBD4E1B" w14:textId="6D5AB97E" w:rsidR="00B46718" w:rsidRDefault="00B46718" w:rsidP="001E4361">
            <w:pPr>
              <w:spacing w:line="360" w:lineRule="auto"/>
              <w:jc w:val="center"/>
            </w:pPr>
            <w:r>
              <w:fldChar w:fldCharType="begin"/>
            </w:r>
            <w:r w:rsidR="000A209C">
              <w:instrText xml:space="preserve"> ADDIN ZOTERO_ITEM CSL_CITATION {"citationID":"6uh9dgDD","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6855914F" w14:textId="77777777" w:rsidTr="004B2ADE">
        <w:trPr>
          <w:trHeight w:val="260"/>
        </w:trPr>
        <w:tc>
          <w:tcPr>
            <w:tcW w:w="2395" w:type="dxa"/>
            <w:vAlign w:val="center"/>
          </w:tcPr>
          <w:p w14:paraId="44E942CB" w14:textId="1E506F4E" w:rsidR="00B46718" w:rsidRPr="00D61B4E" w:rsidRDefault="00B46718" w:rsidP="00D61B4E">
            <w:pPr>
              <w:spacing w:line="360" w:lineRule="auto"/>
              <w:jc w:val="center"/>
              <w:rPr>
                <w:i/>
              </w:rPr>
            </w:pPr>
            <w:r w:rsidRPr="00D61B4E">
              <w:rPr>
                <w:i/>
              </w:rPr>
              <w:t>UAS-RNAi-pdhA</w:t>
            </w:r>
          </w:p>
        </w:tc>
        <w:tc>
          <w:tcPr>
            <w:tcW w:w="1559" w:type="dxa"/>
            <w:vAlign w:val="center"/>
          </w:tcPr>
          <w:p w14:paraId="43B4426F" w14:textId="77777777" w:rsidR="00B46718" w:rsidRDefault="00B46718" w:rsidP="001E4361">
            <w:pPr>
              <w:spacing w:line="360" w:lineRule="auto"/>
              <w:jc w:val="center"/>
            </w:pPr>
            <w:r>
              <w:t>2</w:t>
            </w:r>
          </w:p>
        </w:tc>
        <w:tc>
          <w:tcPr>
            <w:tcW w:w="2694" w:type="dxa"/>
            <w:vAlign w:val="center"/>
          </w:tcPr>
          <w:p w14:paraId="75656A3F" w14:textId="77777777" w:rsidR="00B46718" w:rsidRDefault="00B46718" w:rsidP="001E4361">
            <w:pPr>
              <w:spacing w:line="360" w:lineRule="auto"/>
              <w:jc w:val="center"/>
            </w:pPr>
            <w:r>
              <w:t>Bloomington Stock Centre</w:t>
            </w:r>
          </w:p>
        </w:tc>
        <w:tc>
          <w:tcPr>
            <w:tcW w:w="2268" w:type="dxa"/>
            <w:vAlign w:val="center"/>
          </w:tcPr>
          <w:p w14:paraId="4EA9EF7E" w14:textId="74A3CC21" w:rsidR="00B46718" w:rsidRDefault="00B46718" w:rsidP="001E4361">
            <w:pPr>
              <w:spacing w:line="360" w:lineRule="auto"/>
              <w:jc w:val="center"/>
            </w:pPr>
            <w:r>
              <w:fldChar w:fldCharType="begin"/>
            </w:r>
            <w:r w:rsidR="000A209C">
              <w:instrText xml:space="preserve"> ADDIN ZOTERO_ITEM CSL_CITATION {"citationID":"935eBfGP","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62898B23" w14:textId="77777777" w:rsidTr="004B2ADE">
        <w:trPr>
          <w:trHeight w:val="260"/>
        </w:trPr>
        <w:tc>
          <w:tcPr>
            <w:tcW w:w="2395" w:type="dxa"/>
            <w:vAlign w:val="center"/>
          </w:tcPr>
          <w:p w14:paraId="65555335" w14:textId="17108448" w:rsidR="00B46718" w:rsidRPr="00D61B4E" w:rsidRDefault="00B46718" w:rsidP="001E4361">
            <w:pPr>
              <w:spacing w:line="360" w:lineRule="auto"/>
              <w:jc w:val="center"/>
              <w:rPr>
                <w:i/>
              </w:rPr>
            </w:pPr>
            <w:r w:rsidRPr="00D61B4E">
              <w:rPr>
                <w:i/>
              </w:rPr>
              <w:t>UAS-RNAi-HexA</w:t>
            </w:r>
          </w:p>
        </w:tc>
        <w:tc>
          <w:tcPr>
            <w:tcW w:w="1559" w:type="dxa"/>
            <w:vAlign w:val="center"/>
          </w:tcPr>
          <w:p w14:paraId="1565F3F8" w14:textId="77777777" w:rsidR="00B46718" w:rsidRDefault="00B46718" w:rsidP="001E4361">
            <w:pPr>
              <w:spacing w:line="360" w:lineRule="auto"/>
              <w:jc w:val="center"/>
            </w:pPr>
            <w:r>
              <w:t>2</w:t>
            </w:r>
          </w:p>
        </w:tc>
        <w:tc>
          <w:tcPr>
            <w:tcW w:w="2694" w:type="dxa"/>
            <w:vAlign w:val="center"/>
          </w:tcPr>
          <w:p w14:paraId="034D3129" w14:textId="77777777" w:rsidR="00B46718" w:rsidRDefault="00B46718" w:rsidP="001E4361">
            <w:pPr>
              <w:spacing w:line="360" w:lineRule="auto"/>
              <w:jc w:val="center"/>
            </w:pPr>
            <w:r>
              <w:t>Bloomington Stock Centre</w:t>
            </w:r>
          </w:p>
        </w:tc>
        <w:tc>
          <w:tcPr>
            <w:tcW w:w="2268" w:type="dxa"/>
            <w:vAlign w:val="center"/>
          </w:tcPr>
          <w:p w14:paraId="4363B0FC" w14:textId="63E239E7" w:rsidR="00B46718" w:rsidRDefault="00B46718" w:rsidP="001E4361">
            <w:pPr>
              <w:spacing w:line="360" w:lineRule="auto"/>
              <w:jc w:val="center"/>
            </w:pPr>
            <w:r>
              <w:fldChar w:fldCharType="begin"/>
            </w:r>
            <w:r w:rsidR="000A209C">
              <w:instrText xml:space="preserve"> ADDIN ZOTERO_ITEM CSL_CITATION {"citationID":"UpfHdGqf","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4CC4FE8F" w14:textId="77777777" w:rsidTr="004B2ADE">
        <w:trPr>
          <w:trHeight w:val="260"/>
        </w:trPr>
        <w:tc>
          <w:tcPr>
            <w:tcW w:w="2395" w:type="dxa"/>
            <w:vAlign w:val="center"/>
          </w:tcPr>
          <w:p w14:paraId="4445B62E" w14:textId="6B9967A3" w:rsidR="00B46718" w:rsidRPr="00D61B4E" w:rsidRDefault="00B46718" w:rsidP="001E4361">
            <w:pPr>
              <w:spacing w:line="360" w:lineRule="auto"/>
              <w:jc w:val="center"/>
              <w:rPr>
                <w:i/>
              </w:rPr>
            </w:pPr>
            <w:r w:rsidRPr="00D61B4E">
              <w:rPr>
                <w:i/>
              </w:rPr>
              <w:t>UAS-RNAi-Arg</w:t>
            </w:r>
          </w:p>
        </w:tc>
        <w:tc>
          <w:tcPr>
            <w:tcW w:w="1559" w:type="dxa"/>
            <w:vAlign w:val="center"/>
          </w:tcPr>
          <w:p w14:paraId="416AECE2" w14:textId="77777777" w:rsidR="00B46718" w:rsidRDefault="00B46718" w:rsidP="001E4361">
            <w:pPr>
              <w:spacing w:line="360" w:lineRule="auto"/>
              <w:jc w:val="center"/>
            </w:pPr>
            <w:r>
              <w:t>2</w:t>
            </w:r>
          </w:p>
        </w:tc>
        <w:tc>
          <w:tcPr>
            <w:tcW w:w="2694" w:type="dxa"/>
            <w:vAlign w:val="center"/>
          </w:tcPr>
          <w:p w14:paraId="3E0E82B4" w14:textId="77777777" w:rsidR="00B46718" w:rsidRDefault="00B46718" w:rsidP="001E4361">
            <w:pPr>
              <w:spacing w:line="360" w:lineRule="auto"/>
              <w:jc w:val="center"/>
            </w:pPr>
            <w:r>
              <w:t>Bloomington Stock Centre</w:t>
            </w:r>
          </w:p>
        </w:tc>
        <w:tc>
          <w:tcPr>
            <w:tcW w:w="2268" w:type="dxa"/>
            <w:vAlign w:val="center"/>
          </w:tcPr>
          <w:p w14:paraId="4DB8FCBF" w14:textId="4C09386A" w:rsidR="00B46718" w:rsidRDefault="00B46718" w:rsidP="001E4361">
            <w:pPr>
              <w:spacing w:line="360" w:lineRule="auto"/>
              <w:jc w:val="center"/>
            </w:pPr>
            <w:r>
              <w:fldChar w:fldCharType="begin"/>
            </w:r>
            <w:r w:rsidR="000A209C">
              <w:instrText xml:space="preserve"> ADDIN ZOTERO_ITEM CSL_CITATION {"citationID":"FfsOV52d","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643ADD3C" w14:textId="77777777" w:rsidTr="004B2ADE">
        <w:trPr>
          <w:trHeight w:val="260"/>
        </w:trPr>
        <w:tc>
          <w:tcPr>
            <w:tcW w:w="2395" w:type="dxa"/>
            <w:vAlign w:val="center"/>
          </w:tcPr>
          <w:p w14:paraId="432CA925" w14:textId="290C3D13" w:rsidR="00B46718" w:rsidRPr="00D61B4E" w:rsidRDefault="00B46718" w:rsidP="001E4361">
            <w:pPr>
              <w:spacing w:line="360" w:lineRule="auto"/>
              <w:jc w:val="center"/>
              <w:rPr>
                <w:i/>
              </w:rPr>
            </w:pPr>
            <w:r w:rsidRPr="00D61B4E">
              <w:rPr>
                <w:i/>
              </w:rPr>
              <w:t>UAS-RNAi-NOS</w:t>
            </w:r>
          </w:p>
        </w:tc>
        <w:tc>
          <w:tcPr>
            <w:tcW w:w="1559" w:type="dxa"/>
            <w:vAlign w:val="center"/>
          </w:tcPr>
          <w:p w14:paraId="2361C3B0" w14:textId="77777777" w:rsidR="00B46718" w:rsidRDefault="00B46718" w:rsidP="001E4361">
            <w:pPr>
              <w:spacing w:line="360" w:lineRule="auto"/>
              <w:jc w:val="center"/>
            </w:pPr>
            <w:r>
              <w:t>2</w:t>
            </w:r>
          </w:p>
        </w:tc>
        <w:tc>
          <w:tcPr>
            <w:tcW w:w="2694" w:type="dxa"/>
            <w:vAlign w:val="center"/>
          </w:tcPr>
          <w:p w14:paraId="789D0935" w14:textId="77777777" w:rsidR="00B46718" w:rsidRDefault="00B46718" w:rsidP="001E4361">
            <w:pPr>
              <w:spacing w:line="360" w:lineRule="auto"/>
              <w:jc w:val="center"/>
            </w:pPr>
            <w:r>
              <w:t>Bloomington Stock Centre</w:t>
            </w:r>
          </w:p>
        </w:tc>
        <w:tc>
          <w:tcPr>
            <w:tcW w:w="2268" w:type="dxa"/>
            <w:vAlign w:val="center"/>
          </w:tcPr>
          <w:p w14:paraId="3B772107" w14:textId="5BD11B21" w:rsidR="00B46718" w:rsidRDefault="00B46718" w:rsidP="001E4361">
            <w:pPr>
              <w:spacing w:line="360" w:lineRule="auto"/>
              <w:jc w:val="center"/>
            </w:pPr>
            <w:r>
              <w:fldChar w:fldCharType="begin"/>
            </w:r>
            <w:r w:rsidR="000A209C">
              <w:instrText xml:space="preserve"> ADDIN ZOTERO_ITEM CSL_CITATION {"citationID":"FneD8H4a","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1B975027" w14:textId="77777777" w:rsidTr="004B2ADE">
        <w:trPr>
          <w:trHeight w:val="260"/>
        </w:trPr>
        <w:tc>
          <w:tcPr>
            <w:tcW w:w="2395" w:type="dxa"/>
            <w:vAlign w:val="center"/>
          </w:tcPr>
          <w:p w14:paraId="3F8083C9" w14:textId="06928BE1" w:rsidR="00B46718" w:rsidRPr="00D61B4E" w:rsidRDefault="00B46718" w:rsidP="001E4361">
            <w:pPr>
              <w:spacing w:line="360" w:lineRule="auto"/>
              <w:jc w:val="center"/>
              <w:rPr>
                <w:i/>
              </w:rPr>
            </w:pPr>
            <w:r w:rsidRPr="00D61B4E">
              <w:rPr>
                <w:i/>
              </w:rPr>
              <w:t>UAS-RNAi-STAT92e</w:t>
            </w:r>
          </w:p>
        </w:tc>
        <w:tc>
          <w:tcPr>
            <w:tcW w:w="1559" w:type="dxa"/>
            <w:vAlign w:val="center"/>
          </w:tcPr>
          <w:p w14:paraId="404C8BE3" w14:textId="77777777" w:rsidR="00B46718" w:rsidRDefault="00B46718" w:rsidP="001E4361">
            <w:pPr>
              <w:spacing w:line="360" w:lineRule="auto"/>
              <w:jc w:val="center"/>
            </w:pPr>
            <w:r>
              <w:t>2</w:t>
            </w:r>
          </w:p>
        </w:tc>
        <w:tc>
          <w:tcPr>
            <w:tcW w:w="2694" w:type="dxa"/>
            <w:vAlign w:val="center"/>
          </w:tcPr>
          <w:p w14:paraId="539F6372" w14:textId="77777777" w:rsidR="00B46718" w:rsidRDefault="00B46718" w:rsidP="001E4361">
            <w:pPr>
              <w:spacing w:line="360" w:lineRule="auto"/>
              <w:jc w:val="center"/>
            </w:pPr>
            <w:r>
              <w:t>Bloomington Stock Centre</w:t>
            </w:r>
          </w:p>
        </w:tc>
        <w:tc>
          <w:tcPr>
            <w:tcW w:w="2268" w:type="dxa"/>
            <w:vAlign w:val="center"/>
          </w:tcPr>
          <w:p w14:paraId="24B70068" w14:textId="5743C1C8" w:rsidR="00B46718" w:rsidRDefault="00B46718" w:rsidP="001E4361">
            <w:pPr>
              <w:spacing w:line="360" w:lineRule="auto"/>
              <w:jc w:val="center"/>
            </w:pPr>
            <w:r>
              <w:fldChar w:fldCharType="begin"/>
            </w:r>
            <w:r w:rsidR="000A209C">
              <w:instrText xml:space="preserve"> ADDIN ZOTERO_ITEM CSL_CITATION {"citationID":"N2GlYiXr","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2BDDDDE7" w14:textId="77777777" w:rsidTr="004B2ADE">
        <w:trPr>
          <w:trHeight w:val="260"/>
        </w:trPr>
        <w:tc>
          <w:tcPr>
            <w:tcW w:w="2395" w:type="dxa"/>
            <w:vAlign w:val="center"/>
          </w:tcPr>
          <w:p w14:paraId="443ED9A3" w14:textId="77777777" w:rsidR="00B46718" w:rsidRPr="00D61B4E" w:rsidRDefault="00B46718" w:rsidP="001E4361">
            <w:pPr>
              <w:spacing w:line="360" w:lineRule="auto"/>
              <w:jc w:val="center"/>
              <w:rPr>
                <w:i/>
              </w:rPr>
            </w:pPr>
            <w:r w:rsidRPr="00D61B4E">
              <w:rPr>
                <w:i/>
              </w:rPr>
              <w:t>UAS-RNAi-Upd3</w:t>
            </w:r>
          </w:p>
        </w:tc>
        <w:tc>
          <w:tcPr>
            <w:tcW w:w="1559" w:type="dxa"/>
            <w:vAlign w:val="center"/>
          </w:tcPr>
          <w:p w14:paraId="3A300C8B" w14:textId="77777777" w:rsidR="00B46718" w:rsidRDefault="00B46718" w:rsidP="001E4361">
            <w:pPr>
              <w:spacing w:line="360" w:lineRule="auto"/>
              <w:jc w:val="center"/>
            </w:pPr>
            <w:r>
              <w:t>2</w:t>
            </w:r>
          </w:p>
        </w:tc>
        <w:tc>
          <w:tcPr>
            <w:tcW w:w="2694" w:type="dxa"/>
            <w:vAlign w:val="center"/>
          </w:tcPr>
          <w:p w14:paraId="605E1187" w14:textId="77777777" w:rsidR="00B46718" w:rsidRDefault="00B46718" w:rsidP="001E4361">
            <w:pPr>
              <w:spacing w:line="360" w:lineRule="auto"/>
              <w:jc w:val="center"/>
            </w:pPr>
            <w:r>
              <w:t>Bloomington Stock Centre</w:t>
            </w:r>
          </w:p>
        </w:tc>
        <w:tc>
          <w:tcPr>
            <w:tcW w:w="2268" w:type="dxa"/>
            <w:vAlign w:val="center"/>
          </w:tcPr>
          <w:p w14:paraId="13D34A80" w14:textId="462510FD" w:rsidR="00B46718" w:rsidRDefault="00B46718" w:rsidP="001E4361">
            <w:pPr>
              <w:spacing w:line="360" w:lineRule="auto"/>
              <w:jc w:val="center"/>
            </w:pPr>
            <w:r>
              <w:fldChar w:fldCharType="begin"/>
            </w:r>
            <w:r w:rsidR="000A209C">
              <w:instrText xml:space="preserve"> ADDIN ZOTERO_ITEM CSL_CITATION {"citationID":"lWsulJC9","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09F0514F" w14:textId="77777777" w:rsidTr="004B2ADE">
        <w:trPr>
          <w:trHeight w:val="260"/>
        </w:trPr>
        <w:tc>
          <w:tcPr>
            <w:tcW w:w="2395" w:type="dxa"/>
            <w:vAlign w:val="center"/>
          </w:tcPr>
          <w:p w14:paraId="25541C56" w14:textId="528C7091" w:rsidR="00B46718" w:rsidRPr="00D61B4E" w:rsidRDefault="00B46718" w:rsidP="001E4361">
            <w:pPr>
              <w:spacing w:line="360" w:lineRule="auto"/>
              <w:jc w:val="center"/>
              <w:rPr>
                <w:i/>
              </w:rPr>
            </w:pPr>
            <w:r w:rsidRPr="00D61B4E">
              <w:rPr>
                <w:i/>
              </w:rPr>
              <w:t>UAS-RNAi-Socs36e</w:t>
            </w:r>
          </w:p>
        </w:tc>
        <w:tc>
          <w:tcPr>
            <w:tcW w:w="1559" w:type="dxa"/>
            <w:vAlign w:val="center"/>
          </w:tcPr>
          <w:p w14:paraId="26CFC5B8" w14:textId="77777777" w:rsidR="00B46718" w:rsidRDefault="00B46718" w:rsidP="001E4361">
            <w:pPr>
              <w:spacing w:line="360" w:lineRule="auto"/>
              <w:jc w:val="center"/>
            </w:pPr>
            <w:r>
              <w:t>2</w:t>
            </w:r>
          </w:p>
        </w:tc>
        <w:tc>
          <w:tcPr>
            <w:tcW w:w="2694" w:type="dxa"/>
            <w:vAlign w:val="center"/>
          </w:tcPr>
          <w:p w14:paraId="0BE0D959" w14:textId="77777777" w:rsidR="00B46718" w:rsidRDefault="00B46718" w:rsidP="001E4361">
            <w:pPr>
              <w:spacing w:line="360" w:lineRule="auto"/>
              <w:jc w:val="center"/>
            </w:pPr>
            <w:r>
              <w:t>Bloomington Stock Centre</w:t>
            </w:r>
          </w:p>
        </w:tc>
        <w:tc>
          <w:tcPr>
            <w:tcW w:w="2268" w:type="dxa"/>
            <w:vAlign w:val="center"/>
          </w:tcPr>
          <w:p w14:paraId="4BFED2F8" w14:textId="31FBF6A0" w:rsidR="00B46718" w:rsidRDefault="00B46718" w:rsidP="001E4361">
            <w:pPr>
              <w:spacing w:line="360" w:lineRule="auto"/>
              <w:jc w:val="center"/>
            </w:pPr>
            <w:r>
              <w:fldChar w:fldCharType="begin"/>
            </w:r>
            <w:r w:rsidR="000A209C">
              <w:instrText xml:space="preserve"> ADDIN ZOTERO_ITEM CSL_CITATION {"citationID":"dnwOOmlx","properties":{"formattedCitation":"(302)","plainCitation":"(302)","noteIndex":0},"citationItems":[{"id":1630,"uris":["http://zotero.org/users/952979/items/CK79NFA6"],"uri":["http://zotero.org/users/952979/items/CK79NFA6"],"itemData":{"id":1630,"type":"article-journal","title":"A Drosophila resource of transgenic RNAi lines for neurogenetics","container-title":"Genetics","page":"1089-1100","volume":"182","issue":"4","source":"PubMed","abstract":"Conditional expression of hairpin constructs in Drosophila is a powerful method to disrupt the activity of single genes with a spatial and temporal resolution that is impossible, or exceedingly difficult, using classical genetic methods. We previously described a method (Ni et al. 2008) whereby RNAi constructs are targeted into the genome by the phiC31-mediated integration approach using Vermilion-AttB-Loxp-Intron-UAS-MCS (VALIUM), a vector that contains vermilion as a selectable marker, an attB sequence to allow for phiC31-targeted integration at genomic attP landing sites, two pentamers of UAS, the hsp70 core promoter, a multiple cloning site, and two introns. As the level of gene activity knockdown associated with transgenic RNAi depends on the level of expression of the hairpin constructs, we generated a number of derivatives of our initial vector, called the \"VALIUM\" series, to improve the efficiency of the method. Here, we report the results from the systematic analysis of these derivatives and characterize VALIUM10 as the most optimal vector of this series. A critical feature of VALIUM10 is the presence of gypsy insulator sequences that boost dramatically the level of knockdown. We document the efficacy of VALIUM as a vector to analyze the phenotype of genes expressed in the nervous system and have generated a library of 2282 constructs targeting 2043 genes that will be particularly useful for studies of the nervous system as they target, in particular, transcription factors, ion channels, and transporters.","DOI":"10.1534/genetics.109.103630","ISSN":"1943-2631","note":"PMID: 19487563\nPMCID: PMC2728850","journalAbbreviation":"Genetics","language":"eng","author":[{"family":"Ni","given":"Jian-Quan"},{"family":"Liu","given":"Lu-Ping"},{"family":"Binari","given":"Richard"},{"family":"Hardy","given":"Robert"},{"family":"Shim","given":"Hye-Seok"},{"family":"Cavallaro","given":"Amanda"},{"family":"Booker","given":"Matthew"},{"family":"Pfeiffer","given":"Barret D."},{"family":"Markstein","given":"Michele"},{"family":"Wang","given":"Hui"},{"family":"Villalta","given":"Christians"},{"family":"Laverty","given":"Todd R."},{"family":"Perkins","given":"Lizabeth A."},{"family":"Perrimon","given":"Norbert"}],"issued":{"date-parts":[["2009",8]]}}}],"schema":"https://github.com/citation-style-language/schema/raw/master/csl-citation.json"} </w:instrText>
            </w:r>
            <w:r>
              <w:fldChar w:fldCharType="separate"/>
            </w:r>
            <w:r w:rsidR="004A1963" w:rsidRPr="004A1963">
              <w:rPr>
                <w:rFonts w:ascii="Calibri" w:hAnsi="Calibri"/>
              </w:rPr>
              <w:t>(302)</w:t>
            </w:r>
            <w:r>
              <w:fldChar w:fldCharType="end"/>
            </w:r>
          </w:p>
        </w:tc>
      </w:tr>
      <w:tr w:rsidR="00B46718" w14:paraId="776D9B88" w14:textId="77777777" w:rsidTr="004B2ADE">
        <w:trPr>
          <w:trHeight w:val="260"/>
        </w:trPr>
        <w:tc>
          <w:tcPr>
            <w:tcW w:w="2395" w:type="dxa"/>
            <w:vAlign w:val="center"/>
          </w:tcPr>
          <w:p w14:paraId="3FBCCD9B" w14:textId="77777777" w:rsidR="00B46718" w:rsidRPr="00D61B4E" w:rsidRDefault="00B46718" w:rsidP="001E4361">
            <w:pPr>
              <w:spacing w:line="360" w:lineRule="auto"/>
              <w:jc w:val="center"/>
              <w:rPr>
                <w:i/>
              </w:rPr>
            </w:pPr>
            <w:r w:rsidRPr="00D61B4E">
              <w:rPr>
                <w:i/>
              </w:rPr>
              <w:t>UAS-cnx14D</w:t>
            </w:r>
          </w:p>
        </w:tc>
        <w:tc>
          <w:tcPr>
            <w:tcW w:w="1559" w:type="dxa"/>
            <w:vAlign w:val="center"/>
          </w:tcPr>
          <w:p w14:paraId="49289264" w14:textId="77777777" w:rsidR="00B46718" w:rsidRDefault="00B46718" w:rsidP="001E4361">
            <w:pPr>
              <w:spacing w:line="360" w:lineRule="auto"/>
              <w:jc w:val="center"/>
            </w:pPr>
            <w:r>
              <w:t>X</w:t>
            </w:r>
          </w:p>
        </w:tc>
        <w:tc>
          <w:tcPr>
            <w:tcW w:w="2694" w:type="dxa"/>
            <w:vAlign w:val="center"/>
          </w:tcPr>
          <w:p w14:paraId="3484F36D" w14:textId="77777777" w:rsidR="00B46718" w:rsidRDefault="00B46718" w:rsidP="001E4361">
            <w:pPr>
              <w:spacing w:line="360" w:lineRule="auto"/>
              <w:jc w:val="center"/>
            </w:pPr>
            <w:r>
              <w:t>Harvard Medical School</w:t>
            </w:r>
          </w:p>
        </w:tc>
        <w:tc>
          <w:tcPr>
            <w:tcW w:w="2268" w:type="dxa"/>
            <w:vAlign w:val="center"/>
          </w:tcPr>
          <w:p w14:paraId="6B7B620E" w14:textId="4AE57E81" w:rsidR="00B46718" w:rsidRDefault="00B46718" w:rsidP="001E4361">
            <w:pPr>
              <w:spacing w:line="360" w:lineRule="auto"/>
              <w:jc w:val="center"/>
            </w:pPr>
            <w:r>
              <w:rPr>
                <w:rFonts w:eastAsia="Times New Roman"/>
              </w:rPr>
              <w:fldChar w:fldCharType="begin"/>
            </w:r>
            <w:r w:rsidR="000A209C">
              <w:rPr>
                <w:rFonts w:eastAsia="Times New Roman"/>
              </w:rPr>
              <w:instrText xml:space="preserve"> ADDIN ZOTERO_ITEM CSL_CITATION {"citationID":"c87NZmkk","properties":{"formattedCitation":"(303)","plainCitation":"(303)","noteIndex":0},"citationItems":[{"id":1220,"uris":["http://zotero.org/users/952979/items/QD3JIQHQ"],"uri":["http://zotero.org/users/952979/items/QD3JIQHQ"],"itemData":{"id":1220,"type":"article-journal","title":"A complementary transposon tool kit for Drosophila melanogaster using P and piggyBac","container-title":"Nature Genetics","page":"283-287","volume":"36","issue":"3","source":"PubMed","abstract":"With the availability of complete genome sequence for Drosophila melanogaster, one of the next strategic goals for fly researchers is a complete gene knockout collection. The P-element transposon, the workhorse of D. melanogaster molecular genetics, has a pronounced nonrandom insertion spectrum. It has been estimated that 87% saturation of the approximately 13,500-gene complement of D. melanogaster might require generating and analyzing up to 150,000 insertions. We describe specific improvements to the lepidopteran transposon piggyBac and the P element that enabled us to tag and disrupt genes in D. melanogaster more efficiently. We generated over 29,000 inserts resulting in 53% gene saturation and a more diverse collection of phenotypically stronger insertional alleles. We found that piggyBac has distinct global and local gene-tagging behavior from that of P elements. Notably, piggyBac excisions from the germ line are nearly always precise, piggyBac does not share chromosomal hotspots associated with P and piggyBac is more effective at gene disruption because it lacks the P bias for insertion in 5' regulatory sequences.","DOI":"10.1038/ng1314","ISSN":"1061-4036","note":"PMID: 14981521","journalAbbreviation":"Nat. Genet.","language":"ENG","author":[{"family":"Thibault","given":"Stephen T."},{"family":"Singer","given":"Matthew A."},{"family":"Miyazaki","given":"Wesley Y."},{"family":"Milash","given":"Brett"},{"family":"Dompe","given":"Nicholas A."},{"family":"Singh","given":"Carol M."},{"family":"Buchholz","given":"Ross"},{"family":"Demsky","given":"Madelyn"},{"family":"Fawcett","given":"Robert"},{"family":"Francis-Lang","given":"Helen L."},{"family":"Ryner","given":"Lisa"},{"family":"Cheung","given":"Lai Man"},{"family":"Chong","given":"Angela"},{"family":"Erickson","given":"Cathy"},{"family":"Fisher","given":"William W."},{"family":"Greer","given":"Kimberly"},{"family":"Hartouni","given":"Stephanie R."},{"family":"Howie","given":"Elizabeth"},{"family":"Jakkula","given":"Lakshmi"},{"family":"Joo","given":"Daniel"},{"family":"Killpack","given":"Keith"},{"family":"Laufer","given":"Alex"},{"family":"Mazzotta","given":"Julie"},{"family":"Smith","given":"Ronald D."},{"family":"Stevens","given":"Lynn M."},{"family":"Stuber","given":"Christiana"},{"family":"Tan","given":"Lory R."},{"family":"Ventura","given":"Richard"},{"family":"Woo","given":"Alesa"},{"family":"Zakrajsek","given":"Irena"},{"family":"Zhao","given":"Lora"},{"family":"Chen","given":"Feng"},{"family":"Swimmer","given":"Candace"},{"family":"Kopczynski","given":"Casey"},{"family":"Duyk","given":"Geoffrey"},{"family":"Winberg","given":"Margaret L."},{"family":"Margolis","given":"Jonathan"}],"issued":{"date-parts":[["2004",3]]}}}],"schema":"https://github.com/citation-style-language/schema/raw/master/csl-citation.json"} </w:instrText>
            </w:r>
            <w:r>
              <w:rPr>
                <w:rFonts w:eastAsia="Times New Roman"/>
              </w:rPr>
              <w:fldChar w:fldCharType="separate"/>
            </w:r>
            <w:r w:rsidR="004A1963" w:rsidRPr="004A1963">
              <w:rPr>
                <w:rFonts w:ascii="Calibri" w:hAnsi="Calibri"/>
              </w:rPr>
              <w:t>(303)</w:t>
            </w:r>
            <w:r>
              <w:rPr>
                <w:rFonts w:eastAsia="Times New Roman"/>
              </w:rPr>
              <w:fldChar w:fldCharType="end"/>
            </w:r>
          </w:p>
        </w:tc>
      </w:tr>
      <w:tr w:rsidR="00B46718" w14:paraId="436316B2" w14:textId="77777777" w:rsidTr="004B2ADE">
        <w:trPr>
          <w:trHeight w:val="260"/>
        </w:trPr>
        <w:tc>
          <w:tcPr>
            <w:tcW w:w="2395" w:type="dxa"/>
            <w:vAlign w:val="center"/>
          </w:tcPr>
          <w:p w14:paraId="415E9474" w14:textId="77777777" w:rsidR="00B46718" w:rsidRPr="00D61B4E" w:rsidRDefault="00B46718" w:rsidP="001E4361">
            <w:pPr>
              <w:spacing w:line="360" w:lineRule="auto"/>
              <w:jc w:val="center"/>
              <w:rPr>
                <w:i/>
              </w:rPr>
            </w:pPr>
            <w:r w:rsidRPr="00D61B4E">
              <w:rPr>
                <w:i/>
              </w:rPr>
              <w:t>UAS-Upd</w:t>
            </w:r>
          </w:p>
        </w:tc>
        <w:tc>
          <w:tcPr>
            <w:tcW w:w="1559" w:type="dxa"/>
            <w:vAlign w:val="center"/>
          </w:tcPr>
          <w:p w14:paraId="6471EF6B" w14:textId="77777777" w:rsidR="00B46718" w:rsidRDefault="00B46718" w:rsidP="001E4361">
            <w:pPr>
              <w:spacing w:line="360" w:lineRule="auto"/>
              <w:jc w:val="center"/>
            </w:pPr>
            <w:r>
              <w:t>2</w:t>
            </w:r>
          </w:p>
        </w:tc>
        <w:tc>
          <w:tcPr>
            <w:tcW w:w="2694" w:type="dxa"/>
            <w:vAlign w:val="center"/>
          </w:tcPr>
          <w:p w14:paraId="01FACE71" w14:textId="77777777" w:rsidR="00B46718" w:rsidRDefault="00B46718" w:rsidP="001E4361">
            <w:pPr>
              <w:spacing w:line="360" w:lineRule="auto"/>
              <w:jc w:val="center"/>
            </w:pPr>
            <w:r>
              <w:t>Bloomington Stock Centre</w:t>
            </w:r>
          </w:p>
        </w:tc>
        <w:tc>
          <w:tcPr>
            <w:tcW w:w="2268" w:type="dxa"/>
            <w:vAlign w:val="center"/>
          </w:tcPr>
          <w:p w14:paraId="0DCE6E1D" w14:textId="77777777" w:rsidR="00B46718" w:rsidRDefault="00B46718" w:rsidP="001E4361">
            <w:pPr>
              <w:spacing w:line="360" w:lineRule="auto"/>
              <w:jc w:val="center"/>
            </w:pPr>
          </w:p>
        </w:tc>
      </w:tr>
      <w:tr w:rsidR="00B46718" w14:paraId="26B11173" w14:textId="77777777" w:rsidTr="004B2ADE">
        <w:trPr>
          <w:trHeight w:val="260"/>
        </w:trPr>
        <w:tc>
          <w:tcPr>
            <w:tcW w:w="2395" w:type="dxa"/>
            <w:vAlign w:val="center"/>
          </w:tcPr>
          <w:p w14:paraId="4DA6FA59" w14:textId="77777777" w:rsidR="00B46718" w:rsidRPr="00D61B4E" w:rsidRDefault="00B46718" w:rsidP="001E4361">
            <w:pPr>
              <w:spacing w:line="360" w:lineRule="auto"/>
              <w:jc w:val="center"/>
              <w:rPr>
                <w:i/>
              </w:rPr>
            </w:pPr>
            <w:r w:rsidRPr="00D61B4E">
              <w:rPr>
                <w:i/>
              </w:rPr>
              <w:t>UAS-Hop</w:t>
            </w:r>
          </w:p>
        </w:tc>
        <w:tc>
          <w:tcPr>
            <w:tcW w:w="1559" w:type="dxa"/>
            <w:vAlign w:val="center"/>
          </w:tcPr>
          <w:p w14:paraId="19DF120F" w14:textId="77777777" w:rsidR="00B46718" w:rsidRDefault="00B46718" w:rsidP="001E4361">
            <w:pPr>
              <w:spacing w:line="360" w:lineRule="auto"/>
              <w:jc w:val="center"/>
            </w:pPr>
            <w:r>
              <w:t>2</w:t>
            </w:r>
          </w:p>
        </w:tc>
        <w:tc>
          <w:tcPr>
            <w:tcW w:w="2694" w:type="dxa"/>
            <w:vAlign w:val="center"/>
          </w:tcPr>
          <w:p w14:paraId="1DC4883E" w14:textId="77777777" w:rsidR="00B46718" w:rsidRDefault="00B46718" w:rsidP="001E4361">
            <w:pPr>
              <w:spacing w:line="360" w:lineRule="auto"/>
              <w:jc w:val="center"/>
            </w:pPr>
            <w:r>
              <w:t>Bloomington Stock Centre</w:t>
            </w:r>
          </w:p>
        </w:tc>
        <w:tc>
          <w:tcPr>
            <w:tcW w:w="2268" w:type="dxa"/>
            <w:vAlign w:val="center"/>
          </w:tcPr>
          <w:p w14:paraId="17AB6E3E" w14:textId="77777777" w:rsidR="00B46718" w:rsidRDefault="00B46718" w:rsidP="001E4361">
            <w:pPr>
              <w:spacing w:line="360" w:lineRule="auto"/>
              <w:jc w:val="center"/>
            </w:pPr>
          </w:p>
        </w:tc>
      </w:tr>
      <w:tr w:rsidR="00B46718" w14:paraId="76CE905A" w14:textId="77777777" w:rsidTr="004B2ADE">
        <w:trPr>
          <w:trHeight w:val="260"/>
        </w:trPr>
        <w:tc>
          <w:tcPr>
            <w:tcW w:w="2395" w:type="dxa"/>
            <w:vAlign w:val="center"/>
          </w:tcPr>
          <w:p w14:paraId="3100AFE8" w14:textId="77777777" w:rsidR="00B46718" w:rsidRPr="00D61B4E" w:rsidRDefault="00B46718" w:rsidP="001E4361">
            <w:pPr>
              <w:spacing w:line="360" w:lineRule="auto"/>
              <w:jc w:val="center"/>
              <w:rPr>
                <w:i/>
              </w:rPr>
            </w:pPr>
            <w:r w:rsidRPr="00D61B4E">
              <w:rPr>
                <w:i/>
              </w:rPr>
              <w:t>UAS-Socs36e</w:t>
            </w:r>
          </w:p>
        </w:tc>
        <w:tc>
          <w:tcPr>
            <w:tcW w:w="1559" w:type="dxa"/>
            <w:vAlign w:val="center"/>
          </w:tcPr>
          <w:p w14:paraId="02691F71" w14:textId="77777777" w:rsidR="00B46718" w:rsidRDefault="00B46718" w:rsidP="001E4361">
            <w:pPr>
              <w:spacing w:line="360" w:lineRule="auto"/>
              <w:jc w:val="center"/>
            </w:pPr>
            <w:r>
              <w:t>2</w:t>
            </w:r>
          </w:p>
        </w:tc>
        <w:tc>
          <w:tcPr>
            <w:tcW w:w="2694" w:type="dxa"/>
            <w:vAlign w:val="center"/>
          </w:tcPr>
          <w:p w14:paraId="15E7E275" w14:textId="77777777" w:rsidR="00B46718" w:rsidRDefault="00B46718" w:rsidP="001E4361">
            <w:pPr>
              <w:spacing w:line="360" w:lineRule="auto"/>
              <w:jc w:val="center"/>
            </w:pPr>
            <w:r>
              <w:t>Bloomington Stock Centre</w:t>
            </w:r>
          </w:p>
        </w:tc>
        <w:tc>
          <w:tcPr>
            <w:tcW w:w="2268" w:type="dxa"/>
            <w:vAlign w:val="center"/>
          </w:tcPr>
          <w:p w14:paraId="7BE76304" w14:textId="77777777" w:rsidR="00B46718" w:rsidRDefault="00B46718" w:rsidP="001E4361">
            <w:pPr>
              <w:spacing w:line="360" w:lineRule="auto"/>
              <w:jc w:val="center"/>
            </w:pPr>
          </w:p>
        </w:tc>
      </w:tr>
      <w:tr w:rsidR="00B46718" w14:paraId="08D01284" w14:textId="77777777" w:rsidTr="004B2ADE">
        <w:trPr>
          <w:trHeight w:val="260"/>
        </w:trPr>
        <w:tc>
          <w:tcPr>
            <w:tcW w:w="2395" w:type="dxa"/>
            <w:vAlign w:val="center"/>
          </w:tcPr>
          <w:p w14:paraId="1B11612A" w14:textId="77777777" w:rsidR="00B46718" w:rsidRPr="00D61B4E" w:rsidRDefault="00B46718" w:rsidP="001E4361">
            <w:pPr>
              <w:spacing w:line="360" w:lineRule="auto"/>
              <w:jc w:val="center"/>
              <w:rPr>
                <w:i/>
              </w:rPr>
            </w:pPr>
            <w:r w:rsidRPr="00D61B4E">
              <w:rPr>
                <w:i/>
              </w:rPr>
              <w:t>UAS-Nos</w:t>
            </w:r>
          </w:p>
        </w:tc>
        <w:tc>
          <w:tcPr>
            <w:tcW w:w="1559" w:type="dxa"/>
            <w:vAlign w:val="center"/>
          </w:tcPr>
          <w:p w14:paraId="04C957E9" w14:textId="77777777" w:rsidR="00B46718" w:rsidRDefault="00B46718" w:rsidP="001E4361">
            <w:pPr>
              <w:spacing w:line="360" w:lineRule="auto"/>
              <w:jc w:val="center"/>
            </w:pPr>
            <w:r>
              <w:t>2</w:t>
            </w:r>
          </w:p>
        </w:tc>
        <w:tc>
          <w:tcPr>
            <w:tcW w:w="2694" w:type="dxa"/>
            <w:vAlign w:val="center"/>
          </w:tcPr>
          <w:p w14:paraId="3B3E3C58" w14:textId="77777777" w:rsidR="00B46718" w:rsidRDefault="00B46718" w:rsidP="001E4361">
            <w:pPr>
              <w:spacing w:line="360" w:lineRule="auto"/>
              <w:jc w:val="center"/>
            </w:pPr>
            <w:r>
              <w:t>Bloomington Stock Centre</w:t>
            </w:r>
          </w:p>
        </w:tc>
        <w:tc>
          <w:tcPr>
            <w:tcW w:w="2268" w:type="dxa"/>
            <w:vAlign w:val="center"/>
          </w:tcPr>
          <w:p w14:paraId="5D9DC65F" w14:textId="44B390AE" w:rsidR="00B46718" w:rsidRDefault="00B46718" w:rsidP="001E4361">
            <w:pPr>
              <w:spacing w:line="360" w:lineRule="auto"/>
              <w:jc w:val="center"/>
            </w:pPr>
            <w:r>
              <w:fldChar w:fldCharType="begin"/>
            </w:r>
            <w:r w:rsidR="000A209C">
              <w:instrText xml:space="preserve"> ADDIN ZOTERO_ITEM CSL_CITATION {"citationID":"NXBU2c4I","properties":{"formattedCitation":"(304)","plainCitation":"(304)","noteIndex":0},"citationItems":[{"id":1628,"uris":["http://zotero.org/users/952979/items/SBRTCKQ8"],"uri":["http://zotero.org/users/952979/items/SBRTCKQ8"],"itemData":{"id":1628,"type":"article-journal","title":"Nitric oxide interacts with the retinoblastoma pathway to control eye development in Drosophila","container-title":"Current biology: CB","page":"459-462","volume":"10","issue":"8","source":"PubMed","abstract":"Animal organ development requires that tissue patterning and differentiation is tightly coordinated with cell multiplication and cell cycle progression. Several variations of the cell cycle program are used by Drosophila cells at different stages during development [1] [2]. In imaginal discs of developing larvae, cell cycle progression is controlled by a modified version of the well-characterized mammalian retinoblastoma (Rb) pathway [3] [4], which integrates signals from multiple effectors ranging from growth factors and receptors to small signaling molecules. Nitric oxide (NO), a multifunctional second messenger [5], can reversibly suppress DNA synthesis and cell division [6] [7]. In developing flies, the antiproliferative action of NO is essential for regulating the balance between cell proliferation and differentiation and, ultimately, the shape and size of adult structures in the fly [8] [9] [10]. The mechanisms of the antiproliferative activity of NO in developing organisms are not known, however. We used transgenic flies expressing the Drosophila nitric oxide synthase gene (dNOS1) and/or genes encoding components of the cell cycle regulatory pathways (the Rb-like protein RBF and the E2F transcription factor complex components dE2F and dDP) combined with NOS inhibitors to address this issue. We found that manipulations of endogenous or transgenic NOS activity during imaginal disc development can enhance or suppress the effects of RBF and E2F on development of the eye. Our data suggest a role for NO in the developing imaginal eye disc via interaction with the Rb pathway.","ISSN":"0960-9822","note":"PMID: 10801421","journalAbbreviation":"Curr. Biol.","language":"eng","author":[{"family":"Kuzin","given":"B."},{"family":"Regulski","given":"M."},{"family":"Stasiv","given":"Y."},{"family":"Scheinker","given":"V."},{"family":"Tully","given":"T."},{"family":"Enikolopov","given":"G."}],"issued":{"date-parts":[["2000",4,20]]}}}],"schema":"https://github.com/citation-style-language/schema/raw/master/csl-citation.json"} </w:instrText>
            </w:r>
            <w:r>
              <w:fldChar w:fldCharType="separate"/>
            </w:r>
            <w:r w:rsidR="004A1963" w:rsidRPr="004A1963">
              <w:rPr>
                <w:rFonts w:ascii="Calibri" w:hAnsi="Calibri"/>
              </w:rPr>
              <w:t>(304)</w:t>
            </w:r>
            <w:r>
              <w:fldChar w:fldCharType="end"/>
            </w:r>
          </w:p>
        </w:tc>
      </w:tr>
      <w:tr w:rsidR="00B46718" w14:paraId="64C0723A" w14:textId="77777777" w:rsidTr="004B2ADE">
        <w:trPr>
          <w:trHeight w:val="260"/>
        </w:trPr>
        <w:tc>
          <w:tcPr>
            <w:tcW w:w="2395" w:type="dxa"/>
            <w:vAlign w:val="center"/>
          </w:tcPr>
          <w:p w14:paraId="3F8096E0" w14:textId="77777777" w:rsidR="00B46718" w:rsidRPr="00D61B4E" w:rsidRDefault="00B46718" w:rsidP="001E4361">
            <w:pPr>
              <w:spacing w:line="360" w:lineRule="auto"/>
              <w:jc w:val="center"/>
              <w:rPr>
                <w:i/>
              </w:rPr>
            </w:pPr>
            <w:r w:rsidRPr="00D61B4E">
              <w:rPr>
                <w:i/>
              </w:rPr>
              <w:lastRenderedPageBreak/>
              <w:t>UAS-Cat</w:t>
            </w:r>
          </w:p>
        </w:tc>
        <w:tc>
          <w:tcPr>
            <w:tcW w:w="1559" w:type="dxa"/>
            <w:vAlign w:val="center"/>
          </w:tcPr>
          <w:p w14:paraId="4328D7AE" w14:textId="77777777" w:rsidR="00B46718" w:rsidRDefault="00B46718" w:rsidP="001E4361">
            <w:pPr>
              <w:spacing w:line="360" w:lineRule="auto"/>
              <w:jc w:val="center"/>
            </w:pPr>
            <w:r>
              <w:t>2</w:t>
            </w:r>
          </w:p>
        </w:tc>
        <w:tc>
          <w:tcPr>
            <w:tcW w:w="2694" w:type="dxa"/>
            <w:vAlign w:val="center"/>
          </w:tcPr>
          <w:p w14:paraId="10E712EB" w14:textId="77777777" w:rsidR="00B46718" w:rsidRDefault="00B46718" w:rsidP="001E4361">
            <w:pPr>
              <w:spacing w:line="360" w:lineRule="auto"/>
              <w:jc w:val="center"/>
            </w:pPr>
            <w:r>
              <w:t>Bloomington Stock Centre</w:t>
            </w:r>
          </w:p>
        </w:tc>
        <w:tc>
          <w:tcPr>
            <w:tcW w:w="2268" w:type="dxa"/>
            <w:vAlign w:val="center"/>
          </w:tcPr>
          <w:p w14:paraId="0BCD79A5" w14:textId="49DCDFF8" w:rsidR="00B46718" w:rsidRDefault="00B46718" w:rsidP="001E4361">
            <w:pPr>
              <w:spacing w:line="360" w:lineRule="auto"/>
              <w:jc w:val="center"/>
            </w:pPr>
            <w:r>
              <w:fldChar w:fldCharType="begin"/>
            </w:r>
            <w:r w:rsidR="000A209C">
              <w:instrText xml:space="preserve"> ADDIN ZOTERO_ITEM CSL_CITATION {"citationID":"KH1ucs99","properties":{"formattedCitation":"(305)","plainCitation":"(305)","noteIndex":0},"citationItems":[{"id":1627,"uris":["http://zotero.org/users/952979/items/6368H2H6"],"uri":["http://zotero.org/users/952979/items/6368H2H6"],"itemData":{"id":1627,"type":"article-journal","title":"Cooperative action of antioxidant defense systems in Drosophila","container-title":"Current Biology","page":"1272-1277","volume":"11","issue":"16","source":"ScienceDirect","abstract":"Molecular oxygen is key to aerobic life but is also converted into cytotoxic byproducts referred to as reactive oxygen species (ROS) [1]. Intracellular defense systems that protect cells from ROS-induced damage include glutathione reductase (GR), thioredoxin reductase (TrxR), superoxide dismutase (Sod), and catalase (Cat) [2]. Sod and Cat constitute an evolutionary conserved ROS defense system against superoxide; Sod converts superoxide anions to H2O2, and Cat prevents free hydroxyl radical formation by breaking down H2O2 into oxygen and water [2]. As a consequence, they are important effectors in the life span determination of the fly Drosophila3, 4, 5, 6, 7. ROS defense by TrxR and GR is more indirect. They transfer reducing equivalents from NADPH to thioredoxin (Trx) and glutathione disulfide (GSSG), respectively, resulting in Trx(SH)2 and glutathione (GSH), which act as effective intracellular antioxidants 2, 8. TrxR and GR were found to be molecularly conserved [9]. However, the single GR homolog of Drosophila10, 11 specifies TrxR activity [12], which compensates for the absence of a true GR system for recycling GSH [12]. We show that TrxR null mutations reduce the capacity to adequately protect cells from cytotoxic damage, resulting in larval death, whereas mutations causing reduced TrxR activity affect pupal eclosion and cause a severe reduction of the adult life span. We also provide genetic evidence for a functional interaction between TrxR, Sod1, and Cat, indicating that the burden of ROS metabolism in Drosophila is shared by the two defense systems.","DOI":"10.1016/S0960-9822(01)00393-1","ISSN":"0960-9822","journalAbbreviation":"Current Biology","author":[{"family":"Missirlis","given":"Fanis"},{"family":"Phillips","given":"John P."},{"family":"Jäckle","given":"Herbert"}],"issued":{"date-parts":[["2001",8,21]]}}}],"schema":"https://github.com/citation-style-language/schema/raw/master/csl-citation.json"} </w:instrText>
            </w:r>
            <w:r>
              <w:fldChar w:fldCharType="separate"/>
            </w:r>
            <w:r w:rsidR="004A1963" w:rsidRPr="004A1963">
              <w:rPr>
                <w:rFonts w:ascii="Calibri" w:hAnsi="Calibri"/>
              </w:rPr>
              <w:t>(305)</w:t>
            </w:r>
            <w:r>
              <w:fldChar w:fldCharType="end"/>
            </w:r>
          </w:p>
        </w:tc>
      </w:tr>
      <w:tr w:rsidR="00B46718" w14:paraId="2A4AB507" w14:textId="77777777" w:rsidTr="004B2ADE">
        <w:trPr>
          <w:trHeight w:val="260"/>
        </w:trPr>
        <w:tc>
          <w:tcPr>
            <w:tcW w:w="2395" w:type="dxa"/>
            <w:vAlign w:val="center"/>
          </w:tcPr>
          <w:p w14:paraId="626918D0" w14:textId="0D759EE8" w:rsidR="00B46718" w:rsidRPr="00D61B4E" w:rsidRDefault="00B46718" w:rsidP="00D61B4E">
            <w:pPr>
              <w:spacing w:line="360" w:lineRule="auto"/>
              <w:jc w:val="center"/>
              <w:rPr>
                <w:i/>
              </w:rPr>
            </w:pPr>
            <w:r w:rsidRPr="00D61B4E">
              <w:rPr>
                <w:i/>
              </w:rPr>
              <w:t>UAS-SdhA</w:t>
            </w:r>
          </w:p>
        </w:tc>
        <w:tc>
          <w:tcPr>
            <w:tcW w:w="1559" w:type="dxa"/>
            <w:vAlign w:val="center"/>
          </w:tcPr>
          <w:p w14:paraId="74E9DA79" w14:textId="77777777" w:rsidR="00B46718" w:rsidRDefault="00B46718" w:rsidP="001E4361">
            <w:pPr>
              <w:spacing w:line="360" w:lineRule="auto"/>
              <w:jc w:val="center"/>
            </w:pPr>
            <w:r>
              <w:t>2</w:t>
            </w:r>
          </w:p>
        </w:tc>
        <w:tc>
          <w:tcPr>
            <w:tcW w:w="2694" w:type="dxa"/>
            <w:vAlign w:val="center"/>
          </w:tcPr>
          <w:p w14:paraId="4A6F37E9" w14:textId="77777777" w:rsidR="00B46718" w:rsidRDefault="00B46718" w:rsidP="001E4361">
            <w:pPr>
              <w:spacing w:line="360" w:lineRule="auto"/>
              <w:jc w:val="center"/>
            </w:pPr>
            <w:r>
              <w:t>Bloomington Stock Centre</w:t>
            </w:r>
          </w:p>
        </w:tc>
        <w:tc>
          <w:tcPr>
            <w:tcW w:w="2268" w:type="dxa"/>
            <w:vAlign w:val="center"/>
          </w:tcPr>
          <w:p w14:paraId="27C0CB79" w14:textId="49B44F7E" w:rsidR="00B46718" w:rsidRDefault="00B46718" w:rsidP="001E4361">
            <w:pPr>
              <w:spacing w:line="360" w:lineRule="auto"/>
              <w:jc w:val="center"/>
            </w:pPr>
            <w:r>
              <w:fldChar w:fldCharType="begin"/>
            </w:r>
            <w:r w:rsidR="000A209C">
              <w:instrText xml:space="preserve"> ADDIN ZOTERO_ITEM CSL_CITATION {"citationID":"lzu2Wo4e","properties":{"formattedCitation":"(306)","plainCitation":"(306)","noteIndex":0},"citationItems":[{"id":1626,"uris":["http://zotero.org/users/952979/items/JTISPFKK"],"uri":["http://zotero.org/users/952979/items/JTISPFKK"],"itemData":{"id":1626,"type":"article-journal","title":"A Gain-of-Function Screen Identifying Genes Required for Growth and Pattern Formation of the Drosophila melanogaster Wing","container-title":"Genetics","page":"1005-1026","volume":"183","issue":"3","source":"PubMed Central","abstract":"The Drosophila melanogaster wing is a model system for analyzing the genetic control of organ size, shape, and pattern formation. The formation of the wing involves a variety of processes, such as cell growth, proliferation, pattern formation, and differentiation. These developmental processes are under genetic control, and many genes participating in specific aspects of wing development have already being characterized. In this work, we aim to identify novel genes regulating wing growth and patterning. To this end, we have carried out a gain-of-function screen generating novel P-UAS (upstream activating sequences) insertions allowing forced gene expression. We produced 3340 novel P-UAS insertions and isolated 300 that cause a variety of wing phenotypes in combination with a Gal4 driver expressed exclusively in the central domain of the presumptive wing blade. The mapping of these P-UAS insertion sites allowed us to identify the gene that causes the gain-of-function phenotypes. We show that a fraction of these phenotypes are related to the induction of cell death in the domain of ectopic gene expression. Finally, we present a preliminary characterization of a gene identified in the screen, the function of which is required for the development of the L5 longitudinal vein.","DOI":"10.1534/genetics.109.107748","ISSN":"0016-6731","note":"PMID: 19737745\nPMCID: PMC2778956","journalAbbreviation":"Genetics","author":[{"family":"Cruz","given":"Cristina"},{"family":"Glavic","given":"Alvaro"},{"family":"Casado","given":"Mar"},{"family":"Celis","given":"Jose F.","non-dropping-particle":"de"}],"issued":{"date-parts":[["2009",11]]}}}],"schema":"https://github.com/citation-style-language/schema/raw/master/csl-citation.json"} </w:instrText>
            </w:r>
            <w:r>
              <w:fldChar w:fldCharType="separate"/>
            </w:r>
            <w:r w:rsidR="004A1963" w:rsidRPr="004A1963">
              <w:rPr>
                <w:rFonts w:ascii="Calibri" w:hAnsi="Calibri"/>
              </w:rPr>
              <w:t>(306)</w:t>
            </w:r>
            <w:r>
              <w:fldChar w:fldCharType="end"/>
            </w:r>
          </w:p>
        </w:tc>
      </w:tr>
      <w:tr w:rsidR="00B46718" w14:paraId="1BA33A47" w14:textId="77777777" w:rsidTr="004B2ADE">
        <w:trPr>
          <w:trHeight w:val="260"/>
        </w:trPr>
        <w:tc>
          <w:tcPr>
            <w:tcW w:w="2395" w:type="dxa"/>
            <w:vAlign w:val="center"/>
          </w:tcPr>
          <w:p w14:paraId="656FF976" w14:textId="77777777" w:rsidR="00B46718" w:rsidRPr="00D61B4E" w:rsidRDefault="00B46718" w:rsidP="001E4361">
            <w:pPr>
              <w:spacing w:line="360" w:lineRule="auto"/>
              <w:jc w:val="center"/>
              <w:rPr>
                <w:i/>
              </w:rPr>
            </w:pPr>
            <w:r w:rsidRPr="00D61B4E">
              <w:rPr>
                <w:i/>
              </w:rPr>
              <w:t>UAS-pdk</w:t>
            </w:r>
          </w:p>
        </w:tc>
        <w:tc>
          <w:tcPr>
            <w:tcW w:w="1559" w:type="dxa"/>
            <w:vAlign w:val="center"/>
          </w:tcPr>
          <w:p w14:paraId="13C221F9" w14:textId="77777777" w:rsidR="00B46718" w:rsidRDefault="00B46718" w:rsidP="001E4361">
            <w:pPr>
              <w:spacing w:line="360" w:lineRule="auto"/>
              <w:jc w:val="center"/>
            </w:pPr>
            <w:r>
              <w:t>2</w:t>
            </w:r>
          </w:p>
        </w:tc>
        <w:tc>
          <w:tcPr>
            <w:tcW w:w="2694" w:type="dxa"/>
            <w:vAlign w:val="center"/>
          </w:tcPr>
          <w:p w14:paraId="199E1BD6" w14:textId="77777777" w:rsidR="00B46718" w:rsidRDefault="00B46718" w:rsidP="001E4361">
            <w:pPr>
              <w:spacing w:line="360" w:lineRule="auto"/>
              <w:jc w:val="center"/>
            </w:pPr>
            <w:r>
              <w:t>Bloomington Stock Centre</w:t>
            </w:r>
          </w:p>
        </w:tc>
        <w:tc>
          <w:tcPr>
            <w:tcW w:w="2268" w:type="dxa"/>
            <w:vAlign w:val="center"/>
          </w:tcPr>
          <w:p w14:paraId="619E9411" w14:textId="3BEAA416" w:rsidR="00B46718" w:rsidRDefault="00B46718" w:rsidP="001E4361">
            <w:pPr>
              <w:spacing w:line="360" w:lineRule="auto"/>
              <w:jc w:val="center"/>
            </w:pPr>
            <w:r>
              <w:fldChar w:fldCharType="begin"/>
            </w:r>
            <w:r w:rsidR="000A209C">
              <w:instrText xml:space="preserve"> ADDIN ZOTERO_ITEM CSL_CITATION {"citationID":"bG0YfYZN","properties":{"formattedCitation":"(307)","plainCitation":"(307)","noteIndex":0},"citationItems":[{"id":1625,"uris":["http://zotero.org/users/952979/items/G2VFUTLY"],"uri":["http://zotero.org/users/952979/items/G2VFUTLY"],"itemData":{"id":1625,"type":"article-journal","title":"The BDGP gene disruption project: single transposon insertions associated with 40% of Drosophila genes","container-title":"Genetics","page":"761-781","volume":"167","issue":"2","source":"PubMed","abstract":"The Berkeley Drosophila Genome Project (BDGP) strives to disrupt each Drosophila gene by the insertion of a single transposable element. As part of this effort, transposons in &gt;30,000 fly strains were localized and analyzed relative to predicted Drosophila gene structures. Approximately 6300 lines that maximize genomic coverage were selected to be sent to the Bloomington Stock Center for public distribution, bringing the size of the BDGP gene disruption collection to 7140 lines. It now includes individual lines predicted to disrupt 5362 of the 13,666 currently annotated Drosophila genes (39%). Other lines contain an insertion at least 2 kb from others in the collection and likely mutate additional incompletely annotated or uncharacterized genes and chromosomal regulatory elements. The remaining strains contain insertions likely to disrupt alternative gene promoters or to allow gene misexpression. The expanded BDGP gene disruption collection provides a public resource that will facilitate the application of Drosophila genetics to diverse biological problems. Finally, the project reveals new insight into how transposons interact with a eukaryotic genome and helps define optimal strategies for using insertional mutagenesis as a genomic tool.","DOI":"10.1534/genetics.104.026427","ISSN":"0016-6731","note":"PMID: 15238527\nPMCID: PMC1470905","shortTitle":"The BDGP gene disruption project","journalAbbreviation":"Genetics","language":"eng","author":[{"family":"Bellen","given":"Hugo J."},{"family":"Levis","given":"Robert W."},{"family":"Liao","given":"Guochun"},{"family":"He","given":"Yuchun"},{"family":"Carlson","given":"Joseph W."},{"family":"Tsang","given":"Garson"},{"family":"Evans-Holm","given":"Martha"},{"family":"Hiesinger","given":"P. Robin"},{"family":"Schulze","given":"Karen L."},{"family":"Rubin","given":"Gerald M."},{"family":"Hoskins","given":"Roger A."},{"family":"Spradling","given":"Allan C."}],"issued":{"date-parts":[["2004",6]]}}}],"schema":"https://github.com/citation-style-language/schema/raw/master/csl-citation.json"} </w:instrText>
            </w:r>
            <w:r>
              <w:fldChar w:fldCharType="separate"/>
            </w:r>
            <w:r w:rsidR="004A1963" w:rsidRPr="004A1963">
              <w:rPr>
                <w:rFonts w:ascii="Calibri" w:hAnsi="Calibri"/>
              </w:rPr>
              <w:t>(307)</w:t>
            </w:r>
            <w:r>
              <w:fldChar w:fldCharType="end"/>
            </w:r>
          </w:p>
        </w:tc>
      </w:tr>
      <w:tr w:rsidR="00B46718" w14:paraId="49904427" w14:textId="77777777" w:rsidTr="004B2ADE">
        <w:trPr>
          <w:trHeight w:val="260"/>
        </w:trPr>
        <w:tc>
          <w:tcPr>
            <w:tcW w:w="2395" w:type="dxa"/>
            <w:vAlign w:val="center"/>
          </w:tcPr>
          <w:p w14:paraId="65A14049" w14:textId="3C39D584" w:rsidR="00B46718" w:rsidRPr="00D61B4E" w:rsidRDefault="00B46718" w:rsidP="001E4361">
            <w:pPr>
              <w:spacing w:line="360" w:lineRule="auto"/>
              <w:jc w:val="center"/>
              <w:rPr>
                <w:i/>
              </w:rPr>
            </w:pPr>
            <w:r>
              <w:rPr>
                <w:i/>
              </w:rPr>
              <w:t>UAS-MANF</w:t>
            </w:r>
          </w:p>
        </w:tc>
        <w:tc>
          <w:tcPr>
            <w:tcW w:w="1559" w:type="dxa"/>
            <w:vAlign w:val="center"/>
          </w:tcPr>
          <w:p w14:paraId="762C29AD" w14:textId="77777777" w:rsidR="00B46718" w:rsidRDefault="00B46718" w:rsidP="001E4361">
            <w:pPr>
              <w:spacing w:line="360" w:lineRule="auto"/>
              <w:jc w:val="center"/>
            </w:pPr>
            <w:r>
              <w:t>2</w:t>
            </w:r>
          </w:p>
        </w:tc>
        <w:tc>
          <w:tcPr>
            <w:tcW w:w="2694" w:type="dxa"/>
            <w:vAlign w:val="center"/>
          </w:tcPr>
          <w:p w14:paraId="1747C70A" w14:textId="77777777" w:rsidR="00B46718" w:rsidRDefault="00B46718" w:rsidP="001E4361">
            <w:pPr>
              <w:spacing w:line="360" w:lineRule="auto"/>
              <w:jc w:val="center"/>
            </w:pPr>
            <w:r>
              <w:t>Bloomington Stock Centre</w:t>
            </w:r>
          </w:p>
        </w:tc>
        <w:tc>
          <w:tcPr>
            <w:tcW w:w="2268" w:type="dxa"/>
            <w:vAlign w:val="center"/>
          </w:tcPr>
          <w:p w14:paraId="37AB8168" w14:textId="68710474" w:rsidR="00B46718" w:rsidRDefault="00B46718" w:rsidP="001E4361">
            <w:pPr>
              <w:spacing w:line="360" w:lineRule="auto"/>
              <w:jc w:val="center"/>
            </w:pPr>
            <w:r>
              <w:fldChar w:fldCharType="begin"/>
            </w:r>
            <w:r w:rsidR="000A209C">
              <w:instrText xml:space="preserve"> ADDIN ZOTERO_ITEM CSL_CITATION {"citationID":"A6BFAMIN","properties":{"formattedCitation":"(141)","plainCitation":"(141)","noteIndex":0},"citationItems":[{"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fldChar w:fldCharType="separate"/>
            </w:r>
            <w:r w:rsidR="004A1963" w:rsidRPr="004A1963">
              <w:rPr>
                <w:rFonts w:ascii="Calibri" w:hAnsi="Calibri"/>
              </w:rPr>
              <w:t>(141)</w:t>
            </w:r>
            <w:r>
              <w:fldChar w:fldCharType="end"/>
            </w:r>
          </w:p>
        </w:tc>
      </w:tr>
      <w:tr w:rsidR="00B46718" w14:paraId="479DE252" w14:textId="77777777" w:rsidTr="004B2ADE">
        <w:trPr>
          <w:trHeight w:val="260"/>
        </w:trPr>
        <w:tc>
          <w:tcPr>
            <w:tcW w:w="2395" w:type="dxa"/>
            <w:vAlign w:val="center"/>
          </w:tcPr>
          <w:p w14:paraId="393E5B12" w14:textId="77777777" w:rsidR="00B46718" w:rsidRPr="00D61B4E" w:rsidRDefault="00B46718" w:rsidP="001E4361">
            <w:pPr>
              <w:spacing w:line="360" w:lineRule="auto"/>
              <w:jc w:val="center"/>
              <w:rPr>
                <w:i/>
              </w:rPr>
            </w:pPr>
            <w:r w:rsidRPr="00D61B4E">
              <w:rPr>
                <w:i/>
              </w:rPr>
              <w:t>UAS-spz*</w:t>
            </w:r>
          </w:p>
        </w:tc>
        <w:tc>
          <w:tcPr>
            <w:tcW w:w="1559" w:type="dxa"/>
            <w:vAlign w:val="center"/>
          </w:tcPr>
          <w:p w14:paraId="28388BCB" w14:textId="77777777" w:rsidR="00B46718" w:rsidRDefault="00B46718" w:rsidP="001E4361">
            <w:pPr>
              <w:spacing w:line="360" w:lineRule="auto"/>
              <w:jc w:val="center"/>
            </w:pPr>
            <w:r>
              <w:t>2</w:t>
            </w:r>
          </w:p>
        </w:tc>
        <w:tc>
          <w:tcPr>
            <w:tcW w:w="2694" w:type="dxa"/>
            <w:vAlign w:val="center"/>
          </w:tcPr>
          <w:p w14:paraId="1C57C4D0" w14:textId="77777777" w:rsidR="00B46718" w:rsidRDefault="00B46718" w:rsidP="001E4361">
            <w:pPr>
              <w:spacing w:line="360" w:lineRule="auto"/>
              <w:jc w:val="center"/>
            </w:pPr>
            <w:r>
              <w:t>Gift from Jean-Marc Reichhart</w:t>
            </w:r>
          </w:p>
        </w:tc>
        <w:tc>
          <w:tcPr>
            <w:tcW w:w="2268" w:type="dxa"/>
            <w:vAlign w:val="center"/>
          </w:tcPr>
          <w:p w14:paraId="6E261FC6" w14:textId="0C28EC58" w:rsidR="00B46718" w:rsidRDefault="00B46718" w:rsidP="001E4361">
            <w:pPr>
              <w:jc w:val="center"/>
            </w:pPr>
            <w:r>
              <w:rPr>
                <w:rFonts w:eastAsia="Times New Roman"/>
              </w:rPr>
              <w:fldChar w:fldCharType="begin"/>
            </w:r>
            <w:r w:rsidR="000A209C">
              <w:rPr>
                <w:rFonts w:eastAsia="Times New Roman"/>
              </w:rPr>
              <w:instrText xml:space="preserve"> ADDIN ZOTERO_ITEM CSL_CITATION {"citationID":"opmlXtWx","properties":{"formattedCitation":"(308)","plainCitation":"(308)","noteIndex":0},"citationItems":[{"id":1803,"uris":["http://zotero.org/users/952979/items/R5BHXF6U"],"uri":["http://zotero.org/users/952979/items/R5BHXF6U"],"itemData":{"id":1803,"type":"article-journal","title":"Activation of Drosophila Toll during fungal infection by a blood serine protease","container-title":"Science (New York, N.Y.)","page":"114-116","volume":"297","issue":"5578","source":"PubMed","abstract":"Drosophila host defense to fungal and Gram-positive bacterial infection is mediated by the Spaetzle/Toll/cactus gene cassette. It has been proposed that Toll does not function as a pattern recognition receptor per se but is activated through a cleaved form of the cytokine Spaetzle. The upstream events linking infection to the cleavage of Spaetzle have long remained elusive. Here we report the identification of a central component of the fungal activation of Toll. We show that ethylmethane sulfonate-induced mutations in the persephone gene, which encodes a previously unknown serine protease, block induction of the Toll pathway by fungi and resistance to this type of infection.","DOI":"10.1126/science.1072391","ISSN":"1095-9203","note":"PMID: 12098703","journalAbbreviation":"Science","language":"eng","author":[{"family":"Ligoxygakis","given":"Petros"},{"family":"Pelte","given":"Nadège"},{"family":"Hoffmann","given":"Jules A."},{"family":"Reichhart","given":"Jean-Marc"}],"issued":{"date-parts":[["2002",7,5]]}}}],"schema":"https://github.com/citation-style-language/schema/raw/master/csl-citation.json"} </w:instrText>
            </w:r>
            <w:r>
              <w:rPr>
                <w:rFonts w:eastAsia="Times New Roman"/>
              </w:rPr>
              <w:fldChar w:fldCharType="separate"/>
            </w:r>
            <w:r w:rsidR="004A1963" w:rsidRPr="004A1963">
              <w:rPr>
                <w:rFonts w:ascii="Calibri" w:hAnsi="Calibri"/>
              </w:rPr>
              <w:t>(308)</w:t>
            </w:r>
            <w:r>
              <w:rPr>
                <w:rFonts w:eastAsia="Times New Roman"/>
              </w:rPr>
              <w:fldChar w:fldCharType="end"/>
            </w:r>
          </w:p>
        </w:tc>
      </w:tr>
    </w:tbl>
    <w:p w14:paraId="0F003324" w14:textId="77777777" w:rsidR="0084644E" w:rsidRDefault="0084644E" w:rsidP="0084644E">
      <w:pPr>
        <w:spacing w:line="360" w:lineRule="auto"/>
      </w:pPr>
    </w:p>
    <w:p w14:paraId="15B6AD45" w14:textId="77777777" w:rsidR="0084644E" w:rsidRDefault="0084644E" w:rsidP="0084644E">
      <w:pPr>
        <w:pStyle w:val="Heading4"/>
        <w:spacing w:line="360" w:lineRule="auto"/>
      </w:pPr>
      <w:r>
        <w:tab/>
      </w:r>
      <w:r>
        <w:tab/>
      </w:r>
      <w:r>
        <w:tab/>
      </w:r>
      <w:bookmarkStart w:id="72" w:name="_Toc476834044"/>
      <w:r>
        <w:t>2.1.1.2 Mutant alleles and deficiencies used in this study</w:t>
      </w:r>
      <w:bookmarkEnd w:id="72"/>
    </w:p>
    <w:p w14:paraId="1C21E498" w14:textId="77777777" w:rsidR="0084644E" w:rsidRDefault="0084644E" w:rsidP="0084644E">
      <w:pPr>
        <w:spacing w:line="360" w:lineRule="auto"/>
      </w:pPr>
    </w:p>
    <w:p w14:paraId="5B4B5B5B" w14:textId="77777777" w:rsidR="0084644E" w:rsidRPr="00974436" w:rsidRDefault="0084644E" w:rsidP="0084644E">
      <w:pPr>
        <w:pStyle w:val="Thesisnormal"/>
      </w:pPr>
      <w:r>
        <w:t xml:space="preserve">A number of mutant alleles (Table 2.4) and deficiencies (Table 2.5) were used to investigate the genetic basis of macrophage/macrophage subpopulation function. Fly lines generated from these stocks are listed in full in appendix 1. </w:t>
      </w:r>
    </w:p>
    <w:p w14:paraId="74FC9E7A" w14:textId="77777777" w:rsidR="0084644E" w:rsidRDefault="0084644E" w:rsidP="0084644E">
      <w:pPr>
        <w:pStyle w:val="Thesisnormal"/>
      </w:pPr>
    </w:p>
    <w:p w14:paraId="1A58A828" w14:textId="77777777" w:rsidR="0084644E" w:rsidRPr="00E956CD" w:rsidRDefault="0084644E" w:rsidP="0084644E">
      <w:pPr>
        <w:pStyle w:val="No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9"/>
        <w:gridCol w:w="1664"/>
        <w:gridCol w:w="3019"/>
        <w:gridCol w:w="1994"/>
      </w:tblGrid>
      <w:tr w:rsidR="0084644E" w14:paraId="34ED191F" w14:textId="77777777" w:rsidTr="004B2ADE">
        <w:tc>
          <w:tcPr>
            <w:tcW w:w="9236" w:type="dxa"/>
            <w:gridSpan w:val="4"/>
            <w:vAlign w:val="center"/>
          </w:tcPr>
          <w:p w14:paraId="5637C77E" w14:textId="77777777" w:rsidR="0084644E" w:rsidRPr="006A45E9" w:rsidRDefault="0084644E" w:rsidP="001E4361">
            <w:pPr>
              <w:pStyle w:val="Thesisnormal"/>
              <w:jc w:val="center"/>
              <w:rPr>
                <w:b/>
                <w:u w:val="single"/>
              </w:rPr>
            </w:pPr>
            <w:r w:rsidRPr="006A45E9">
              <w:rPr>
                <w:b/>
                <w:u w:val="single"/>
              </w:rPr>
              <w:t>Table 2.4 Mutant alleles used in this study</w:t>
            </w:r>
          </w:p>
        </w:tc>
      </w:tr>
      <w:tr w:rsidR="0084644E" w14:paraId="2406EE3F" w14:textId="77777777" w:rsidTr="004B2ADE">
        <w:tc>
          <w:tcPr>
            <w:tcW w:w="2406" w:type="dxa"/>
            <w:vAlign w:val="center"/>
          </w:tcPr>
          <w:p w14:paraId="06E986C4" w14:textId="77777777" w:rsidR="0084644E" w:rsidRPr="00A83999" w:rsidRDefault="0084644E" w:rsidP="001E4361">
            <w:pPr>
              <w:pStyle w:val="Thesisnormal"/>
              <w:jc w:val="center"/>
              <w:rPr>
                <w:b/>
                <w:u w:val="single"/>
              </w:rPr>
            </w:pPr>
            <w:r w:rsidRPr="00A83999">
              <w:rPr>
                <w:b/>
                <w:u w:val="single"/>
              </w:rPr>
              <w:t>Genotype</w:t>
            </w:r>
          </w:p>
        </w:tc>
        <w:tc>
          <w:tcPr>
            <w:tcW w:w="1671" w:type="dxa"/>
            <w:vAlign w:val="center"/>
          </w:tcPr>
          <w:p w14:paraId="47E3D223" w14:textId="77777777" w:rsidR="0084644E" w:rsidRPr="00A83999" w:rsidRDefault="0084644E" w:rsidP="001E4361">
            <w:pPr>
              <w:pStyle w:val="Thesisnormal"/>
              <w:jc w:val="center"/>
              <w:rPr>
                <w:b/>
                <w:u w:val="single"/>
              </w:rPr>
            </w:pPr>
            <w:r>
              <w:rPr>
                <w:b/>
                <w:u w:val="single"/>
              </w:rPr>
              <w:t>Chromosome</w:t>
            </w:r>
          </w:p>
        </w:tc>
        <w:tc>
          <w:tcPr>
            <w:tcW w:w="3119" w:type="dxa"/>
            <w:vAlign w:val="center"/>
          </w:tcPr>
          <w:p w14:paraId="0A0166C1" w14:textId="77777777" w:rsidR="0084644E" w:rsidRPr="00A83999" w:rsidRDefault="0084644E" w:rsidP="001E4361">
            <w:pPr>
              <w:pStyle w:val="Thesisnormal"/>
              <w:jc w:val="center"/>
              <w:rPr>
                <w:b/>
                <w:u w:val="single"/>
              </w:rPr>
            </w:pPr>
            <w:r w:rsidRPr="00A83999">
              <w:rPr>
                <w:b/>
                <w:u w:val="single"/>
              </w:rPr>
              <w:t>Supplier</w:t>
            </w:r>
          </w:p>
        </w:tc>
        <w:tc>
          <w:tcPr>
            <w:tcW w:w="2040" w:type="dxa"/>
            <w:vAlign w:val="center"/>
          </w:tcPr>
          <w:p w14:paraId="72CFAC03" w14:textId="77777777" w:rsidR="0084644E" w:rsidRPr="00A83999" w:rsidRDefault="0084644E" w:rsidP="001E4361">
            <w:pPr>
              <w:pStyle w:val="Thesisnormal"/>
              <w:jc w:val="center"/>
              <w:rPr>
                <w:b/>
                <w:u w:val="single"/>
              </w:rPr>
            </w:pPr>
            <w:r w:rsidRPr="00A83999">
              <w:rPr>
                <w:b/>
                <w:u w:val="single"/>
              </w:rPr>
              <w:t>Reference</w:t>
            </w:r>
          </w:p>
        </w:tc>
      </w:tr>
      <w:tr w:rsidR="0084644E" w14:paraId="1085C045" w14:textId="77777777" w:rsidTr="004B2ADE">
        <w:trPr>
          <w:trHeight w:val="548"/>
        </w:trPr>
        <w:tc>
          <w:tcPr>
            <w:tcW w:w="2406" w:type="dxa"/>
            <w:vAlign w:val="center"/>
          </w:tcPr>
          <w:p w14:paraId="38EEA3CE" w14:textId="77777777" w:rsidR="0084644E" w:rsidRPr="00D61B4E" w:rsidRDefault="0084644E" w:rsidP="001E4361">
            <w:pPr>
              <w:spacing w:line="360" w:lineRule="auto"/>
              <w:jc w:val="center"/>
              <w:rPr>
                <w:i/>
                <w:vertAlign w:val="superscript"/>
              </w:rPr>
            </w:pPr>
            <w:r w:rsidRPr="00D61B4E">
              <w:rPr>
                <w:i/>
              </w:rPr>
              <w:t>repo</w:t>
            </w:r>
            <w:r w:rsidRPr="00D61B4E">
              <w:rPr>
                <w:i/>
                <w:vertAlign w:val="superscript"/>
              </w:rPr>
              <w:t>03702</w:t>
            </w:r>
          </w:p>
        </w:tc>
        <w:tc>
          <w:tcPr>
            <w:tcW w:w="1671" w:type="dxa"/>
            <w:vAlign w:val="center"/>
          </w:tcPr>
          <w:p w14:paraId="360EE32A" w14:textId="77777777" w:rsidR="0084644E" w:rsidRDefault="0084644E" w:rsidP="001E4361">
            <w:pPr>
              <w:spacing w:line="360" w:lineRule="auto"/>
              <w:jc w:val="center"/>
            </w:pPr>
            <w:r>
              <w:t>3</w:t>
            </w:r>
          </w:p>
        </w:tc>
        <w:tc>
          <w:tcPr>
            <w:tcW w:w="3119" w:type="dxa"/>
            <w:vAlign w:val="center"/>
          </w:tcPr>
          <w:p w14:paraId="742D871D" w14:textId="77777777" w:rsidR="0084644E" w:rsidRDefault="0084644E" w:rsidP="001E4361">
            <w:pPr>
              <w:spacing w:line="360" w:lineRule="auto"/>
              <w:jc w:val="center"/>
            </w:pPr>
            <w:r>
              <w:t>Bloomington Stock Centre</w:t>
            </w:r>
          </w:p>
        </w:tc>
        <w:tc>
          <w:tcPr>
            <w:tcW w:w="2040" w:type="dxa"/>
            <w:vAlign w:val="center"/>
          </w:tcPr>
          <w:p w14:paraId="11A560F8" w14:textId="222A3872" w:rsidR="0084644E" w:rsidRDefault="0084644E" w:rsidP="001E4361">
            <w:pPr>
              <w:spacing w:line="360" w:lineRule="auto"/>
              <w:jc w:val="center"/>
            </w:pPr>
            <w:r>
              <w:fldChar w:fldCharType="begin"/>
            </w:r>
            <w:r w:rsidR="000A209C">
              <w:instrText xml:space="preserve"> ADDIN ZOTERO_ITEM CSL_CITATION {"citationID":"dc17c01r","properties":{"formattedCitation":"(309)","plainCitation":"(309)","noteIndex":0},"citationItems":[{"id":1804,"uris":["http://zotero.org/users/952979/items/JPBTFDXH"],"uri":["http://zotero.org/users/952979/items/JPBTFDXH"],"itemData":{"id":1804,"type":"article-journal","title":"The homeobox gene repo is required for the differentiation and maintenance of glia function in the embryonic nervous system of Drosophila melanogaster","container-title":"Development (Cambridge, England)","page":"317-332","volume":"121","issue":"2","source":"PubMed","abstract":"We describe the cloning, expression and phenotypic characterisation of repo, a gene from Drosophila melanogaster that is essential for the differentiation and maintenance of glia function. It is not, however, required for the initial determination of glial cells. In the embryo, the gene, which encodes a homeodomain protein, is expressed exclusively in all developing glia and closely related cells in both the central and peripheral nervous systems. The only observed exceptions in the CNS are the midline glia derived from the mesectoderm and two of three segmental nerve root glial cells. Using a polyclonal antibody we traced the spatial and temporal pattern of the protein expression in detail. Embryos homozygous for null alleles of the protein exhibit late developmental defects in the nervous system, including a reduction in the number of glial cells, disrupted fasciculation of axons, and the inhibition of ventral nerve cord condensation. The expression of an early glial-specific marker is unaffected in such homozygotes. By contrast, the expression of late glial-specific markers is either substantially reduced or absent. The specificity of expression is also observed in the locust Schistocerca gregaria and is thus evolutionarily conserved.","ISSN":"0950-1991","note":"PMID: 7768175","journalAbbreviation":"Development","language":"eng","author":[{"family":"Halter","given":"D. A."},{"family":"Urban","given":"J."},{"family":"Rickert","given":"C."},{"family":"Ner","given":"S. S."},{"family":"Ito","given":"K."},{"family":"Travers","given":"A. A."},{"family":"Technau","given":"G. M."}],"issued":{"date-parts":[["1995",2]]}}}],"schema":"https://github.com/citation-style-language/schema/raw/master/csl-citation.json"} </w:instrText>
            </w:r>
            <w:r>
              <w:fldChar w:fldCharType="separate"/>
            </w:r>
            <w:r w:rsidR="004A1963" w:rsidRPr="004A1963">
              <w:rPr>
                <w:rFonts w:ascii="Calibri" w:hAnsi="Calibri"/>
              </w:rPr>
              <w:t>(309)</w:t>
            </w:r>
            <w:r>
              <w:fldChar w:fldCharType="end"/>
            </w:r>
          </w:p>
        </w:tc>
      </w:tr>
      <w:tr w:rsidR="0084644E" w14:paraId="68477FB0" w14:textId="77777777" w:rsidTr="004B2ADE">
        <w:trPr>
          <w:trHeight w:val="467"/>
        </w:trPr>
        <w:tc>
          <w:tcPr>
            <w:tcW w:w="2406" w:type="dxa"/>
            <w:vAlign w:val="center"/>
          </w:tcPr>
          <w:p w14:paraId="762DD70D" w14:textId="77777777" w:rsidR="0084644E" w:rsidRPr="00D61B4E" w:rsidRDefault="0084644E" w:rsidP="001E4361">
            <w:pPr>
              <w:spacing w:line="360" w:lineRule="auto"/>
              <w:jc w:val="center"/>
              <w:rPr>
                <w:i/>
                <w:vertAlign w:val="superscript"/>
              </w:rPr>
            </w:pPr>
            <w:r w:rsidRPr="00D61B4E">
              <w:rPr>
                <w:i/>
              </w:rPr>
              <w:t>Upd</w:t>
            </w:r>
            <w:r w:rsidRPr="00D61B4E">
              <w:rPr>
                <w:i/>
                <w:vertAlign w:val="superscript"/>
              </w:rPr>
              <w:t>YM55</w:t>
            </w:r>
          </w:p>
        </w:tc>
        <w:tc>
          <w:tcPr>
            <w:tcW w:w="1671" w:type="dxa"/>
            <w:vAlign w:val="center"/>
          </w:tcPr>
          <w:p w14:paraId="57A01292" w14:textId="77777777" w:rsidR="0084644E" w:rsidRDefault="0084644E" w:rsidP="001E4361">
            <w:pPr>
              <w:spacing w:line="360" w:lineRule="auto"/>
              <w:jc w:val="center"/>
            </w:pPr>
            <w:r>
              <w:t>X</w:t>
            </w:r>
          </w:p>
        </w:tc>
        <w:tc>
          <w:tcPr>
            <w:tcW w:w="3119" w:type="dxa"/>
            <w:vAlign w:val="center"/>
          </w:tcPr>
          <w:p w14:paraId="32F546D4" w14:textId="77777777" w:rsidR="0084644E" w:rsidRDefault="0084644E" w:rsidP="001E4361">
            <w:pPr>
              <w:spacing w:line="360" w:lineRule="auto"/>
              <w:jc w:val="center"/>
            </w:pPr>
            <w:r>
              <w:t>Bloomington Stock Centre</w:t>
            </w:r>
          </w:p>
        </w:tc>
        <w:tc>
          <w:tcPr>
            <w:tcW w:w="2040" w:type="dxa"/>
            <w:vAlign w:val="center"/>
          </w:tcPr>
          <w:p w14:paraId="06AAFA0D" w14:textId="4660EAD2" w:rsidR="0084644E" w:rsidRDefault="0084644E" w:rsidP="001E4361">
            <w:pPr>
              <w:spacing w:line="360" w:lineRule="auto"/>
              <w:jc w:val="center"/>
            </w:pPr>
            <w:r>
              <w:fldChar w:fldCharType="begin"/>
            </w:r>
            <w:r w:rsidR="000A209C">
              <w:instrText xml:space="preserve"> ADDIN ZOTERO_ITEM CSL_CITATION {"citationID":"0LPSIh9q","properties":{"formattedCitation":"(310,311)","plainCitation":"(310,311)","noteIndex":0},"citationItems":[{"id":1623,"uris":["http://zotero.org/users/952979/items/F4G9SEYT"],"uri":["http://zotero.org/users/952979/items/F4G9SEYT"],"itemData":{"id":1623,"type":"article-journal","title":"Localized requirements for gene activity in segmentation of Drosophila embryos: analysis of armadillo, fused, giant and unpaired mutations in mosaic embryos","container-title":"Roux's archives of developmental biology: the official organ of the EDBO","page":"49-62","volume":"195","issue":"1","source":"PubMed","abstract":"In order to investigate the localized requirements for the activity of genes that are required in a Drosophila embryo for segmentation, we have analyzed the patterns in genetic mosaics. In this paper, we describe our results with four different X-chromosome linked segmentation loci: armadillo, fused, giant and unpaired. For each locus, we first describe in detail the cuticle phenotype of mutant embryos. We then describe the segmentation patterns in embryos mosaic for these mutations, in each case utilizing the shavenbaby (svb) larval cuticle marker mutation to identify the regions of pattern made by genetically mutant cells. For all four loci, we can identify embryos containing large regions of both mutant and wildtype pattern. In these mosaics the regions of mutant pattern are marked with svb and the genetically wildtype (svb +) cells make wildtype pattern. The interpretations of the patterns in embryos mosaic for fused and unpaired are complicated by the variability of the phenotypes. However, after taking these complications into account, our principal conclusion is that the requirement for embryonic gene activity seems to be primarily cell autonomous. Based on the descriptions of the mutant phenotypes of these four loci and the analysis of the mosaics, we speculate on the possible roles these genes play in the process of segmentation.","DOI":"10.1007/BF00444041","ISSN":"0930-035X","note":"PMID: 28305277","shortTitle":"Localized requirements for gene activity in segmentation of Drosophila embryos","journalAbbreviation":"Rouxs Arch. Dev. Biol.","language":"eng","author":[{"family":"Gergen","given":"J. Peter"},{"family":"Wieschaus","given":"Eric F."}],"issued":{"date-parts":[["1986",1]]}}},{"id":1773,"uris":["http://zotero.org/users/952979/items/FYVPZJY7"],"uri":["http://zotero.org/users/952979/items/FYVPZJY7"],"itemData":{"id":1773,"type":"article-journal","title":"Genetic and Developmental Analysis of Polytene Section 17 of the X Chromosome of Drosophila Melanogaster","container-title":"Genetics","page":"569-583","volume":"130","issue":"3","source":"PubMed Central","abstract":"Polytene section 17 of the X chromosome of Drosophila melanogaster, previously known to contain six putative lethal complementation groups important in oogenesis and embryogenesis, has here been further characterized genetically and developmentally. We constructed fcl(+)Y, a duplication of this region, which allowed us to conduct mutagenesis screens specific for the region and to perform complementation analyses (previously not possible). We recovered 67 new lethal mutations which defined 15 complementation groups within Df(1)N19 which deletes most of polytene section 17. The zygotic lethal phenotypes of these and preexisting mutations within polytene section 17 were examined, and their maternal requirements were analysed in homozygous germline clones using the dominant female sterile technique. We present evidence that an additional gene, which produces two developmentally regulated transcripts, is located in this region and is involved in embryogenesis, although no mutations in this gene were identified. In this interval of 37 to 43 polytene chromosome bands we have defined 17 genes, 12 (71%) of which are of significance to oogenesis or embryogenesis.","ISSN":"0016-6731","note":"PMID: 1551578\nPMCID: PMC1204874","journalAbbreviation":"Genetics","author":[{"family":"Eberl","given":"D. F."},{"family":"Perkins","given":"L. A."},{"family":"Engelstein","given":"M."},{"family":"Hilliker","given":"A. J."},{"family":"Perrimon","given":"N."}],"issued":{"date-parts":[["1992",3]]}}}],"schema":"https://github.com/citation-style-language/schema/raw/master/csl-citation.json"} </w:instrText>
            </w:r>
            <w:r>
              <w:fldChar w:fldCharType="separate"/>
            </w:r>
            <w:r w:rsidR="004A1963" w:rsidRPr="004A1963">
              <w:rPr>
                <w:rFonts w:ascii="Calibri" w:hAnsi="Calibri"/>
              </w:rPr>
              <w:t>(310,311)</w:t>
            </w:r>
            <w:r>
              <w:fldChar w:fldCharType="end"/>
            </w:r>
          </w:p>
        </w:tc>
      </w:tr>
      <w:tr w:rsidR="0084644E" w14:paraId="5167D2F0" w14:textId="77777777" w:rsidTr="004B2ADE">
        <w:trPr>
          <w:trHeight w:val="872"/>
        </w:trPr>
        <w:tc>
          <w:tcPr>
            <w:tcW w:w="2406" w:type="dxa"/>
            <w:vAlign w:val="center"/>
          </w:tcPr>
          <w:p w14:paraId="19FA8145" w14:textId="77777777" w:rsidR="0084644E" w:rsidRPr="00D61B4E" w:rsidRDefault="0084644E" w:rsidP="001E4361">
            <w:pPr>
              <w:spacing w:line="360" w:lineRule="auto"/>
              <w:jc w:val="center"/>
              <w:rPr>
                <w:i/>
                <w:vertAlign w:val="superscript"/>
              </w:rPr>
            </w:pPr>
            <w:r w:rsidRPr="00D61B4E">
              <w:rPr>
                <w:i/>
              </w:rPr>
              <w:t>Upd</w:t>
            </w:r>
            <w:r w:rsidRPr="00D61B4E">
              <w:rPr>
                <w:i/>
                <w:vertAlign w:val="superscript"/>
              </w:rPr>
              <w:t>OS1A</w:t>
            </w:r>
          </w:p>
        </w:tc>
        <w:tc>
          <w:tcPr>
            <w:tcW w:w="1671" w:type="dxa"/>
            <w:vAlign w:val="center"/>
          </w:tcPr>
          <w:p w14:paraId="3A3DF0FC" w14:textId="77777777" w:rsidR="0084644E" w:rsidRDefault="0084644E" w:rsidP="001E4361">
            <w:pPr>
              <w:spacing w:line="360" w:lineRule="auto"/>
              <w:jc w:val="center"/>
            </w:pPr>
            <w:r>
              <w:t>X</w:t>
            </w:r>
          </w:p>
        </w:tc>
        <w:tc>
          <w:tcPr>
            <w:tcW w:w="3119" w:type="dxa"/>
            <w:vAlign w:val="center"/>
          </w:tcPr>
          <w:p w14:paraId="7552C0DF" w14:textId="77777777" w:rsidR="0084644E" w:rsidRDefault="0084644E" w:rsidP="001E4361">
            <w:pPr>
              <w:spacing w:line="360" w:lineRule="auto"/>
              <w:jc w:val="center"/>
            </w:pPr>
            <w:r>
              <w:t>Bloomington Stock Centre</w:t>
            </w:r>
          </w:p>
        </w:tc>
        <w:tc>
          <w:tcPr>
            <w:tcW w:w="2040" w:type="dxa"/>
            <w:vAlign w:val="center"/>
          </w:tcPr>
          <w:p w14:paraId="02BE163D" w14:textId="752F2DA6" w:rsidR="0084644E" w:rsidRDefault="0084644E" w:rsidP="001E4361">
            <w:pPr>
              <w:spacing w:line="360" w:lineRule="auto"/>
              <w:jc w:val="center"/>
            </w:pPr>
            <w:r>
              <w:fldChar w:fldCharType="begin"/>
            </w:r>
            <w:r w:rsidR="000A209C">
              <w:instrText xml:space="preserve"> ADDIN ZOTERO_ITEM CSL_CITATION {"citationID":"j3WiCIRo","properties":{"formattedCitation":"(310,311)","plainCitation":"(310,311)","noteIndex":0},"citationItems":[{"id":1623,"uris":["http://zotero.org/users/952979/items/F4G9SEYT"],"uri":["http://zotero.org/users/952979/items/F4G9SEYT"],"itemData":{"id":1623,"type":"article-journal","title":"Localized requirements for gene activity in segmentation of Drosophila embryos: analysis of armadillo, fused, giant and unpaired mutations in mosaic embryos","container-title":"Roux's archives of developmental biology: the official organ of the EDBO","page":"49-62","volume":"195","issue":"1","source":"PubMed","abstract":"In order to investigate the localized requirements for the activity of genes that are required in a Drosophila embryo for segmentation, we have analyzed the patterns in genetic mosaics. In this paper, we describe our results with four different X-chromosome linked segmentation loci: armadillo, fused, giant and unpaired. For each locus, we first describe in detail the cuticle phenotype of mutant embryos. We then describe the segmentation patterns in embryos mosaic for these mutations, in each case utilizing the shavenbaby (svb) larval cuticle marker mutation to identify the regions of pattern made by genetically mutant cells. For all four loci, we can identify embryos containing large regions of both mutant and wildtype pattern. In these mosaics the regions of mutant pattern are marked with svb and the genetically wildtype (svb +) cells make wildtype pattern. The interpretations of the patterns in embryos mosaic for fused and unpaired are complicated by the variability of the phenotypes. However, after taking these complications into account, our principal conclusion is that the requirement for embryonic gene activity seems to be primarily cell autonomous. Based on the descriptions of the mutant phenotypes of these four loci and the analysis of the mosaics, we speculate on the possible roles these genes play in the process of segmentation.","DOI":"10.1007/BF00444041","ISSN":"0930-035X","note":"PMID: 28305277","shortTitle":"Localized requirements for gene activity in segmentation of Drosophila embryos","journalAbbreviation":"Rouxs Arch. Dev. Biol.","language":"eng","author":[{"family":"Gergen","given":"J. Peter"},{"family":"Wieschaus","given":"Eric F."}],"issued":{"date-parts":[["1986",1]]}}},{"id":1773,"uris":["http://zotero.org/users/952979/items/FYVPZJY7"],"uri":["http://zotero.org/users/952979/items/FYVPZJY7"],"itemData":{"id":1773,"type":"article-journal","title":"Genetic and Developmental Analysis of Polytene Section 17 of the X Chromosome of Drosophila Melanogaster","container-title":"Genetics","page":"569-583","volume":"130","issue":"3","source":"PubMed Central","abstract":"Polytene section 17 of the X chromosome of Drosophila melanogaster, previously known to contain six putative lethal complementation groups important in oogenesis and embryogenesis, has here been further characterized genetically and developmentally. We constructed fcl(+)Y, a duplication of this region, which allowed us to conduct mutagenesis screens specific for the region and to perform complementation analyses (previously not possible). We recovered 67 new lethal mutations which defined 15 complementation groups within Df(1)N19 which deletes most of polytene section 17. The zygotic lethal phenotypes of these and preexisting mutations within polytene section 17 were examined, and their maternal requirements were analysed in homozygous germline clones using the dominant female sterile technique. We present evidence that an additional gene, which produces two developmentally regulated transcripts, is located in this region and is involved in embryogenesis, although no mutations in this gene were identified. In this interval of 37 to 43 polytene chromosome bands we have defined 17 genes, 12 (71%) of which are of significance to oogenesis or embryogenesis.","ISSN":"0016-6731","note":"PMID: 1551578\nPMCID: PMC1204874","journalAbbreviation":"Genetics","author":[{"family":"Eberl","given":"D. F."},{"family":"Perkins","given":"L. A."},{"family":"Engelstein","given":"M."},{"family":"Hilliker","given":"A. J."},{"family":"Perrimon","given":"N."}],"issued":{"date-parts":[["1992",3]]}}}],"schema":"https://github.com/citation-style-language/schema/raw/master/csl-citation.json"} </w:instrText>
            </w:r>
            <w:r>
              <w:fldChar w:fldCharType="separate"/>
            </w:r>
            <w:r w:rsidR="004A1963" w:rsidRPr="004A1963">
              <w:rPr>
                <w:rFonts w:ascii="Calibri" w:hAnsi="Calibri"/>
              </w:rPr>
              <w:t>(310,311)</w:t>
            </w:r>
            <w:r>
              <w:fldChar w:fldCharType="end"/>
            </w:r>
          </w:p>
        </w:tc>
      </w:tr>
      <w:tr w:rsidR="0084644E" w14:paraId="59501665" w14:textId="77777777" w:rsidTr="004B2ADE">
        <w:trPr>
          <w:trHeight w:val="449"/>
        </w:trPr>
        <w:tc>
          <w:tcPr>
            <w:tcW w:w="2406" w:type="dxa"/>
            <w:vAlign w:val="center"/>
          </w:tcPr>
          <w:p w14:paraId="1714248C" w14:textId="77777777" w:rsidR="0084644E" w:rsidRPr="00D61B4E" w:rsidRDefault="0084644E" w:rsidP="001E4361">
            <w:pPr>
              <w:spacing w:line="360" w:lineRule="auto"/>
              <w:jc w:val="center"/>
              <w:rPr>
                <w:i/>
              </w:rPr>
            </w:pPr>
            <w:r w:rsidRPr="00D61B4E">
              <w:rPr>
                <w:i/>
              </w:rPr>
              <w:t>UAS-Dome</w:t>
            </w:r>
            <w:r w:rsidRPr="00D61B4E">
              <w:rPr>
                <w:i/>
                <w:vertAlign w:val="superscript"/>
              </w:rPr>
              <w:t>ΔCYT</w:t>
            </w:r>
          </w:p>
        </w:tc>
        <w:tc>
          <w:tcPr>
            <w:tcW w:w="1671" w:type="dxa"/>
            <w:vAlign w:val="center"/>
          </w:tcPr>
          <w:p w14:paraId="7ACAD3CA" w14:textId="77777777" w:rsidR="0084644E" w:rsidRDefault="0084644E" w:rsidP="001E4361">
            <w:pPr>
              <w:spacing w:line="360" w:lineRule="auto"/>
              <w:jc w:val="center"/>
            </w:pPr>
            <w:r>
              <w:t>2</w:t>
            </w:r>
          </w:p>
        </w:tc>
        <w:tc>
          <w:tcPr>
            <w:tcW w:w="3119" w:type="dxa"/>
            <w:vAlign w:val="center"/>
          </w:tcPr>
          <w:p w14:paraId="522BF0C8" w14:textId="77777777" w:rsidR="0084644E" w:rsidRDefault="0084644E" w:rsidP="001E4361">
            <w:pPr>
              <w:spacing w:line="360" w:lineRule="auto"/>
              <w:jc w:val="center"/>
            </w:pPr>
            <w:r>
              <w:t>Martin Zeidler</w:t>
            </w:r>
          </w:p>
        </w:tc>
        <w:tc>
          <w:tcPr>
            <w:tcW w:w="2040" w:type="dxa"/>
            <w:vAlign w:val="center"/>
          </w:tcPr>
          <w:p w14:paraId="7AC100FE" w14:textId="71123D41" w:rsidR="0084644E" w:rsidRDefault="0084644E" w:rsidP="001E4361">
            <w:pPr>
              <w:spacing w:line="360" w:lineRule="auto"/>
              <w:jc w:val="center"/>
            </w:pPr>
            <w:r>
              <w:fldChar w:fldCharType="begin"/>
            </w:r>
            <w:r w:rsidR="000A209C">
              <w:instrText xml:space="preserve"> ADDIN ZOTERO_ITEM CSL_CITATION {"citationID":"Eia1WQdp","properties":{"formattedCitation":"(312)","plainCitation":"(312)","noteIndex":0},"citationItems":[{"id":1624,"uris":["http://zotero.org/users/952979/items/GVTM8UAU"],"uri":["http://zotero.org/users/952979/items/GVTM8UAU"],"itemData":{"id":1624,"type":"article-journal","title":"Identification of the first invertebrate interleukin JAK/STAT receptor, the Drosophila gene domeless","container-title":"Current biology: CB","page":"1700-1705","volume":"11","issue":"21","source":"PubMed","abstract":"The JAK/STAT signaling pathway plays important roles in vertebrate development and the regulation of complex cellular processes. Components of the pathway are conserved in Dictyostelium, Caenorhabditis, and Drosophila, yet the complete sequencing and annotation of the D. melanogaster and C. elegans genomes has failed to identify a receptor, raising the possibility that an alternative type of receptor exists for the invertebrate JAK/STAT pathway. Here we show that domeless (dome) codes for a transmembrane protein required for all JAK/STAT functions in the Drosophila embryo. This includes its known requirement for embryonic segmentation and a newly discovered function in trachea specification. The DOME protein has a similar extracellular structure to the vertebrate cytokine class I receptors, although its sequence has greatly diverged. Like many interleukin receptors, DOME has a cytokine binding homology module (CBM) and three extracellular fibronectin-type-III domains (FnIII). Despite its low degree of overall similarity, key amino acids required for signaling in the vertebrate cytokine class I receptors [3] are conserved in the CBM region. DOME is a signal-transducing receptor with most similarities to the IL-6 receptor family, but it also has characteristics found in the IL-3 receptor family. This suggests that the vertebrate families evolved from a single ancestral receptor that also gave rise to dome.","ISSN":"0960-9822","note":"PMID: 11696329","journalAbbreviation":"Curr. Biol.","language":"eng","author":[{"family":"Brown","given":"S."},{"family":"Hu","given":"N."},{"family":"Hombría","given":"J. C."}],"issued":{"date-parts":[["2001",10,30]]}}}],"schema":"https://github.com/citation-style-language/schema/raw/master/csl-citation.json"} </w:instrText>
            </w:r>
            <w:r>
              <w:fldChar w:fldCharType="separate"/>
            </w:r>
            <w:r w:rsidR="004A1963" w:rsidRPr="004A1963">
              <w:rPr>
                <w:rFonts w:ascii="Calibri" w:hAnsi="Calibri"/>
              </w:rPr>
              <w:t>(312)</w:t>
            </w:r>
            <w:r>
              <w:fldChar w:fldCharType="end"/>
            </w:r>
          </w:p>
        </w:tc>
      </w:tr>
      <w:tr w:rsidR="0084644E" w14:paraId="46DDF614" w14:textId="77777777" w:rsidTr="004B2ADE">
        <w:trPr>
          <w:trHeight w:val="260"/>
        </w:trPr>
        <w:tc>
          <w:tcPr>
            <w:tcW w:w="2406" w:type="dxa"/>
            <w:vAlign w:val="center"/>
          </w:tcPr>
          <w:p w14:paraId="7077FFEC" w14:textId="77777777" w:rsidR="0084644E" w:rsidRPr="00D61B4E" w:rsidRDefault="0084644E" w:rsidP="001E4361">
            <w:pPr>
              <w:spacing w:line="360" w:lineRule="auto"/>
              <w:jc w:val="center"/>
              <w:rPr>
                <w:i/>
              </w:rPr>
            </w:pPr>
            <w:r w:rsidRPr="00D61B4E">
              <w:rPr>
                <w:i/>
              </w:rPr>
              <w:t>UAS-Dome</w:t>
            </w:r>
            <w:r w:rsidRPr="00D61B4E">
              <w:rPr>
                <w:i/>
                <w:vertAlign w:val="superscript"/>
              </w:rPr>
              <w:t>DTMCYT</w:t>
            </w:r>
          </w:p>
        </w:tc>
        <w:tc>
          <w:tcPr>
            <w:tcW w:w="1671" w:type="dxa"/>
            <w:vAlign w:val="center"/>
          </w:tcPr>
          <w:p w14:paraId="46A1FBC4" w14:textId="77777777" w:rsidR="0084644E" w:rsidRDefault="0084644E" w:rsidP="001E4361">
            <w:pPr>
              <w:spacing w:line="360" w:lineRule="auto"/>
              <w:jc w:val="center"/>
            </w:pPr>
            <w:r>
              <w:t>2</w:t>
            </w:r>
          </w:p>
        </w:tc>
        <w:tc>
          <w:tcPr>
            <w:tcW w:w="3119" w:type="dxa"/>
            <w:vAlign w:val="center"/>
          </w:tcPr>
          <w:p w14:paraId="4F4471EF" w14:textId="77777777" w:rsidR="0084644E" w:rsidRDefault="0084644E" w:rsidP="001E4361">
            <w:pPr>
              <w:spacing w:line="360" w:lineRule="auto"/>
              <w:jc w:val="center"/>
            </w:pPr>
            <w:r>
              <w:t>Martin Zeidler</w:t>
            </w:r>
          </w:p>
        </w:tc>
        <w:tc>
          <w:tcPr>
            <w:tcW w:w="2040" w:type="dxa"/>
            <w:vAlign w:val="center"/>
          </w:tcPr>
          <w:p w14:paraId="0FD3AE9A" w14:textId="6E5ABF4D" w:rsidR="0084644E" w:rsidRDefault="0084644E" w:rsidP="001E4361">
            <w:pPr>
              <w:spacing w:line="360" w:lineRule="auto"/>
              <w:jc w:val="center"/>
            </w:pPr>
            <w:r>
              <w:fldChar w:fldCharType="begin"/>
            </w:r>
            <w:r w:rsidR="000A209C">
              <w:instrText xml:space="preserve"> ADDIN ZOTERO_ITEM CSL_CITATION {"citationID":"s2EeOmPE","properties":{"formattedCitation":"(312)","plainCitation":"(312)","noteIndex":0},"citationItems":[{"id":1624,"uris":["http://zotero.org/users/952979/items/GVTM8UAU"],"uri":["http://zotero.org/users/952979/items/GVTM8UAU"],"itemData":{"id":1624,"type":"article-journal","title":"Identification of the first invertebrate interleukin JAK/STAT receptor, the Drosophila gene domeless","container-title":"Current biology: CB","page":"1700-1705","volume":"11","issue":"21","source":"PubMed","abstract":"The JAK/STAT signaling pathway plays important roles in vertebrate development and the regulation of complex cellular processes. Components of the pathway are conserved in Dictyostelium, Caenorhabditis, and Drosophila, yet the complete sequencing and annotation of the D. melanogaster and C. elegans genomes has failed to identify a receptor, raising the possibility that an alternative type of receptor exists for the invertebrate JAK/STAT pathway. Here we show that domeless (dome) codes for a transmembrane protein required for all JAK/STAT functions in the Drosophila embryo. This includes its known requirement for embryonic segmentation and a newly discovered function in trachea specification. The DOME protein has a similar extracellular structure to the vertebrate cytokine class I receptors, although its sequence has greatly diverged. Like many interleukin receptors, DOME has a cytokine binding homology module (CBM) and three extracellular fibronectin-type-III domains (FnIII). Despite its low degree of overall similarity, key amino acids required for signaling in the vertebrate cytokine class I receptors [3] are conserved in the CBM region. DOME is a signal-transducing receptor with most similarities to the IL-6 receptor family, but it also has characteristics found in the IL-3 receptor family. This suggests that the vertebrate families evolved from a single ancestral receptor that also gave rise to dome.","ISSN":"0960-9822","note":"PMID: 11696329","journalAbbreviation":"Curr. Biol.","language":"eng","author":[{"family":"Brown","given":"S."},{"family":"Hu","given":"N."},{"family":"Hombría","given":"J. C."}],"issued":{"date-parts":[["2001",10,30]]}}}],"schema":"https://github.com/citation-style-language/schema/raw/master/csl-citation.json"} </w:instrText>
            </w:r>
            <w:r>
              <w:fldChar w:fldCharType="separate"/>
            </w:r>
            <w:r w:rsidR="004A1963" w:rsidRPr="004A1963">
              <w:rPr>
                <w:rFonts w:ascii="Calibri" w:hAnsi="Calibri"/>
              </w:rPr>
              <w:t>(312)</w:t>
            </w:r>
            <w:r>
              <w:fldChar w:fldCharType="end"/>
            </w:r>
          </w:p>
        </w:tc>
      </w:tr>
      <w:tr w:rsidR="0084644E" w14:paraId="733D4528" w14:textId="77777777" w:rsidTr="004B2ADE">
        <w:trPr>
          <w:trHeight w:val="260"/>
        </w:trPr>
        <w:tc>
          <w:tcPr>
            <w:tcW w:w="2406" w:type="dxa"/>
            <w:vAlign w:val="center"/>
          </w:tcPr>
          <w:p w14:paraId="4C363694" w14:textId="77777777" w:rsidR="0084644E" w:rsidRPr="00D61B4E" w:rsidRDefault="0084644E" w:rsidP="001E4361">
            <w:pPr>
              <w:spacing w:line="360" w:lineRule="auto"/>
              <w:jc w:val="center"/>
              <w:rPr>
                <w:i/>
              </w:rPr>
            </w:pPr>
            <w:r w:rsidRPr="00D61B4E">
              <w:rPr>
                <w:i/>
              </w:rPr>
              <w:t>Hop</w:t>
            </w:r>
            <w:r w:rsidRPr="00D61B4E">
              <w:rPr>
                <w:i/>
                <w:vertAlign w:val="superscript"/>
              </w:rPr>
              <w:t>Tuml</w:t>
            </w:r>
          </w:p>
        </w:tc>
        <w:tc>
          <w:tcPr>
            <w:tcW w:w="1671" w:type="dxa"/>
            <w:vAlign w:val="center"/>
          </w:tcPr>
          <w:p w14:paraId="56D8B962" w14:textId="77777777" w:rsidR="0084644E" w:rsidRDefault="0084644E" w:rsidP="001E4361">
            <w:pPr>
              <w:spacing w:line="360" w:lineRule="auto"/>
              <w:jc w:val="center"/>
            </w:pPr>
            <w:r>
              <w:t>X</w:t>
            </w:r>
          </w:p>
        </w:tc>
        <w:tc>
          <w:tcPr>
            <w:tcW w:w="3119" w:type="dxa"/>
            <w:vAlign w:val="center"/>
          </w:tcPr>
          <w:p w14:paraId="534CDAD6" w14:textId="77777777" w:rsidR="0084644E" w:rsidRDefault="0084644E" w:rsidP="001E4361">
            <w:pPr>
              <w:spacing w:line="360" w:lineRule="auto"/>
              <w:jc w:val="center"/>
            </w:pPr>
            <w:r>
              <w:t>Bloomington Stock Centre</w:t>
            </w:r>
          </w:p>
        </w:tc>
        <w:tc>
          <w:tcPr>
            <w:tcW w:w="2040" w:type="dxa"/>
            <w:vAlign w:val="center"/>
          </w:tcPr>
          <w:p w14:paraId="467435B5" w14:textId="096507AB" w:rsidR="0084644E" w:rsidRDefault="0084644E" w:rsidP="001E4361">
            <w:pPr>
              <w:spacing w:line="360" w:lineRule="auto"/>
              <w:jc w:val="center"/>
            </w:pPr>
            <w:r>
              <w:fldChar w:fldCharType="begin"/>
            </w:r>
            <w:r w:rsidR="000A209C">
              <w:instrText xml:space="preserve"> ADDIN ZOTERO_ITEM CSL_CITATION {"citationID":"jYkzfyxP","properties":{"formattedCitation":"(313)","plainCitation":"(313)","noteIndex":0},"citationItems":[{"id":1622,"uris":["http://zotero.org/users/952979/items/DD4Q4VFI"],"uri":["http://zotero.org/users/952979/items/DD4Q4VFI"],"itemData":{"id":1622,"type":"article-journal","title":"Characterization of a unique lethal tumorous mutation in Drosophila","container-title":"Molecular &amp; general genetics: MGG","page":"345-347","volume":"144","issue":"3","source":"PubMed","ISSN":"0026-8925","note":"PMID: 178992","journalAbbreviation":"Mol. Gen. Genet.","language":"eng","author":[{"family":"Corwin","given":"H. O."},{"family":"Hanratty","given":"W. P."}],"issued":{"date-parts":[["1976",3,30]]}}}],"schema":"https://github.com/citation-style-language/schema/raw/master/csl-citation.json"} </w:instrText>
            </w:r>
            <w:r>
              <w:fldChar w:fldCharType="separate"/>
            </w:r>
            <w:r w:rsidR="004A1963" w:rsidRPr="004A1963">
              <w:rPr>
                <w:rFonts w:ascii="Calibri" w:hAnsi="Calibri"/>
              </w:rPr>
              <w:t>(313)</w:t>
            </w:r>
            <w:r>
              <w:fldChar w:fldCharType="end"/>
            </w:r>
          </w:p>
        </w:tc>
      </w:tr>
    </w:tbl>
    <w:p w14:paraId="4BC155DC" w14:textId="77777777" w:rsidR="0084644E" w:rsidRDefault="0084644E" w:rsidP="0084644E">
      <w:pPr>
        <w:pStyle w:val="NoSpacing"/>
        <w:rPr>
          <w:b/>
        </w:rPr>
      </w:pPr>
    </w:p>
    <w:p w14:paraId="5307BD7A" w14:textId="77777777" w:rsidR="0084644E" w:rsidRPr="00E956CD" w:rsidRDefault="0084644E" w:rsidP="0084644E">
      <w:pPr>
        <w:pStyle w:val="No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1664"/>
        <w:gridCol w:w="3020"/>
        <w:gridCol w:w="1994"/>
      </w:tblGrid>
      <w:tr w:rsidR="0084644E" w14:paraId="7DAC0557" w14:textId="77777777" w:rsidTr="004B2ADE">
        <w:tc>
          <w:tcPr>
            <w:tcW w:w="9236" w:type="dxa"/>
            <w:gridSpan w:val="4"/>
            <w:vAlign w:val="center"/>
          </w:tcPr>
          <w:p w14:paraId="6AFCC204" w14:textId="77777777" w:rsidR="0084644E" w:rsidRPr="006A45E9" w:rsidRDefault="0084644E" w:rsidP="001E4361">
            <w:pPr>
              <w:pStyle w:val="Thesisnormal"/>
              <w:jc w:val="center"/>
              <w:rPr>
                <w:b/>
                <w:u w:val="single"/>
              </w:rPr>
            </w:pPr>
            <w:r w:rsidRPr="006A45E9">
              <w:rPr>
                <w:b/>
                <w:u w:val="single"/>
              </w:rPr>
              <w:t>Table 2.5 Genetic deficiencies used in this study</w:t>
            </w:r>
          </w:p>
        </w:tc>
      </w:tr>
      <w:tr w:rsidR="0084644E" w14:paraId="1749EC9C" w14:textId="77777777" w:rsidTr="004B2ADE">
        <w:tc>
          <w:tcPr>
            <w:tcW w:w="2406" w:type="dxa"/>
            <w:vAlign w:val="center"/>
          </w:tcPr>
          <w:p w14:paraId="4B55DE67" w14:textId="77777777" w:rsidR="0084644E" w:rsidRPr="00A83999" w:rsidRDefault="0084644E" w:rsidP="001E4361">
            <w:pPr>
              <w:pStyle w:val="Thesisnormal"/>
              <w:jc w:val="center"/>
              <w:rPr>
                <w:b/>
                <w:u w:val="single"/>
              </w:rPr>
            </w:pPr>
            <w:r w:rsidRPr="00A83999">
              <w:rPr>
                <w:b/>
                <w:u w:val="single"/>
              </w:rPr>
              <w:t>Genotype</w:t>
            </w:r>
          </w:p>
        </w:tc>
        <w:tc>
          <w:tcPr>
            <w:tcW w:w="1671" w:type="dxa"/>
            <w:vAlign w:val="center"/>
          </w:tcPr>
          <w:p w14:paraId="384202BD" w14:textId="77777777" w:rsidR="0084644E" w:rsidRPr="00A83999" w:rsidRDefault="0084644E" w:rsidP="001E4361">
            <w:pPr>
              <w:pStyle w:val="Thesisnormal"/>
              <w:jc w:val="center"/>
              <w:rPr>
                <w:b/>
                <w:u w:val="single"/>
              </w:rPr>
            </w:pPr>
            <w:r>
              <w:rPr>
                <w:b/>
                <w:u w:val="single"/>
              </w:rPr>
              <w:t>Chromosome</w:t>
            </w:r>
          </w:p>
        </w:tc>
        <w:tc>
          <w:tcPr>
            <w:tcW w:w="3119" w:type="dxa"/>
            <w:vAlign w:val="center"/>
          </w:tcPr>
          <w:p w14:paraId="576FE706" w14:textId="77777777" w:rsidR="0084644E" w:rsidRPr="00A83999" w:rsidRDefault="0084644E" w:rsidP="001E4361">
            <w:pPr>
              <w:pStyle w:val="Thesisnormal"/>
              <w:jc w:val="center"/>
              <w:rPr>
                <w:b/>
                <w:u w:val="single"/>
              </w:rPr>
            </w:pPr>
            <w:r w:rsidRPr="00A83999">
              <w:rPr>
                <w:b/>
                <w:u w:val="single"/>
              </w:rPr>
              <w:t>Supplier</w:t>
            </w:r>
          </w:p>
        </w:tc>
        <w:tc>
          <w:tcPr>
            <w:tcW w:w="2040" w:type="dxa"/>
            <w:vAlign w:val="center"/>
          </w:tcPr>
          <w:p w14:paraId="7AFEAD43" w14:textId="77777777" w:rsidR="0084644E" w:rsidRPr="00A83999" w:rsidRDefault="0084644E" w:rsidP="001E4361">
            <w:pPr>
              <w:pStyle w:val="Thesisnormal"/>
              <w:jc w:val="center"/>
              <w:rPr>
                <w:b/>
                <w:u w:val="single"/>
              </w:rPr>
            </w:pPr>
            <w:r w:rsidRPr="00A83999">
              <w:rPr>
                <w:b/>
                <w:u w:val="single"/>
              </w:rPr>
              <w:t>Reference</w:t>
            </w:r>
          </w:p>
        </w:tc>
      </w:tr>
      <w:tr w:rsidR="0084644E" w14:paraId="5BAD505E" w14:textId="77777777" w:rsidTr="004B2ADE">
        <w:tc>
          <w:tcPr>
            <w:tcW w:w="2406" w:type="dxa"/>
            <w:vAlign w:val="center"/>
          </w:tcPr>
          <w:p w14:paraId="0A06ED86" w14:textId="77777777" w:rsidR="0084644E" w:rsidRPr="00E706DF" w:rsidRDefault="0084644E" w:rsidP="001E4361">
            <w:pPr>
              <w:spacing w:line="360" w:lineRule="auto"/>
              <w:jc w:val="center"/>
              <w:rPr>
                <w:i/>
                <w:vertAlign w:val="superscript"/>
              </w:rPr>
            </w:pPr>
            <w:r>
              <w:rPr>
                <w:i/>
              </w:rPr>
              <w:t>Df(3L)H99</w:t>
            </w:r>
          </w:p>
        </w:tc>
        <w:tc>
          <w:tcPr>
            <w:tcW w:w="1671" w:type="dxa"/>
            <w:vAlign w:val="center"/>
          </w:tcPr>
          <w:p w14:paraId="46D2E0C8" w14:textId="77777777" w:rsidR="0084644E" w:rsidRDefault="0084644E" w:rsidP="001E4361">
            <w:pPr>
              <w:spacing w:line="360" w:lineRule="auto"/>
              <w:jc w:val="center"/>
            </w:pPr>
            <w:r>
              <w:t>3</w:t>
            </w:r>
          </w:p>
        </w:tc>
        <w:tc>
          <w:tcPr>
            <w:tcW w:w="3119" w:type="dxa"/>
            <w:vAlign w:val="center"/>
          </w:tcPr>
          <w:p w14:paraId="23062DDA" w14:textId="77777777" w:rsidR="0084644E" w:rsidRDefault="0084644E" w:rsidP="001E4361">
            <w:pPr>
              <w:spacing w:line="360" w:lineRule="auto"/>
              <w:jc w:val="center"/>
            </w:pPr>
            <w:r>
              <w:t>Bloomington Stock Centre</w:t>
            </w:r>
          </w:p>
        </w:tc>
        <w:tc>
          <w:tcPr>
            <w:tcW w:w="2040" w:type="dxa"/>
            <w:vAlign w:val="center"/>
          </w:tcPr>
          <w:p w14:paraId="3F19CBD4" w14:textId="4F476F6E" w:rsidR="0084644E" w:rsidRDefault="0084644E" w:rsidP="001E4361">
            <w:pPr>
              <w:spacing w:line="360" w:lineRule="auto"/>
              <w:jc w:val="center"/>
            </w:pPr>
            <w:r>
              <w:fldChar w:fldCharType="begin"/>
            </w:r>
            <w:r w:rsidR="000A209C">
              <w:instrText xml:space="preserve"> ADDIN ZOTERO_ITEM CSL_CITATION {"citationID":"6AchnDKb","properties":{"formattedCitation":"(314)","plainCitation":"(314)","noteIndex":0},"citationItems":[{"id":1802,"uris":["http://zotero.org/users/952979/items/GRA988VA"],"uri":["http://zotero.org/users/952979/items/GRA988VA"],"itemData":{"id":1802,"type":"article-journal","title":"Genetic control of programmed cell death in Drosophila","container-title":"Science (New York, N.Y.)","page":"677-683","volume":"264","issue":"5159","source":"PubMed","abstract":"A gene, reaper (rpr), that appears to play a central control function for the initiation of programmed cell death (apoptosis) in Drosophila was identified. Virtually all programmed cell death that normally occurs during Drosophila embryogenesis was blocked in embryos homozygous for a small deletion that includes the reaper gene. Mutant embryos contained many extra cells and failed to hatch, but many other aspects of development appeared quite normal. Deletions that include reaper also protected embryos from apoptosis caused by x-irradiation and developmental defects. However, high doses of x-rays induced some apoptosis in mutant embryos, and the resulting corpses were phagocytosed by macrophages. These data suggest that the basic cell death program is intact although it was not activated in mutant embryos. The DNA encompassed by the deletion was cloned and the reaper gene was identified on the basis of the ability of cloned DNA to restore apoptosis to cell death defective embryos in germ line transformation experiments. The reaper gene appears to encode a small peptide that shows no homology to known proteins, and reaper messenger RNA is expressed in cells destined to undergo apoptosis.","ISSN":"0036-8075","note":"PMID: 8171319","journalAbbreviation":"Science","language":"eng","author":[{"family":"White","given":"K."},{"family":"Grether","given":"M. E."},{"family":"Abrams","given":"J. M."},{"family":"Young","given":"L."},{"family":"Farrell","given":"K."},{"family":"Steller","given":"H."}],"issued":{"date-parts":[["1994",4,29]]}}}],"schema":"https://github.com/citation-style-language/schema/raw/master/csl-citation.json"} </w:instrText>
            </w:r>
            <w:r>
              <w:fldChar w:fldCharType="separate"/>
            </w:r>
            <w:r w:rsidR="004A1963" w:rsidRPr="004A1963">
              <w:rPr>
                <w:rFonts w:ascii="Calibri" w:hAnsi="Calibri"/>
              </w:rPr>
              <w:t>(314)</w:t>
            </w:r>
            <w:r>
              <w:fldChar w:fldCharType="end"/>
            </w:r>
          </w:p>
        </w:tc>
      </w:tr>
      <w:tr w:rsidR="0084644E" w14:paraId="0BBBA198" w14:textId="77777777" w:rsidTr="004B2ADE">
        <w:trPr>
          <w:trHeight w:val="260"/>
        </w:trPr>
        <w:tc>
          <w:tcPr>
            <w:tcW w:w="2406" w:type="dxa"/>
            <w:vAlign w:val="center"/>
          </w:tcPr>
          <w:p w14:paraId="22F10383" w14:textId="77777777" w:rsidR="0084644E" w:rsidRPr="00175417" w:rsidRDefault="0084644E" w:rsidP="001E4361">
            <w:pPr>
              <w:spacing w:line="360" w:lineRule="auto"/>
              <w:jc w:val="center"/>
              <w:rPr>
                <w:i/>
                <w:vertAlign w:val="superscript"/>
              </w:rPr>
            </w:pPr>
            <w:r w:rsidRPr="0007460A">
              <w:rPr>
                <w:i/>
              </w:rPr>
              <w:lastRenderedPageBreak/>
              <w:t>w</w:t>
            </w:r>
            <w:r>
              <w:rPr>
                <w:i/>
                <w:vertAlign w:val="superscript"/>
              </w:rPr>
              <w:t>1118</w:t>
            </w:r>
          </w:p>
        </w:tc>
        <w:tc>
          <w:tcPr>
            <w:tcW w:w="1671" w:type="dxa"/>
            <w:vAlign w:val="center"/>
          </w:tcPr>
          <w:p w14:paraId="13207882" w14:textId="77777777" w:rsidR="0084644E" w:rsidRDefault="0084644E" w:rsidP="001E4361">
            <w:pPr>
              <w:spacing w:line="360" w:lineRule="auto"/>
              <w:jc w:val="center"/>
            </w:pPr>
            <w:r>
              <w:t>X</w:t>
            </w:r>
          </w:p>
        </w:tc>
        <w:tc>
          <w:tcPr>
            <w:tcW w:w="3119" w:type="dxa"/>
            <w:vAlign w:val="center"/>
          </w:tcPr>
          <w:p w14:paraId="5FBBC461" w14:textId="77777777" w:rsidR="0084644E" w:rsidRDefault="0084644E" w:rsidP="001E4361">
            <w:pPr>
              <w:spacing w:line="360" w:lineRule="auto"/>
              <w:jc w:val="center"/>
            </w:pPr>
            <w:r>
              <w:t>Bloomington Stock Centre</w:t>
            </w:r>
          </w:p>
        </w:tc>
        <w:tc>
          <w:tcPr>
            <w:tcW w:w="2040" w:type="dxa"/>
            <w:vAlign w:val="center"/>
          </w:tcPr>
          <w:p w14:paraId="41699D12" w14:textId="105209FA" w:rsidR="0084644E" w:rsidRDefault="0084644E" w:rsidP="001E4361">
            <w:pPr>
              <w:spacing w:line="360" w:lineRule="auto"/>
              <w:jc w:val="center"/>
            </w:pPr>
            <w:r>
              <w:fldChar w:fldCharType="begin"/>
            </w:r>
            <w:r w:rsidR="000A209C">
              <w:instrText xml:space="preserve"> ADDIN ZOTERO_ITEM CSL_CITATION {"citationID":"5U1ZdazU","properties":{"formattedCitation":"(315)","plainCitation":"(315)","noteIndex":0},"citationItems":[{"id":1805,"uris":["http://zotero.org/users/952979/items/GGISL2YP"],"uri":["http://zotero.org/users/952979/items/GGISL2YP"],"itemData":{"id":1805,"type":"article-journal","title":"Polyadenylylation in copia requires unusually distant upstream sequences.","container-title":"Proceedings of the National Academy of Sciences of the United States of America","page":"3038-3042","volume":"88","issue":"8","source":"PubMed Central","abstract":"Retroviruses and related genetic elements generate terminally redundant RNA products by differential polyadenylylation within a long terminal repeat. Expression of the white-apricot (wa) allele of Drosophila melanogaster, which carries an insertion of the 5.1-kilobase retrovirus-like transposable element copia in a small intron, is influenced by signals within copia. By using this indicator, we have isolated a 518-base-pair deletion, 312 base pairs upstream of the copia polyadenylylation site, that is phenotypically like much larger deletions and eliminates RNA species polyadenylylated in copia. This requirement of distant upstream sequences for copia polyadenylylation has implications for the expression of many genetic elements bearing long terminal repeats.","ISSN":"0027-8424","note":"PMID: 1849643\nPMCID: PMC51379","journalAbbreviation":"Proc Natl Acad Sci U S A","author":[{"family":"Kurkulos","given":"M"},{"family":"Weinberg","given":"J M"},{"family":"Pepling","given":"M E"},{"family":"Mount","given":"S M"}],"issued":{"date-parts":[["1991",4,15]]}}}],"schema":"https://github.com/citation-style-language/schema/raw/master/csl-citation.json"} </w:instrText>
            </w:r>
            <w:r>
              <w:fldChar w:fldCharType="separate"/>
            </w:r>
            <w:r w:rsidR="004A1963" w:rsidRPr="004A1963">
              <w:rPr>
                <w:rFonts w:ascii="Calibri" w:hAnsi="Calibri"/>
              </w:rPr>
              <w:t>(315)</w:t>
            </w:r>
            <w:r>
              <w:fldChar w:fldCharType="end"/>
            </w:r>
          </w:p>
        </w:tc>
      </w:tr>
      <w:tr w:rsidR="0084644E" w14:paraId="3DC3158E" w14:textId="77777777" w:rsidTr="004B2ADE">
        <w:trPr>
          <w:trHeight w:val="260"/>
        </w:trPr>
        <w:tc>
          <w:tcPr>
            <w:tcW w:w="2406" w:type="dxa"/>
            <w:vAlign w:val="center"/>
          </w:tcPr>
          <w:p w14:paraId="383306D5" w14:textId="77777777" w:rsidR="0084644E" w:rsidRPr="007653F2" w:rsidRDefault="0084644E" w:rsidP="001E4361">
            <w:pPr>
              <w:spacing w:line="360" w:lineRule="auto"/>
              <w:jc w:val="center"/>
              <w:rPr>
                <w:i/>
                <w:vertAlign w:val="superscript"/>
              </w:rPr>
            </w:pPr>
            <w:r>
              <w:rPr>
                <w:i/>
              </w:rPr>
              <w:t>y</w:t>
            </w:r>
            <w:r>
              <w:rPr>
                <w:i/>
                <w:vertAlign w:val="superscript"/>
              </w:rPr>
              <w:t>1</w:t>
            </w:r>
            <w:r>
              <w:rPr>
                <w:i/>
              </w:rPr>
              <w:t>, sc</w:t>
            </w:r>
            <w:r>
              <w:rPr>
                <w:i/>
                <w:vertAlign w:val="superscript"/>
              </w:rPr>
              <w:t>*</w:t>
            </w:r>
            <w:r>
              <w:rPr>
                <w:i/>
              </w:rPr>
              <w:t>, v</w:t>
            </w:r>
            <w:r>
              <w:rPr>
                <w:i/>
                <w:vertAlign w:val="superscript"/>
              </w:rPr>
              <w:t>1</w:t>
            </w:r>
          </w:p>
        </w:tc>
        <w:tc>
          <w:tcPr>
            <w:tcW w:w="1671" w:type="dxa"/>
            <w:vAlign w:val="center"/>
          </w:tcPr>
          <w:p w14:paraId="1899DF37" w14:textId="77777777" w:rsidR="0084644E" w:rsidRDefault="0084644E" w:rsidP="001E4361">
            <w:pPr>
              <w:spacing w:line="360" w:lineRule="auto"/>
              <w:jc w:val="center"/>
            </w:pPr>
            <w:r>
              <w:t>X</w:t>
            </w:r>
          </w:p>
        </w:tc>
        <w:tc>
          <w:tcPr>
            <w:tcW w:w="3119" w:type="dxa"/>
            <w:vAlign w:val="center"/>
          </w:tcPr>
          <w:p w14:paraId="6214FF8B" w14:textId="77777777" w:rsidR="0084644E" w:rsidRDefault="0084644E" w:rsidP="001E4361">
            <w:pPr>
              <w:spacing w:line="360" w:lineRule="auto"/>
              <w:jc w:val="center"/>
            </w:pPr>
            <w:r>
              <w:t>Bloomington Stock Centre</w:t>
            </w:r>
          </w:p>
        </w:tc>
        <w:tc>
          <w:tcPr>
            <w:tcW w:w="2040" w:type="dxa"/>
            <w:vAlign w:val="center"/>
          </w:tcPr>
          <w:p w14:paraId="5A9C6B09" w14:textId="77777777" w:rsidR="0084644E" w:rsidRDefault="0084644E" w:rsidP="001E4361">
            <w:pPr>
              <w:spacing w:line="360" w:lineRule="auto"/>
              <w:jc w:val="center"/>
            </w:pPr>
          </w:p>
        </w:tc>
      </w:tr>
      <w:tr w:rsidR="0084644E" w14:paraId="3BD035CB" w14:textId="77777777" w:rsidTr="004B2ADE">
        <w:trPr>
          <w:trHeight w:val="260"/>
        </w:trPr>
        <w:tc>
          <w:tcPr>
            <w:tcW w:w="2406" w:type="dxa"/>
            <w:vAlign w:val="center"/>
          </w:tcPr>
          <w:p w14:paraId="001EC7E6" w14:textId="77777777" w:rsidR="0084644E" w:rsidRPr="009E41A5" w:rsidRDefault="0084644E" w:rsidP="001E4361">
            <w:pPr>
              <w:spacing w:line="360" w:lineRule="auto"/>
              <w:jc w:val="center"/>
              <w:rPr>
                <w:i/>
                <w:vertAlign w:val="superscript"/>
              </w:rPr>
            </w:pPr>
            <w:r w:rsidRPr="009E41A5">
              <w:rPr>
                <w:i/>
              </w:rPr>
              <w:t>y</w:t>
            </w:r>
            <w:r>
              <w:rPr>
                <w:i/>
                <w:vertAlign w:val="superscript"/>
              </w:rPr>
              <w:t>1</w:t>
            </w:r>
            <w:r>
              <w:rPr>
                <w:i/>
              </w:rPr>
              <w:t>,</w:t>
            </w:r>
            <w:r w:rsidRPr="000D551D">
              <w:rPr>
                <w:i/>
              </w:rPr>
              <w:t xml:space="preserve"> v</w:t>
            </w:r>
            <w:r w:rsidRPr="007653F2">
              <w:rPr>
                <w:i/>
                <w:vertAlign w:val="superscript"/>
              </w:rPr>
              <w:t>1</w:t>
            </w:r>
          </w:p>
        </w:tc>
        <w:tc>
          <w:tcPr>
            <w:tcW w:w="1671" w:type="dxa"/>
            <w:vAlign w:val="center"/>
          </w:tcPr>
          <w:p w14:paraId="37E777D4" w14:textId="77777777" w:rsidR="0084644E" w:rsidRDefault="0084644E" w:rsidP="001E4361">
            <w:pPr>
              <w:spacing w:line="360" w:lineRule="auto"/>
              <w:jc w:val="center"/>
            </w:pPr>
            <w:r>
              <w:t>X</w:t>
            </w:r>
          </w:p>
        </w:tc>
        <w:tc>
          <w:tcPr>
            <w:tcW w:w="3119" w:type="dxa"/>
            <w:vAlign w:val="center"/>
          </w:tcPr>
          <w:p w14:paraId="45ECDF7A" w14:textId="77777777" w:rsidR="0084644E" w:rsidRDefault="0084644E" w:rsidP="001E4361">
            <w:pPr>
              <w:spacing w:line="360" w:lineRule="auto"/>
              <w:jc w:val="center"/>
            </w:pPr>
            <w:r>
              <w:t>Bloomington Stock Centre</w:t>
            </w:r>
          </w:p>
        </w:tc>
        <w:tc>
          <w:tcPr>
            <w:tcW w:w="2040" w:type="dxa"/>
            <w:vAlign w:val="center"/>
          </w:tcPr>
          <w:p w14:paraId="2B461CEB" w14:textId="77777777" w:rsidR="0084644E" w:rsidRDefault="0084644E" w:rsidP="001E4361">
            <w:pPr>
              <w:spacing w:line="360" w:lineRule="auto"/>
              <w:jc w:val="center"/>
            </w:pPr>
          </w:p>
        </w:tc>
      </w:tr>
      <w:tr w:rsidR="0084644E" w14:paraId="7B406842" w14:textId="77777777" w:rsidTr="004B2ADE">
        <w:trPr>
          <w:trHeight w:val="260"/>
        </w:trPr>
        <w:tc>
          <w:tcPr>
            <w:tcW w:w="2406" w:type="dxa"/>
            <w:vAlign w:val="center"/>
          </w:tcPr>
          <w:p w14:paraId="3DAC7F18" w14:textId="77777777" w:rsidR="0084644E" w:rsidRPr="007653F2" w:rsidRDefault="0084644E" w:rsidP="001E4361">
            <w:pPr>
              <w:spacing w:line="360" w:lineRule="auto"/>
              <w:jc w:val="center"/>
              <w:rPr>
                <w:i/>
                <w:vertAlign w:val="superscript"/>
              </w:rPr>
            </w:pPr>
            <w:r>
              <w:rPr>
                <w:i/>
              </w:rPr>
              <w:t>w</w:t>
            </w:r>
            <w:r>
              <w:rPr>
                <w:i/>
                <w:vertAlign w:val="superscript"/>
              </w:rPr>
              <w:t>1</w:t>
            </w:r>
            <w:r>
              <w:rPr>
                <w:i/>
              </w:rPr>
              <w:t>, y</w:t>
            </w:r>
            <w:r>
              <w:rPr>
                <w:i/>
                <w:vertAlign w:val="superscript"/>
              </w:rPr>
              <w:t>1</w:t>
            </w:r>
          </w:p>
        </w:tc>
        <w:tc>
          <w:tcPr>
            <w:tcW w:w="1671" w:type="dxa"/>
            <w:vAlign w:val="center"/>
          </w:tcPr>
          <w:p w14:paraId="1D948719" w14:textId="77777777" w:rsidR="0084644E" w:rsidRDefault="0084644E" w:rsidP="001E4361">
            <w:pPr>
              <w:spacing w:line="360" w:lineRule="auto"/>
              <w:jc w:val="center"/>
            </w:pPr>
            <w:r>
              <w:t>X</w:t>
            </w:r>
          </w:p>
        </w:tc>
        <w:tc>
          <w:tcPr>
            <w:tcW w:w="3119" w:type="dxa"/>
            <w:vAlign w:val="center"/>
          </w:tcPr>
          <w:p w14:paraId="660F9994" w14:textId="77777777" w:rsidR="0084644E" w:rsidRDefault="0084644E" w:rsidP="001E4361">
            <w:pPr>
              <w:spacing w:line="360" w:lineRule="auto"/>
              <w:jc w:val="center"/>
            </w:pPr>
            <w:r>
              <w:t>Bloomington Stock Centre</w:t>
            </w:r>
          </w:p>
        </w:tc>
        <w:tc>
          <w:tcPr>
            <w:tcW w:w="2040" w:type="dxa"/>
            <w:vAlign w:val="center"/>
          </w:tcPr>
          <w:p w14:paraId="7F83B840" w14:textId="77777777" w:rsidR="0084644E" w:rsidRDefault="0084644E" w:rsidP="001E4361">
            <w:pPr>
              <w:spacing w:line="360" w:lineRule="auto"/>
              <w:jc w:val="center"/>
            </w:pPr>
          </w:p>
        </w:tc>
      </w:tr>
    </w:tbl>
    <w:p w14:paraId="70EC934D" w14:textId="77777777" w:rsidR="0084644E" w:rsidRDefault="0084644E" w:rsidP="0084644E"/>
    <w:p w14:paraId="684C3BBC" w14:textId="77777777" w:rsidR="006A45E9" w:rsidRDefault="006A45E9" w:rsidP="0084644E"/>
    <w:p w14:paraId="13C93F3D" w14:textId="77777777" w:rsidR="0084644E" w:rsidRDefault="0084644E" w:rsidP="0084644E">
      <w:pPr>
        <w:pStyle w:val="Heading3"/>
        <w:spacing w:line="360" w:lineRule="auto"/>
      </w:pPr>
      <w:r>
        <w:tab/>
      </w:r>
      <w:r>
        <w:tab/>
      </w:r>
      <w:bookmarkStart w:id="73" w:name="_Toc476834045"/>
      <w:bookmarkStart w:id="74" w:name="_Toc4589278"/>
      <w:r>
        <w:t xml:space="preserve">2.1.2 </w:t>
      </w:r>
      <w:bookmarkEnd w:id="73"/>
      <w:r>
        <w:t>Immunostaining reagents</w:t>
      </w:r>
      <w:bookmarkEnd w:id="74"/>
    </w:p>
    <w:p w14:paraId="2A8BCEF1" w14:textId="77777777" w:rsidR="0084644E" w:rsidRDefault="0084644E" w:rsidP="0084644E">
      <w:pPr>
        <w:spacing w:line="360" w:lineRule="auto"/>
      </w:pPr>
    </w:p>
    <w:p w14:paraId="508ECDD7" w14:textId="77777777" w:rsidR="0084644E" w:rsidRPr="000E5ED8" w:rsidRDefault="0084644E" w:rsidP="0084644E">
      <w:pPr>
        <w:pStyle w:val="Thesisnormal"/>
      </w:pPr>
      <w:r w:rsidRPr="000E5ED8">
        <w:t xml:space="preserve">All primary and secondary antibodies used in the present study are outlined in the following tables. </w:t>
      </w:r>
    </w:p>
    <w:p w14:paraId="117B863A" w14:textId="77777777" w:rsidR="0084644E" w:rsidRPr="000E5ED8" w:rsidRDefault="0084644E" w:rsidP="0084644E">
      <w:pPr>
        <w:spacing w:line="360" w:lineRule="auto"/>
      </w:pPr>
    </w:p>
    <w:p w14:paraId="4AD91FBC" w14:textId="77777777" w:rsidR="0084644E" w:rsidRDefault="0084644E" w:rsidP="0084644E">
      <w:pPr>
        <w:pStyle w:val="Heading4"/>
        <w:spacing w:line="360" w:lineRule="auto"/>
      </w:pPr>
      <w:r>
        <w:tab/>
      </w:r>
      <w:r>
        <w:tab/>
      </w:r>
      <w:r>
        <w:tab/>
      </w:r>
      <w:bookmarkStart w:id="75" w:name="_Toc476834046"/>
      <w:r>
        <w:t>2.1.2.1 Primary antibodies</w:t>
      </w:r>
      <w:bookmarkEnd w:id="75"/>
    </w:p>
    <w:p w14:paraId="06A33FC6" w14:textId="77777777" w:rsidR="0084644E" w:rsidRDefault="0084644E" w:rsidP="0084644E">
      <w:pPr>
        <w:spacing w:line="360" w:lineRule="auto"/>
      </w:pPr>
    </w:p>
    <w:tbl>
      <w:tblPr>
        <w:tblStyle w:val="TableGridLight1"/>
        <w:tblW w:w="0" w:type="auto"/>
        <w:tblLook w:val="04A0" w:firstRow="1" w:lastRow="0" w:firstColumn="1" w:lastColumn="0" w:noHBand="0" w:noVBand="1"/>
      </w:tblPr>
      <w:tblGrid>
        <w:gridCol w:w="1500"/>
        <w:gridCol w:w="1501"/>
        <w:gridCol w:w="2955"/>
        <w:gridCol w:w="1350"/>
        <w:gridCol w:w="1710"/>
      </w:tblGrid>
      <w:tr w:rsidR="0084644E" w:rsidRPr="000E5ED8" w14:paraId="48F695B8" w14:textId="77777777" w:rsidTr="001E4361">
        <w:tc>
          <w:tcPr>
            <w:tcW w:w="1501" w:type="dxa"/>
            <w:vAlign w:val="center"/>
          </w:tcPr>
          <w:p w14:paraId="3FD2458E" w14:textId="77777777" w:rsidR="0084644E" w:rsidRPr="00A83999" w:rsidRDefault="0084644E" w:rsidP="001E4361">
            <w:pPr>
              <w:spacing w:line="360" w:lineRule="auto"/>
              <w:jc w:val="center"/>
              <w:rPr>
                <w:b/>
                <w:u w:val="single"/>
              </w:rPr>
            </w:pPr>
            <w:r w:rsidRPr="00A83999">
              <w:rPr>
                <w:b/>
                <w:u w:val="single"/>
              </w:rPr>
              <w:t>Antibody</w:t>
            </w:r>
          </w:p>
        </w:tc>
        <w:tc>
          <w:tcPr>
            <w:tcW w:w="1501" w:type="dxa"/>
            <w:vAlign w:val="center"/>
          </w:tcPr>
          <w:p w14:paraId="00C31C07" w14:textId="77777777" w:rsidR="0084644E" w:rsidRPr="00A83999" w:rsidRDefault="0084644E" w:rsidP="001E4361">
            <w:pPr>
              <w:spacing w:line="360" w:lineRule="auto"/>
              <w:jc w:val="center"/>
              <w:rPr>
                <w:b/>
                <w:u w:val="single"/>
              </w:rPr>
            </w:pPr>
            <w:r w:rsidRPr="00A83999">
              <w:rPr>
                <w:b/>
                <w:u w:val="single"/>
              </w:rPr>
              <w:t>Raised in</w:t>
            </w:r>
          </w:p>
        </w:tc>
        <w:tc>
          <w:tcPr>
            <w:tcW w:w="2956" w:type="dxa"/>
            <w:vAlign w:val="center"/>
          </w:tcPr>
          <w:p w14:paraId="5816D7F0" w14:textId="77777777" w:rsidR="0084644E" w:rsidRPr="00A83999" w:rsidRDefault="0084644E" w:rsidP="001E4361">
            <w:pPr>
              <w:spacing w:line="360" w:lineRule="auto"/>
              <w:jc w:val="center"/>
              <w:rPr>
                <w:b/>
                <w:u w:val="single"/>
              </w:rPr>
            </w:pPr>
            <w:r w:rsidRPr="00A83999">
              <w:rPr>
                <w:b/>
                <w:u w:val="single"/>
              </w:rPr>
              <w:t>Recognised epitope</w:t>
            </w:r>
          </w:p>
        </w:tc>
        <w:tc>
          <w:tcPr>
            <w:tcW w:w="1350" w:type="dxa"/>
            <w:vAlign w:val="center"/>
          </w:tcPr>
          <w:p w14:paraId="7F66F025" w14:textId="77777777" w:rsidR="0084644E" w:rsidRPr="00A83999" w:rsidRDefault="0084644E" w:rsidP="001E4361">
            <w:pPr>
              <w:spacing w:line="360" w:lineRule="auto"/>
              <w:jc w:val="center"/>
              <w:rPr>
                <w:b/>
                <w:u w:val="single"/>
              </w:rPr>
            </w:pPr>
            <w:r w:rsidRPr="00A83999">
              <w:rPr>
                <w:b/>
                <w:u w:val="single"/>
              </w:rPr>
              <w:t>Dilution</w:t>
            </w:r>
          </w:p>
        </w:tc>
        <w:tc>
          <w:tcPr>
            <w:tcW w:w="1710" w:type="dxa"/>
            <w:vAlign w:val="center"/>
          </w:tcPr>
          <w:p w14:paraId="2B17BE91" w14:textId="77777777" w:rsidR="0084644E" w:rsidRPr="00A83999" w:rsidRDefault="0084644E" w:rsidP="001E4361">
            <w:pPr>
              <w:spacing w:line="360" w:lineRule="auto"/>
              <w:jc w:val="center"/>
              <w:rPr>
                <w:b/>
                <w:u w:val="single"/>
              </w:rPr>
            </w:pPr>
            <w:r w:rsidRPr="00A83999">
              <w:rPr>
                <w:b/>
                <w:u w:val="single"/>
              </w:rPr>
              <w:t>Supplier</w:t>
            </w:r>
          </w:p>
        </w:tc>
      </w:tr>
      <w:tr w:rsidR="0084644E" w:rsidRPr="000E5ED8" w14:paraId="5AD75540" w14:textId="77777777" w:rsidTr="001E4361">
        <w:tc>
          <w:tcPr>
            <w:tcW w:w="1501" w:type="dxa"/>
            <w:vAlign w:val="center"/>
          </w:tcPr>
          <w:p w14:paraId="36DA93E7" w14:textId="77777777" w:rsidR="0084644E" w:rsidRPr="000E5ED8" w:rsidRDefault="0084644E" w:rsidP="001E4361">
            <w:pPr>
              <w:spacing w:line="360" w:lineRule="auto"/>
              <w:jc w:val="center"/>
            </w:pPr>
            <w:r>
              <w:t>Anti-DCP-1</w:t>
            </w:r>
          </w:p>
        </w:tc>
        <w:tc>
          <w:tcPr>
            <w:tcW w:w="1501" w:type="dxa"/>
            <w:vAlign w:val="center"/>
          </w:tcPr>
          <w:p w14:paraId="7A68D982" w14:textId="77777777" w:rsidR="0084644E" w:rsidRPr="000E5ED8" w:rsidRDefault="0084644E" w:rsidP="001E4361">
            <w:pPr>
              <w:spacing w:line="360" w:lineRule="auto"/>
              <w:jc w:val="center"/>
            </w:pPr>
            <w:r>
              <w:t>Rabbit</w:t>
            </w:r>
          </w:p>
        </w:tc>
        <w:tc>
          <w:tcPr>
            <w:tcW w:w="2956" w:type="dxa"/>
            <w:vAlign w:val="center"/>
          </w:tcPr>
          <w:p w14:paraId="236D5334" w14:textId="77777777" w:rsidR="0084644E" w:rsidRPr="000E5ED8" w:rsidRDefault="0084644E" w:rsidP="001E4361">
            <w:pPr>
              <w:spacing w:line="360" w:lineRule="auto"/>
              <w:jc w:val="center"/>
            </w:pPr>
            <w:r w:rsidRPr="0007460A">
              <w:rPr>
                <w:i/>
              </w:rPr>
              <w:t>Drosophila</w:t>
            </w:r>
            <w:r>
              <w:t xml:space="preserve"> Cleaved Caspase-1</w:t>
            </w:r>
          </w:p>
        </w:tc>
        <w:tc>
          <w:tcPr>
            <w:tcW w:w="1350" w:type="dxa"/>
            <w:vAlign w:val="center"/>
          </w:tcPr>
          <w:p w14:paraId="341DB8D9" w14:textId="77777777" w:rsidR="0084644E" w:rsidRPr="000E5ED8" w:rsidRDefault="0084644E" w:rsidP="001E4361">
            <w:pPr>
              <w:spacing w:line="360" w:lineRule="auto"/>
              <w:jc w:val="center"/>
            </w:pPr>
            <w:r>
              <w:t>1:500</w:t>
            </w:r>
          </w:p>
        </w:tc>
        <w:tc>
          <w:tcPr>
            <w:tcW w:w="1710" w:type="dxa"/>
            <w:vAlign w:val="center"/>
          </w:tcPr>
          <w:p w14:paraId="73493731" w14:textId="77777777" w:rsidR="0084644E" w:rsidRPr="000E5ED8" w:rsidRDefault="0084644E" w:rsidP="001E4361">
            <w:pPr>
              <w:spacing w:line="360" w:lineRule="auto"/>
              <w:jc w:val="center"/>
            </w:pPr>
            <w:r>
              <w:t>Cell Signaling</w:t>
            </w:r>
          </w:p>
        </w:tc>
      </w:tr>
    </w:tbl>
    <w:p w14:paraId="11EE5B3C" w14:textId="77777777" w:rsidR="0084644E" w:rsidRPr="000E5ED8" w:rsidRDefault="0084644E" w:rsidP="0084644E">
      <w:pPr>
        <w:spacing w:line="360" w:lineRule="auto"/>
      </w:pPr>
    </w:p>
    <w:p w14:paraId="002EBE41" w14:textId="77777777" w:rsidR="0084644E" w:rsidRDefault="0084644E" w:rsidP="0084644E">
      <w:pPr>
        <w:pStyle w:val="Heading4"/>
        <w:spacing w:line="360" w:lineRule="auto"/>
      </w:pPr>
      <w:r>
        <w:tab/>
      </w:r>
      <w:r>
        <w:tab/>
      </w:r>
      <w:r>
        <w:tab/>
      </w:r>
      <w:bookmarkStart w:id="76" w:name="_Toc476834047"/>
      <w:r>
        <w:t>2.1.2.2 Secondary antibodies</w:t>
      </w:r>
      <w:bookmarkEnd w:id="76"/>
    </w:p>
    <w:p w14:paraId="1C457299" w14:textId="77777777" w:rsidR="0084644E" w:rsidRDefault="0084644E" w:rsidP="0084644E">
      <w:pPr>
        <w:spacing w:line="360" w:lineRule="auto"/>
      </w:pPr>
    </w:p>
    <w:tbl>
      <w:tblPr>
        <w:tblStyle w:val="TableGridLight1"/>
        <w:tblW w:w="0" w:type="auto"/>
        <w:tblLook w:val="04A0" w:firstRow="1" w:lastRow="0" w:firstColumn="1" w:lastColumn="0" w:noHBand="0" w:noVBand="1"/>
      </w:tblPr>
      <w:tblGrid>
        <w:gridCol w:w="1813"/>
        <w:gridCol w:w="1257"/>
        <w:gridCol w:w="2244"/>
        <w:gridCol w:w="1014"/>
        <w:gridCol w:w="2688"/>
      </w:tblGrid>
      <w:tr w:rsidR="0084644E" w:rsidRPr="000E5ED8" w14:paraId="3215D713" w14:textId="77777777" w:rsidTr="001E4361">
        <w:tc>
          <w:tcPr>
            <w:tcW w:w="1818" w:type="dxa"/>
            <w:vAlign w:val="center"/>
          </w:tcPr>
          <w:p w14:paraId="2F4A06CA" w14:textId="77777777" w:rsidR="0084644E" w:rsidRPr="00A83999" w:rsidRDefault="0084644E" w:rsidP="001E4361">
            <w:pPr>
              <w:pStyle w:val="Thesisnormal"/>
              <w:jc w:val="center"/>
              <w:rPr>
                <w:b/>
                <w:u w:val="single"/>
              </w:rPr>
            </w:pPr>
            <w:r w:rsidRPr="00A83999">
              <w:rPr>
                <w:b/>
                <w:u w:val="single"/>
              </w:rPr>
              <w:t>Antibody</w:t>
            </w:r>
          </w:p>
        </w:tc>
        <w:tc>
          <w:tcPr>
            <w:tcW w:w="1260" w:type="dxa"/>
            <w:vAlign w:val="center"/>
          </w:tcPr>
          <w:p w14:paraId="45F345E1" w14:textId="77777777" w:rsidR="0084644E" w:rsidRPr="00A83999" w:rsidRDefault="0084644E" w:rsidP="001E4361">
            <w:pPr>
              <w:pStyle w:val="Thesisnormal"/>
              <w:jc w:val="center"/>
              <w:rPr>
                <w:b/>
                <w:u w:val="single"/>
              </w:rPr>
            </w:pPr>
            <w:r w:rsidRPr="00A83999">
              <w:rPr>
                <w:b/>
                <w:u w:val="single"/>
              </w:rPr>
              <w:t>Raised in</w:t>
            </w:r>
          </w:p>
        </w:tc>
        <w:tc>
          <w:tcPr>
            <w:tcW w:w="2250" w:type="dxa"/>
            <w:vAlign w:val="center"/>
          </w:tcPr>
          <w:p w14:paraId="20CCA20E" w14:textId="77777777" w:rsidR="0084644E" w:rsidRPr="00A83999" w:rsidRDefault="0084644E" w:rsidP="001E4361">
            <w:pPr>
              <w:pStyle w:val="Thesisnormal"/>
              <w:jc w:val="center"/>
              <w:rPr>
                <w:b/>
                <w:u w:val="single"/>
              </w:rPr>
            </w:pPr>
            <w:r w:rsidRPr="00A83999">
              <w:rPr>
                <w:b/>
                <w:u w:val="single"/>
              </w:rPr>
              <w:t>Fluorescence</w:t>
            </w:r>
          </w:p>
        </w:tc>
        <w:tc>
          <w:tcPr>
            <w:tcW w:w="1014" w:type="dxa"/>
            <w:vAlign w:val="center"/>
          </w:tcPr>
          <w:p w14:paraId="6571BA57" w14:textId="77777777" w:rsidR="0084644E" w:rsidRPr="00A83999" w:rsidRDefault="0084644E" w:rsidP="001E4361">
            <w:pPr>
              <w:pStyle w:val="Thesisnormal"/>
              <w:jc w:val="center"/>
              <w:rPr>
                <w:b/>
                <w:u w:val="single"/>
              </w:rPr>
            </w:pPr>
            <w:r w:rsidRPr="00A83999">
              <w:rPr>
                <w:b/>
                <w:u w:val="single"/>
              </w:rPr>
              <w:t>Dilution</w:t>
            </w:r>
          </w:p>
        </w:tc>
        <w:tc>
          <w:tcPr>
            <w:tcW w:w="2700" w:type="dxa"/>
            <w:vAlign w:val="center"/>
          </w:tcPr>
          <w:p w14:paraId="570691D7" w14:textId="77777777" w:rsidR="0084644E" w:rsidRPr="00A83999" w:rsidRDefault="0084644E" w:rsidP="001E4361">
            <w:pPr>
              <w:pStyle w:val="Thesisnormal"/>
              <w:jc w:val="center"/>
              <w:rPr>
                <w:b/>
                <w:u w:val="single"/>
              </w:rPr>
            </w:pPr>
            <w:r w:rsidRPr="00A83999">
              <w:rPr>
                <w:b/>
                <w:u w:val="single"/>
              </w:rPr>
              <w:t>Supplier</w:t>
            </w:r>
          </w:p>
        </w:tc>
      </w:tr>
      <w:tr w:rsidR="0084644E" w:rsidRPr="000E5ED8" w14:paraId="16EAFF9E" w14:textId="77777777" w:rsidTr="001E4361">
        <w:tc>
          <w:tcPr>
            <w:tcW w:w="1818" w:type="dxa"/>
            <w:vAlign w:val="center"/>
          </w:tcPr>
          <w:p w14:paraId="0AE8B1F2" w14:textId="77777777" w:rsidR="0084644E" w:rsidRPr="000E5ED8" w:rsidRDefault="0084644E" w:rsidP="001E4361">
            <w:pPr>
              <w:spacing w:line="360" w:lineRule="auto"/>
              <w:jc w:val="center"/>
            </w:pPr>
            <w:r>
              <w:t>Anti-rabbit</w:t>
            </w:r>
          </w:p>
        </w:tc>
        <w:tc>
          <w:tcPr>
            <w:tcW w:w="1260" w:type="dxa"/>
            <w:vAlign w:val="center"/>
          </w:tcPr>
          <w:p w14:paraId="1BFF53AD" w14:textId="77777777" w:rsidR="0084644E" w:rsidRPr="000E5ED8" w:rsidRDefault="0084644E" w:rsidP="001E4361">
            <w:pPr>
              <w:spacing w:line="360" w:lineRule="auto"/>
              <w:jc w:val="center"/>
            </w:pPr>
            <w:r>
              <w:t>Goat</w:t>
            </w:r>
          </w:p>
        </w:tc>
        <w:tc>
          <w:tcPr>
            <w:tcW w:w="2250" w:type="dxa"/>
            <w:vAlign w:val="center"/>
          </w:tcPr>
          <w:p w14:paraId="2D39E79E" w14:textId="77777777" w:rsidR="0084644E" w:rsidRPr="000E5ED8" w:rsidRDefault="0084644E" w:rsidP="001E4361">
            <w:pPr>
              <w:spacing w:line="360" w:lineRule="auto"/>
              <w:jc w:val="center"/>
            </w:pPr>
            <w:r>
              <w:t>Alexa Fluor 488</w:t>
            </w:r>
          </w:p>
        </w:tc>
        <w:tc>
          <w:tcPr>
            <w:tcW w:w="1014" w:type="dxa"/>
            <w:vAlign w:val="center"/>
          </w:tcPr>
          <w:p w14:paraId="21777516" w14:textId="77777777" w:rsidR="0084644E" w:rsidRPr="000E5ED8" w:rsidRDefault="0084644E" w:rsidP="001E4361">
            <w:pPr>
              <w:spacing w:line="360" w:lineRule="auto"/>
              <w:jc w:val="center"/>
            </w:pPr>
            <w:r>
              <w:t>1:200</w:t>
            </w:r>
          </w:p>
        </w:tc>
        <w:tc>
          <w:tcPr>
            <w:tcW w:w="2700" w:type="dxa"/>
            <w:vAlign w:val="center"/>
          </w:tcPr>
          <w:p w14:paraId="7ED39AEA" w14:textId="77777777" w:rsidR="0084644E" w:rsidRPr="000E5ED8" w:rsidRDefault="0084644E" w:rsidP="001E4361">
            <w:pPr>
              <w:spacing w:line="360" w:lineRule="auto"/>
              <w:jc w:val="center"/>
            </w:pPr>
            <w:r>
              <w:t>Molecular Probes</w:t>
            </w:r>
          </w:p>
        </w:tc>
      </w:tr>
    </w:tbl>
    <w:p w14:paraId="0CD1BA7D" w14:textId="77777777" w:rsidR="006A45E9" w:rsidRPr="000E5ED8" w:rsidRDefault="006A45E9" w:rsidP="0084644E">
      <w:pPr>
        <w:spacing w:line="360" w:lineRule="auto"/>
      </w:pPr>
    </w:p>
    <w:p w14:paraId="1BD1F565" w14:textId="77777777" w:rsidR="0084644E" w:rsidRPr="00C84A2B" w:rsidRDefault="0084644E" w:rsidP="0084644E">
      <w:pPr>
        <w:pStyle w:val="Heading3"/>
        <w:spacing w:line="360" w:lineRule="auto"/>
      </w:pPr>
      <w:r>
        <w:tab/>
      </w:r>
      <w:r>
        <w:tab/>
      </w:r>
      <w:bookmarkStart w:id="77" w:name="_Toc476834048"/>
      <w:bookmarkStart w:id="78" w:name="_Toc4589279"/>
      <w:r>
        <w:t>2.1.3 Fluorescent reagents used</w:t>
      </w:r>
      <w:bookmarkEnd w:id="77"/>
      <w:bookmarkEnd w:id="78"/>
    </w:p>
    <w:p w14:paraId="60BFDBD0" w14:textId="77777777" w:rsidR="0084644E" w:rsidRDefault="0084644E" w:rsidP="0084644E">
      <w:pPr>
        <w:spacing w:line="360" w:lineRule="auto"/>
      </w:pPr>
      <w:r>
        <w:tab/>
      </w:r>
    </w:p>
    <w:tbl>
      <w:tblPr>
        <w:tblStyle w:val="TableGridLight1"/>
        <w:tblW w:w="0" w:type="auto"/>
        <w:tblLook w:val="04A0" w:firstRow="1" w:lastRow="0" w:firstColumn="1" w:lastColumn="0" w:noHBand="0" w:noVBand="1"/>
      </w:tblPr>
      <w:tblGrid>
        <w:gridCol w:w="2263"/>
        <w:gridCol w:w="2268"/>
        <w:gridCol w:w="1418"/>
        <w:gridCol w:w="2551"/>
      </w:tblGrid>
      <w:tr w:rsidR="0084644E" w:rsidRPr="000E5ED8" w14:paraId="03F7F004" w14:textId="77777777" w:rsidTr="001E4361">
        <w:tc>
          <w:tcPr>
            <w:tcW w:w="2263" w:type="dxa"/>
            <w:vAlign w:val="center"/>
          </w:tcPr>
          <w:p w14:paraId="3B609646" w14:textId="77777777" w:rsidR="0084644E" w:rsidRPr="00A83999" w:rsidRDefault="0084644E" w:rsidP="001E4361">
            <w:pPr>
              <w:pStyle w:val="Thesisnormal"/>
              <w:jc w:val="center"/>
              <w:rPr>
                <w:b/>
                <w:u w:val="single"/>
              </w:rPr>
            </w:pPr>
            <w:r>
              <w:rPr>
                <w:b/>
                <w:u w:val="single"/>
              </w:rPr>
              <w:t>Fluorescent probe</w:t>
            </w:r>
          </w:p>
        </w:tc>
        <w:tc>
          <w:tcPr>
            <w:tcW w:w="2268" w:type="dxa"/>
            <w:vAlign w:val="center"/>
          </w:tcPr>
          <w:p w14:paraId="0371E1DC" w14:textId="77777777" w:rsidR="0084644E" w:rsidRPr="00A83999" w:rsidRDefault="0084644E" w:rsidP="001E4361">
            <w:pPr>
              <w:pStyle w:val="Thesisnormal"/>
              <w:jc w:val="center"/>
              <w:rPr>
                <w:b/>
                <w:u w:val="single"/>
              </w:rPr>
            </w:pPr>
            <w:r w:rsidRPr="00A83999">
              <w:rPr>
                <w:b/>
                <w:u w:val="single"/>
              </w:rPr>
              <w:t>Fluorescence</w:t>
            </w:r>
          </w:p>
        </w:tc>
        <w:tc>
          <w:tcPr>
            <w:tcW w:w="1418" w:type="dxa"/>
            <w:vAlign w:val="center"/>
          </w:tcPr>
          <w:p w14:paraId="42F27403" w14:textId="77777777" w:rsidR="0084644E" w:rsidRPr="00A83999" w:rsidRDefault="0084644E" w:rsidP="001E4361">
            <w:pPr>
              <w:pStyle w:val="Thesisnormal"/>
              <w:jc w:val="center"/>
              <w:rPr>
                <w:b/>
                <w:u w:val="single"/>
              </w:rPr>
            </w:pPr>
            <w:r w:rsidRPr="00A83999">
              <w:rPr>
                <w:b/>
                <w:u w:val="single"/>
              </w:rPr>
              <w:t>Dilution</w:t>
            </w:r>
          </w:p>
        </w:tc>
        <w:tc>
          <w:tcPr>
            <w:tcW w:w="2551" w:type="dxa"/>
            <w:vAlign w:val="center"/>
          </w:tcPr>
          <w:p w14:paraId="6A596EAE" w14:textId="77777777" w:rsidR="0084644E" w:rsidRPr="00A83999" w:rsidRDefault="0084644E" w:rsidP="001E4361">
            <w:pPr>
              <w:pStyle w:val="Thesisnormal"/>
              <w:jc w:val="center"/>
              <w:rPr>
                <w:b/>
                <w:u w:val="single"/>
              </w:rPr>
            </w:pPr>
            <w:r w:rsidRPr="00A83999">
              <w:rPr>
                <w:b/>
                <w:u w:val="single"/>
              </w:rPr>
              <w:t>Supplier</w:t>
            </w:r>
          </w:p>
        </w:tc>
      </w:tr>
      <w:tr w:rsidR="0084644E" w:rsidRPr="000E5ED8" w14:paraId="2187EADB" w14:textId="77777777" w:rsidTr="001E4361">
        <w:tc>
          <w:tcPr>
            <w:tcW w:w="2263" w:type="dxa"/>
            <w:vAlign w:val="center"/>
          </w:tcPr>
          <w:p w14:paraId="59BF8505" w14:textId="77777777" w:rsidR="0084644E" w:rsidRPr="000E5ED8" w:rsidRDefault="0084644E" w:rsidP="001E4361">
            <w:pPr>
              <w:spacing w:line="360" w:lineRule="auto"/>
              <w:jc w:val="center"/>
            </w:pPr>
            <w:r>
              <w:t>Phalloidin</w:t>
            </w:r>
          </w:p>
        </w:tc>
        <w:tc>
          <w:tcPr>
            <w:tcW w:w="2268" w:type="dxa"/>
            <w:vAlign w:val="center"/>
          </w:tcPr>
          <w:p w14:paraId="235EFA2B" w14:textId="77777777" w:rsidR="0084644E" w:rsidRPr="000E5ED8" w:rsidRDefault="0084644E" w:rsidP="001E4361">
            <w:pPr>
              <w:spacing w:line="360" w:lineRule="auto"/>
              <w:jc w:val="center"/>
            </w:pPr>
            <w:r>
              <w:t>Alexa Fluor 568</w:t>
            </w:r>
          </w:p>
        </w:tc>
        <w:tc>
          <w:tcPr>
            <w:tcW w:w="1418" w:type="dxa"/>
            <w:vAlign w:val="center"/>
          </w:tcPr>
          <w:p w14:paraId="0DB005F0" w14:textId="77777777" w:rsidR="0084644E" w:rsidRPr="000E5ED8" w:rsidRDefault="0084644E" w:rsidP="001E4361">
            <w:pPr>
              <w:spacing w:line="360" w:lineRule="auto"/>
              <w:jc w:val="center"/>
            </w:pPr>
            <w:r>
              <w:t>1:500</w:t>
            </w:r>
          </w:p>
        </w:tc>
        <w:tc>
          <w:tcPr>
            <w:tcW w:w="2551" w:type="dxa"/>
            <w:vAlign w:val="center"/>
          </w:tcPr>
          <w:p w14:paraId="34E07226" w14:textId="77777777" w:rsidR="0084644E" w:rsidRPr="000E5ED8" w:rsidRDefault="0084644E" w:rsidP="001E4361">
            <w:pPr>
              <w:spacing w:line="360" w:lineRule="auto"/>
              <w:jc w:val="center"/>
            </w:pPr>
            <w:r>
              <w:t>Molecular Probes</w:t>
            </w:r>
          </w:p>
        </w:tc>
      </w:tr>
      <w:tr w:rsidR="0084644E" w:rsidRPr="000E5ED8" w14:paraId="50865D9F" w14:textId="77777777" w:rsidTr="001E4361">
        <w:tc>
          <w:tcPr>
            <w:tcW w:w="2263" w:type="dxa"/>
            <w:vAlign w:val="center"/>
          </w:tcPr>
          <w:p w14:paraId="76499F3C" w14:textId="77777777" w:rsidR="0084644E" w:rsidRDefault="0084644E" w:rsidP="001E4361">
            <w:pPr>
              <w:spacing w:line="360" w:lineRule="auto"/>
              <w:jc w:val="center"/>
            </w:pPr>
            <w:r>
              <w:t>Dihydrorhodamine 123</w:t>
            </w:r>
          </w:p>
        </w:tc>
        <w:tc>
          <w:tcPr>
            <w:tcW w:w="2268" w:type="dxa"/>
            <w:vAlign w:val="center"/>
          </w:tcPr>
          <w:p w14:paraId="016EAC2C" w14:textId="77777777" w:rsidR="0084644E" w:rsidRDefault="0084644E" w:rsidP="001E4361">
            <w:pPr>
              <w:spacing w:line="360" w:lineRule="auto"/>
              <w:jc w:val="center"/>
            </w:pPr>
            <w:r>
              <w:t>488</w:t>
            </w:r>
          </w:p>
        </w:tc>
        <w:tc>
          <w:tcPr>
            <w:tcW w:w="1418" w:type="dxa"/>
            <w:vAlign w:val="center"/>
          </w:tcPr>
          <w:p w14:paraId="0DCFD2B4" w14:textId="77777777" w:rsidR="0084644E" w:rsidRDefault="0084644E" w:rsidP="001E4361">
            <w:pPr>
              <w:spacing w:line="360" w:lineRule="auto"/>
              <w:jc w:val="center"/>
            </w:pPr>
            <w:r>
              <w:t>50µM</w:t>
            </w:r>
          </w:p>
        </w:tc>
        <w:tc>
          <w:tcPr>
            <w:tcW w:w="2551" w:type="dxa"/>
            <w:vAlign w:val="center"/>
          </w:tcPr>
          <w:p w14:paraId="78D2F823" w14:textId="77777777" w:rsidR="0084644E" w:rsidRDefault="0084644E" w:rsidP="001E4361">
            <w:pPr>
              <w:spacing w:line="360" w:lineRule="auto"/>
              <w:jc w:val="center"/>
            </w:pPr>
            <w:r>
              <w:t>Sigma</w:t>
            </w:r>
          </w:p>
        </w:tc>
      </w:tr>
    </w:tbl>
    <w:p w14:paraId="4DC28B95" w14:textId="77777777" w:rsidR="0084644E" w:rsidRDefault="0084644E" w:rsidP="0084644E">
      <w:pPr>
        <w:spacing w:line="360" w:lineRule="auto"/>
      </w:pPr>
    </w:p>
    <w:p w14:paraId="10FD2F2D" w14:textId="77777777" w:rsidR="0084644E" w:rsidRDefault="0084644E" w:rsidP="0084644E">
      <w:pPr>
        <w:pStyle w:val="Heading2"/>
        <w:spacing w:line="360" w:lineRule="auto"/>
      </w:pPr>
      <w:r>
        <w:tab/>
      </w:r>
      <w:bookmarkStart w:id="79" w:name="_Toc476834049"/>
      <w:bookmarkStart w:id="80" w:name="_Toc4589280"/>
      <w:r>
        <w:t>2.2 Fly work</w:t>
      </w:r>
      <w:bookmarkEnd w:id="79"/>
      <w:bookmarkEnd w:id="80"/>
    </w:p>
    <w:p w14:paraId="5C079562" w14:textId="77777777" w:rsidR="0084644E" w:rsidRPr="00535208" w:rsidRDefault="0084644E" w:rsidP="0084644E">
      <w:pPr>
        <w:spacing w:line="360" w:lineRule="auto"/>
      </w:pPr>
    </w:p>
    <w:p w14:paraId="29FAA7BF" w14:textId="77777777" w:rsidR="0084644E" w:rsidRDefault="0084644E" w:rsidP="0084644E">
      <w:pPr>
        <w:pStyle w:val="Heading3"/>
        <w:spacing w:line="360" w:lineRule="auto"/>
      </w:pPr>
      <w:r>
        <w:tab/>
      </w:r>
      <w:r>
        <w:tab/>
      </w:r>
      <w:bookmarkStart w:id="81" w:name="_Toc476834050"/>
      <w:bookmarkStart w:id="82" w:name="_Toc4589281"/>
      <w:r>
        <w:t>2.2.1 Housing conditions</w:t>
      </w:r>
      <w:bookmarkEnd w:id="81"/>
      <w:bookmarkEnd w:id="82"/>
    </w:p>
    <w:p w14:paraId="10020762" w14:textId="77777777" w:rsidR="0084644E" w:rsidRDefault="0084644E" w:rsidP="0084644E">
      <w:pPr>
        <w:spacing w:line="360" w:lineRule="auto"/>
      </w:pPr>
    </w:p>
    <w:p w14:paraId="38E1E889" w14:textId="77777777" w:rsidR="0084644E" w:rsidRDefault="0084644E" w:rsidP="0084644E">
      <w:pPr>
        <w:pStyle w:val="Thesisnormal"/>
      </w:pPr>
      <w:r w:rsidRPr="000E5ED8">
        <w:t>All fly stocks were rear</w:t>
      </w:r>
      <w:r>
        <w:t>ed under standard conditions and maintained at 18</w:t>
      </w:r>
      <w:r>
        <w:sym w:font="Symbol" w:char="F0B0"/>
      </w:r>
      <w:r>
        <w:t>C with the exception of experimental flies and crosses which were kept at 25</w:t>
      </w:r>
      <w:r>
        <w:sym w:font="Symbol" w:char="F0B0"/>
      </w:r>
      <w:r>
        <w:t xml:space="preserve">C. All stocks were kept </w:t>
      </w:r>
      <w:r w:rsidRPr="000E5ED8">
        <w:t xml:space="preserve">in vials or bottles containing </w:t>
      </w:r>
      <w:r>
        <w:t xml:space="preserve">standard </w:t>
      </w:r>
      <w:r w:rsidRPr="000E5ED8">
        <w:rPr>
          <w:i/>
        </w:rPr>
        <w:t>Drosophila</w:t>
      </w:r>
      <w:r w:rsidRPr="000E5ED8">
        <w:t xml:space="preserve"> medium</w:t>
      </w:r>
      <w:r>
        <w:t xml:space="preserve"> (</w:t>
      </w:r>
      <w:r w:rsidRPr="006755BF">
        <w:t>recipe in Appendix</w:t>
      </w:r>
      <w:r>
        <w:t xml:space="preserve"> 1)</w:t>
      </w:r>
      <w:r w:rsidRPr="000E5ED8">
        <w:t xml:space="preserve">. </w:t>
      </w:r>
    </w:p>
    <w:p w14:paraId="4DA29082" w14:textId="77777777" w:rsidR="0084644E" w:rsidRPr="000E5ED8" w:rsidRDefault="0084644E" w:rsidP="0084644E">
      <w:pPr>
        <w:spacing w:line="360" w:lineRule="auto"/>
      </w:pPr>
    </w:p>
    <w:p w14:paraId="708EA2AA" w14:textId="77777777" w:rsidR="0084644E" w:rsidRDefault="0084644E" w:rsidP="0084644E">
      <w:pPr>
        <w:pStyle w:val="Heading3"/>
        <w:spacing w:line="360" w:lineRule="auto"/>
      </w:pPr>
      <w:r>
        <w:tab/>
      </w:r>
      <w:r>
        <w:tab/>
      </w:r>
      <w:bookmarkStart w:id="83" w:name="_Toc476834051"/>
      <w:bookmarkStart w:id="84" w:name="_Toc4589282"/>
      <w:r>
        <w:t>2.2.2 Collection of flies</w:t>
      </w:r>
      <w:bookmarkEnd w:id="83"/>
      <w:r>
        <w:t xml:space="preserve"> and crosses</w:t>
      </w:r>
      <w:bookmarkEnd w:id="84"/>
    </w:p>
    <w:p w14:paraId="2B0352FD" w14:textId="77777777" w:rsidR="0084644E" w:rsidRDefault="0084644E" w:rsidP="0084644E">
      <w:pPr>
        <w:spacing w:line="360" w:lineRule="auto"/>
      </w:pPr>
    </w:p>
    <w:p w14:paraId="399377DF" w14:textId="77777777" w:rsidR="0084644E" w:rsidRPr="000E5ED8" w:rsidRDefault="0084644E" w:rsidP="0084644E">
      <w:pPr>
        <w:pStyle w:val="Thesisnormal"/>
      </w:pPr>
      <w:r>
        <w:t>Flies were collected twice daily by anesthetizing flies using CO</w:t>
      </w:r>
      <w:r>
        <w:rPr>
          <w:vertAlign w:val="subscript"/>
        </w:rPr>
        <w:t>2</w:t>
      </w:r>
      <w:r>
        <w:t>. Virgin females were selected based on body colour, shape and presence of the meconium. Appropriately genotyped male and female flies were crossed in vials containing dried yeast granules. Flies were tipped into new vials of food every 3 days. Progeny flies were anesthetized with CO</w:t>
      </w:r>
      <w:r>
        <w:rPr>
          <w:vertAlign w:val="subscript"/>
        </w:rPr>
        <w:t>2</w:t>
      </w:r>
      <w:r>
        <w:t xml:space="preserve"> and flies of the correct genotypes were selected. F1 flies were then used for subsequent crosses or in laying cages. </w:t>
      </w:r>
    </w:p>
    <w:p w14:paraId="696A762F" w14:textId="77777777" w:rsidR="0084644E" w:rsidRPr="000E5ED8" w:rsidRDefault="0084644E" w:rsidP="0084644E">
      <w:pPr>
        <w:spacing w:line="360" w:lineRule="auto"/>
      </w:pPr>
    </w:p>
    <w:p w14:paraId="3444D08D" w14:textId="77777777" w:rsidR="0084644E" w:rsidRDefault="0084644E" w:rsidP="0084644E">
      <w:pPr>
        <w:pStyle w:val="Heading3"/>
        <w:spacing w:line="360" w:lineRule="auto"/>
        <w:ind w:left="1440"/>
      </w:pPr>
      <w:bookmarkStart w:id="85" w:name="_Toc476834053"/>
      <w:bookmarkStart w:id="86" w:name="_Toc4589283"/>
      <w:r>
        <w:t>2.2.3 Collection of embryos</w:t>
      </w:r>
      <w:bookmarkEnd w:id="85"/>
      <w:bookmarkEnd w:id="86"/>
    </w:p>
    <w:p w14:paraId="4F018524" w14:textId="77777777" w:rsidR="0084644E" w:rsidRDefault="0084644E" w:rsidP="0084644E">
      <w:pPr>
        <w:spacing w:line="360" w:lineRule="auto"/>
      </w:pPr>
    </w:p>
    <w:p w14:paraId="085DA0B4" w14:textId="77777777" w:rsidR="0084644E" w:rsidRDefault="0084644E" w:rsidP="0084644E">
      <w:pPr>
        <w:pStyle w:val="Thesisnormal"/>
      </w:pPr>
      <w:r>
        <w:t>Flies were added to laying cages attached to apple juice agar plates supplemented with yeast paste and allowed to acclimatise for 2 days before embryo collection. The apple juice agar plate was changed daily throughout. Plates were then changed every evening and cages incubated at 22</w:t>
      </w:r>
      <w:r>
        <w:sym w:font="Symbol" w:char="F0B0"/>
      </w:r>
      <w:r>
        <w:t xml:space="preserve">C overnight before embryos were collected the following morning. Embryos were collected by washing the plates with distilled water and gently disturbing the embryos with a paintbrush, following which embryos were collected into a cell strainer. Embryos were dechorionated in undiluted bleach for 1-2 minutes and then washed in distilled water until free from bleach. Embryos were kept in distilled water until mounting to prevent dehydration. </w:t>
      </w:r>
    </w:p>
    <w:p w14:paraId="0AEADF14" w14:textId="77777777" w:rsidR="0084644E" w:rsidRPr="000E5ED8" w:rsidRDefault="0084644E" w:rsidP="0084644E">
      <w:pPr>
        <w:spacing w:line="360" w:lineRule="auto"/>
      </w:pPr>
    </w:p>
    <w:p w14:paraId="6F7CB2E4" w14:textId="77777777" w:rsidR="0084644E" w:rsidRDefault="0084644E" w:rsidP="0084644E">
      <w:pPr>
        <w:pStyle w:val="Heading3"/>
        <w:spacing w:line="360" w:lineRule="auto"/>
      </w:pPr>
      <w:r>
        <w:lastRenderedPageBreak/>
        <w:tab/>
      </w:r>
      <w:r>
        <w:tab/>
      </w:r>
      <w:bookmarkStart w:id="87" w:name="_Toc476834054"/>
      <w:bookmarkStart w:id="88" w:name="_Toc4589284"/>
      <w:r>
        <w:t>2.2.4 Collection of larvae</w:t>
      </w:r>
      <w:bookmarkEnd w:id="87"/>
      <w:bookmarkEnd w:id="88"/>
    </w:p>
    <w:p w14:paraId="1DE7D09D" w14:textId="77777777" w:rsidR="0084644E" w:rsidRDefault="0084644E" w:rsidP="0084644E">
      <w:pPr>
        <w:spacing w:line="360" w:lineRule="auto"/>
      </w:pPr>
    </w:p>
    <w:p w14:paraId="613ACD35" w14:textId="77777777" w:rsidR="0084644E" w:rsidRDefault="0084644E" w:rsidP="0084644E">
      <w:pPr>
        <w:pStyle w:val="Thesisnormal"/>
      </w:pPr>
      <w:r>
        <w:t xml:space="preserve">Flies were placed in vials or bottles and incubated at 25°C until L3 wandering larvae developed. These were then collected using a paintbrush by picking the larvae from the side of the vials. Larvae were placed into a fresh apple juice plate on ice to prevent them from wandering away. Larvae were washed in dionised water to clean away food debris before use.  </w:t>
      </w:r>
    </w:p>
    <w:p w14:paraId="27DF509C" w14:textId="77777777" w:rsidR="0084644E" w:rsidRPr="00462BC8" w:rsidRDefault="0084644E" w:rsidP="0084644E">
      <w:pPr>
        <w:spacing w:line="360" w:lineRule="auto"/>
      </w:pPr>
    </w:p>
    <w:p w14:paraId="3D2428CB" w14:textId="77777777" w:rsidR="0084644E" w:rsidRPr="00A47B61" w:rsidRDefault="0084644E" w:rsidP="0084644E">
      <w:pPr>
        <w:pStyle w:val="Heading3"/>
        <w:spacing w:line="360" w:lineRule="auto"/>
      </w:pPr>
      <w:r>
        <w:tab/>
      </w:r>
      <w:r>
        <w:tab/>
      </w:r>
      <w:bookmarkStart w:id="89" w:name="_Toc476834055"/>
      <w:bookmarkStart w:id="90" w:name="_Toc4589285"/>
      <w:r>
        <w:t>2.2.5 Staging embryos and larvae</w:t>
      </w:r>
      <w:bookmarkEnd w:id="89"/>
      <w:bookmarkEnd w:id="90"/>
    </w:p>
    <w:p w14:paraId="2F3DCF76" w14:textId="77777777" w:rsidR="0084644E" w:rsidRDefault="0084644E" w:rsidP="0084644E">
      <w:pPr>
        <w:spacing w:line="360" w:lineRule="auto"/>
      </w:pPr>
    </w:p>
    <w:p w14:paraId="714CA1EE" w14:textId="0021E888" w:rsidR="0084644E" w:rsidRDefault="0084644E" w:rsidP="0084644E">
      <w:pPr>
        <w:pStyle w:val="Thesisnormal"/>
      </w:pPr>
      <w:r>
        <w:t xml:space="preserve">Embryos </w:t>
      </w:r>
      <w:r w:rsidRPr="0003266A">
        <w:t>were staged on a Leica M205 FA</w:t>
      </w:r>
      <w:r>
        <w:t xml:space="preserve"> </w:t>
      </w:r>
      <w:r w:rsidRPr="0003266A">
        <w:t>fluorescent dissection scope using</w:t>
      </w:r>
      <w:r>
        <w:t xml:space="preserve"> the 488 wavelength to drive auto-fluorescence which was used to examine the shape of the amnioserosa, gut and head morphology, as described </w:t>
      </w:r>
      <w:r>
        <w:fldChar w:fldCharType="begin"/>
      </w:r>
      <w:r w:rsidR="000A209C">
        <w:instrText xml:space="preserve"> ADDIN ZOTERO_ITEM CSL_CITATION {"citationID":"KEKhm3lj","properties":{"formattedCitation":"(316)","plainCitation":"(316)","noteIndex":0},"citationItems":[{"id":1769,"uris":["http://zotero.org/users/952979/items/LPR3F5UY"],"uri":["http://zotero.org/users/952979/items/LPR3F5UY"],"itemData":{"id":1769,"type":"book","title":"Atlas of Drosophila development","publisher":"Cold Spring Harbor Laboratory Press","author":[{"family":"Hartenstein","given":"Volker"}],"issued":{"date-parts":[["1995"]]}}}],"schema":"https://github.com/citation-style-language/schema/raw/master/csl-citation.json"} </w:instrText>
      </w:r>
      <w:r>
        <w:fldChar w:fldCharType="separate"/>
      </w:r>
      <w:r w:rsidR="004A1963" w:rsidRPr="004A1963">
        <w:rPr>
          <w:rFonts w:ascii="Calibri" w:hAnsi="Calibri"/>
        </w:rPr>
        <w:t>(316)</w:t>
      </w:r>
      <w:r>
        <w:fldChar w:fldCharType="end"/>
      </w:r>
      <w:r>
        <w:t xml:space="preserve">. Larvae were staged based on size and emergence from food. </w:t>
      </w:r>
    </w:p>
    <w:p w14:paraId="23ED0CEA" w14:textId="77777777" w:rsidR="0084644E" w:rsidRDefault="0084644E" w:rsidP="0084644E">
      <w:pPr>
        <w:spacing w:line="360" w:lineRule="auto"/>
      </w:pPr>
    </w:p>
    <w:p w14:paraId="581544BF" w14:textId="77777777" w:rsidR="0084644E" w:rsidRDefault="0084644E" w:rsidP="0084644E">
      <w:pPr>
        <w:pStyle w:val="Heading2"/>
        <w:spacing w:line="360" w:lineRule="auto"/>
      </w:pPr>
      <w:r>
        <w:tab/>
      </w:r>
      <w:bookmarkStart w:id="91" w:name="_Toc476834056"/>
      <w:bookmarkStart w:id="92" w:name="_Toc4589286"/>
      <w:r>
        <w:t>2.3 Live samples</w:t>
      </w:r>
      <w:bookmarkEnd w:id="91"/>
      <w:bookmarkEnd w:id="92"/>
    </w:p>
    <w:p w14:paraId="42FB4820" w14:textId="77777777" w:rsidR="0084644E" w:rsidRPr="00AC4099" w:rsidRDefault="0084644E" w:rsidP="0084644E">
      <w:pPr>
        <w:spacing w:line="360" w:lineRule="auto"/>
      </w:pPr>
    </w:p>
    <w:p w14:paraId="3D0ACD51" w14:textId="77777777" w:rsidR="0084644E" w:rsidRDefault="0084644E" w:rsidP="0084644E">
      <w:pPr>
        <w:pStyle w:val="Heading3"/>
        <w:spacing w:line="360" w:lineRule="auto"/>
      </w:pPr>
      <w:r>
        <w:tab/>
      </w:r>
      <w:r>
        <w:tab/>
      </w:r>
      <w:bookmarkStart w:id="93" w:name="_Toc476834057"/>
      <w:bookmarkStart w:id="94" w:name="_Toc4589287"/>
      <w:r>
        <w:t>2.3.1 Mounting embryos for live imaging</w:t>
      </w:r>
      <w:bookmarkEnd w:id="93"/>
      <w:bookmarkEnd w:id="94"/>
      <w:r>
        <w:t xml:space="preserve"> </w:t>
      </w:r>
    </w:p>
    <w:p w14:paraId="62736029" w14:textId="77777777" w:rsidR="0084644E" w:rsidRDefault="0084644E" w:rsidP="0084644E">
      <w:pPr>
        <w:spacing w:line="360" w:lineRule="auto"/>
      </w:pPr>
    </w:p>
    <w:p w14:paraId="7F3CE686" w14:textId="3DFF9CD8" w:rsidR="0084644E" w:rsidRDefault="0084644E" w:rsidP="0084644E">
      <w:pPr>
        <w:pStyle w:val="Thesisnormal"/>
      </w:pPr>
      <w:r>
        <w:t xml:space="preserve">Embryos were dechorionated as described in 2.2.4 and glass slides were prepared as described </w:t>
      </w:r>
      <w:r>
        <w:fldChar w:fldCharType="begin"/>
      </w:r>
      <w:r w:rsidR="000A209C">
        <w:instrText xml:space="preserve"> ADDIN ZOTERO_ITEM CSL_CITATION {"citationID":"KwKKG80P","properties":{"formattedCitation":"(317)","plainCitation":"(317)","noteIndex":0},"citationItems":[{"id":1768,"uris":["http://zotero.org/users/952979/items/6JWCQ6L2"],"uri":["http://zotero.org/users/952979/items/6JWCQ6L2"],"itemData":{"id":1768,"type":"article-journal","title":"Live Imaging Of Drosophila melanogaster Embryonic Hemocyte Migrations","container-title":"Journal of Visualized Experiments : JoVE","issue":"36","source":"PubMed Central","abstract":"Many studies address cell migration using in vitro methods, whereas the physiologically relevant environment is that of the organism itself. Here we present a protocol for the mounting of Drosophila melanogaster embryos and subsequent live imaging of fluorescently labeled hemocytes, the embryonic macrophages of this organism. Using the Gal4-uas system1 we drive the expression of a variety of genetically encoded, fluorescently tagged markers in hemocytes to follow their developmental dispersal throughout the embryo. Following collection of embryos at the desired stage of development, the outer chorion is removed and the embryos are then mounted in halocarbon oil between a hydrophobic, gas-permeable membrane and a glass coverslip for live imaging. In addition to gross migratory parameters such as speed and directionality, higher resolution imaging coupled with the use of fluorescent reporters of F-actin and microtubules can provide more detailed information concerning the dynamics of these cytoskeletal components.","URL":"https://www.ncbi.nlm.nih.gov/pmc/articles/PMC2830251/","DOI":"10.3791/1696","ISSN":"1940-087X","note":"PMID: 20154641\nPMCID: PMC2830251","journalAbbreviation":"J Vis Exp","author":[{"family":"Evans","given":"Iwan R."},{"family":"Zanet","given":"Jennifer"},{"family":"Wood","given":"Will"},{"family":"Stramer","given":"Brian M."}],"issued":{"date-parts":[["2010",2,12]]},"accessed":{"date-parts":[["2019",2,18]]}}}],"schema":"https://github.com/citation-style-language/schema/raw/master/csl-citation.json"} </w:instrText>
      </w:r>
      <w:r>
        <w:fldChar w:fldCharType="separate"/>
      </w:r>
      <w:r w:rsidR="004A1963" w:rsidRPr="004A1963">
        <w:rPr>
          <w:rFonts w:ascii="Calibri" w:hAnsi="Calibri"/>
        </w:rPr>
        <w:t>(317)</w:t>
      </w:r>
      <w:r>
        <w:fldChar w:fldCharType="end"/>
      </w:r>
      <w:r>
        <w:t>. A piece of double-sided sticky tape was placed along the length of a glass slide and then a 22x22mm coverslip (thickness 1) was added to each end to create a bridge with space in the middle to mount embryos. Embryos were genotyped and staged under a fluorescent dissection microscope and then transferred to the double-sided tape with a tungsten needle where they were orientated ventral side up. Following this they were covered with a</w:t>
      </w:r>
      <w:r w:rsidRPr="0038098B">
        <w:t xml:space="preserve"> </w:t>
      </w:r>
      <w:r>
        <w:t>small drop of halocarbon oil</w:t>
      </w:r>
      <w:r w:rsidRPr="00CB4BDC">
        <w:t xml:space="preserve"> </w:t>
      </w:r>
      <w:r>
        <w:t xml:space="preserve">700 </w:t>
      </w:r>
      <w:r w:rsidRPr="00CB4BDC">
        <w:t>(VWR International</w:t>
      </w:r>
      <w:r>
        <w:t xml:space="preserve">). A coverslip (thickness 1) was placed over the embryos, supported by the bridges, and secured with nail varnish. </w:t>
      </w:r>
    </w:p>
    <w:p w14:paraId="5E649684" w14:textId="77777777" w:rsidR="0084644E" w:rsidRPr="0038098B" w:rsidRDefault="0084644E" w:rsidP="0084644E">
      <w:pPr>
        <w:spacing w:line="360" w:lineRule="auto"/>
      </w:pPr>
    </w:p>
    <w:p w14:paraId="53EF3F43" w14:textId="77777777" w:rsidR="0084644E" w:rsidRDefault="0084644E" w:rsidP="0084644E">
      <w:pPr>
        <w:pStyle w:val="Heading3"/>
        <w:spacing w:line="360" w:lineRule="auto"/>
      </w:pPr>
      <w:r>
        <w:tab/>
      </w:r>
      <w:r>
        <w:tab/>
      </w:r>
      <w:bookmarkStart w:id="95" w:name="_Toc476834058"/>
      <w:bookmarkStart w:id="96" w:name="_Toc4589288"/>
      <w:r>
        <w:t>2.3.2 Wounding</w:t>
      </w:r>
      <w:bookmarkEnd w:id="95"/>
      <w:bookmarkEnd w:id="96"/>
    </w:p>
    <w:p w14:paraId="1C5ACA1B" w14:textId="77777777" w:rsidR="0084644E" w:rsidRDefault="0084644E" w:rsidP="0084644E">
      <w:pPr>
        <w:spacing w:line="360" w:lineRule="auto"/>
      </w:pPr>
    </w:p>
    <w:p w14:paraId="62081C56" w14:textId="6C0BD3F0" w:rsidR="0084644E" w:rsidRDefault="0084644E" w:rsidP="0084644E">
      <w:pPr>
        <w:pStyle w:val="Thesisnormal"/>
        <w:rPr>
          <w:color w:val="000000" w:themeColor="text1"/>
        </w:rPr>
      </w:pPr>
      <w:r>
        <w:lastRenderedPageBreak/>
        <w:t>Live stage 15 embryos were prepared and mounted as described (2.2.4 and 2.3.1). The epithelium of the embryos was ablated on the ventral midline using a Micropoint Ablation Laser (</w:t>
      </w:r>
      <w:r w:rsidRPr="00CB4BDC">
        <w:t>Andor</w:t>
      </w:r>
      <w:r>
        <w:t>) fitted to an Ultraview spinning disk confocal system (</w:t>
      </w:r>
      <w:r w:rsidRPr="00CB4BDC">
        <w:t>PerkinElmer</w:t>
      </w:r>
      <w:r w:rsidRPr="00046F09">
        <w:rPr>
          <w:color w:val="000000" w:themeColor="text1"/>
        </w:rPr>
        <w:t>)</w:t>
      </w:r>
      <w:r>
        <w:rPr>
          <w:color w:val="000000" w:themeColor="text1"/>
        </w:rPr>
        <w:t xml:space="preserve"> as described </w:t>
      </w:r>
      <w:r>
        <w:rPr>
          <w:color w:val="000000" w:themeColor="text1"/>
        </w:rPr>
        <w:fldChar w:fldCharType="begin"/>
      </w:r>
      <w:r w:rsidR="000A209C">
        <w:rPr>
          <w:color w:val="000000" w:themeColor="text1"/>
        </w:rPr>
        <w:instrText xml:space="preserve"> ADDIN ZOTERO_ITEM CSL_CITATION {"citationID":"VFDBaltN","properties":{"formattedCitation":"(317)","plainCitation":"(317)","noteIndex":0},"citationItems":[{"id":1768,"uris":["http://zotero.org/users/952979/items/6JWCQ6L2"],"uri":["http://zotero.org/users/952979/items/6JWCQ6L2"],"itemData":{"id":1768,"type":"article-journal","title":"Live Imaging Of Drosophila melanogaster Embryonic Hemocyte Migrations","container-title":"Journal of Visualized Experiments : JoVE","issue":"36","source":"PubMed Central","abstract":"Many studies address cell migration using in vitro methods, whereas the physiologically relevant environment is that of the organism itself. Here we present a protocol for the mounting of Drosophila melanogaster embryos and subsequent live imaging of fluorescently labeled hemocytes, the embryonic macrophages of this organism. Using the Gal4-uas system1 we drive the expression of a variety of genetically encoded, fluorescently tagged markers in hemocytes to follow their developmental dispersal throughout the embryo. Following collection of embryos at the desired stage of development, the outer chorion is removed and the embryos are then mounted in halocarbon oil between a hydrophobic, gas-permeable membrane and a glass coverslip for live imaging. In addition to gross migratory parameters such as speed and directionality, higher resolution imaging coupled with the use of fluorescent reporters of F-actin and microtubules can provide more detailed information concerning the dynamics of these cytoskeletal components.","URL":"https://www.ncbi.nlm.nih.gov/pmc/articles/PMC2830251/","DOI":"10.3791/1696","ISSN":"1940-087X","note":"PMID: 20154641\nPMCID: PMC2830251","journalAbbreviation":"J Vis Exp","author":[{"family":"Evans","given":"Iwan R."},{"family":"Zanet","given":"Jennifer"},{"family":"Wood","given":"Will"},{"family":"Stramer","given":"Brian M."}],"issued":{"date-parts":[["2010",2,12]]},"accessed":{"date-parts":[["2019",2,18]]}}}],"schema":"https://github.com/citation-style-language/schema/raw/master/csl-citation.json"} </w:instrText>
      </w:r>
      <w:r>
        <w:rPr>
          <w:color w:val="000000" w:themeColor="text1"/>
        </w:rPr>
        <w:fldChar w:fldCharType="separate"/>
      </w:r>
      <w:r w:rsidR="004A1963" w:rsidRPr="004A1963">
        <w:rPr>
          <w:rFonts w:ascii="Calibri" w:hAnsi="Calibri"/>
        </w:rPr>
        <w:t>(317)</w:t>
      </w:r>
      <w:r>
        <w:rPr>
          <w:color w:val="000000" w:themeColor="text1"/>
        </w:rPr>
        <w:fldChar w:fldCharType="end"/>
      </w:r>
      <w:r>
        <w:rPr>
          <w:color w:val="000000" w:themeColor="text1"/>
        </w:rPr>
        <w:t xml:space="preserve">. Pre-wound z-stacks of 30µm were taken of superficial hemocytes on the ventral midline using an UplanSApo 40x oil objective (NA=1.3) with 1µm z-spacing. Post-wound images were taken on the same settings either at 2-minute intervals for 60 minutes or at the end timepoint of 60 minutes. Hemocytes were always labelled with GFP (exact genetics described with relevant results) and a 488nm laser with GFP emission filter was used in addition to the brightfield channel. </w:t>
      </w:r>
    </w:p>
    <w:p w14:paraId="6C3407B9" w14:textId="77777777" w:rsidR="0084644E" w:rsidRPr="0038098B" w:rsidRDefault="0084644E" w:rsidP="0084644E">
      <w:pPr>
        <w:pStyle w:val="Thesisnormal"/>
      </w:pPr>
      <w:r>
        <w:rPr>
          <w:color w:val="000000" w:themeColor="text1"/>
        </w:rPr>
        <w:t xml:space="preserve"> </w:t>
      </w:r>
    </w:p>
    <w:p w14:paraId="23194769" w14:textId="77777777" w:rsidR="0084644E" w:rsidRDefault="0084644E" w:rsidP="0084644E">
      <w:pPr>
        <w:pStyle w:val="Heading3"/>
        <w:spacing w:line="360" w:lineRule="auto"/>
      </w:pPr>
      <w:r>
        <w:tab/>
      </w:r>
      <w:r>
        <w:tab/>
      </w:r>
      <w:bookmarkStart w:id="97" w:name="_Toc476834059"/>
      <w:bookmarkStart w:id="98" w:name="_Toc4589289"/>
      <w:r>
        <w:t>2.3.3 pHRodo injections</w:t>
      </w:r>
      <w:bookmarkEnd w:id="97"/>
      <w:bookmarkEnd w:id="98"/>
    </w:p>
    <w:p w14:paraId="1BD53CB9" w14:textId="77777777" w:rsidR="0084644E" w:rsidRDefault="0084644E" w:rsidP="0084644E">
      <w:pPr>
        <w:spacing w:line="360" w:lineRule="auto"/>
      </w:pPr>
    </w:p>
    <w:p w14:paraId="5E8733D0" w14:textId="77777777" w:rsidR="0084644E" w:rsidRDefault="0084644E" w:rsidP="0084644E">
      <w:pPr>
        <w:pStyle w:val="Thesisnormal"/>
      </w:pPr>
      <w:r>
        <w:t xml:space="preserve">pHRodo-labelled </w:t>
      </w:r>
      <w:r>
        <w:rPr>
          <w:i/>
        </w:rPr>
        <w:t xml:space="preserve">E. coli </w:t>
      </w:r>
      <w:r>
        <w:t>(</w:t>
      </w:r>
      <w:r w:rsidRPr="00CB4BDC">
        <w:t>Invitrogen</w:t>
      </w:r>
      <w:r>
        <w:t>) were diluted in phosphate buffered saline (PBS) to a concentration of 2mg/ml to create a stock; working stocks were then further diluted to 1mg/ml with PBS for injection. Needles were created by pulling 15cm long 1mm glass capillaries (</w:t>
      </w:r>
      <w:r w:rsidRPr="00CB4BDC">
        <w:t>WPI</w:t>
      </w:r>
      <w:r>
        <w:t>) using a Flaming/Brown P-1000 micropipette puller (</w:t>
      </w:r>
      <w:r w:rsidRPr="00CB4BDC">
        <w:t>Sutter, program 51</w:t>
      </w:r>
      <w:r>
        <w:t>). Needle tips were snapped using forceps under high magnification to create a bevelled (pointed) end.</w:t>
      </w:r>
    </w:p>
    <w:p w14:paraId="03DB8BA8" w14:textId="77777777" w:rsidR="0084644E" w:rsidRDefault="0084644E" w:rsidP="0084644E">
      <w:pPr>
        <w:spacing w:line="360" w:lineRule="auto"/>
      </w:pPr>
    </w:p>
    <w:p w14:paraId="18895E63" w14:textId="77777777" w:rsidR="0084644E" w:rsidRDefault="0084644E" w:rsidP="0084644E">
      <w:pPr>
        <w:pStyle w:val="Thesisnormal"/>
      </w:pPr>
      <w:r>
        <w:t xml:space="preserve">Embryos were dechorionated as described in 2.2.4 and a glass slide was prepared; a piece of double-sided sticky tape was placed along the length of the slide. Embryos were genotyped and mounted ventral side up with the anterior portion of the embryos all facing in the same direction. Embryos were then dehydrated by incubating in a small container with silica beads for 7-8 minutes. Following this, a drop of Voltalef oil was added to cover the embryos and they were placed on the injecting rig. </w:t>
      </w:r>
    </w:p>
    <w:p w14:paraId="68F6B1D6" w14:textId="77777777" w:rsidR="0084644E" w:rsidRDefault="0084644E" w:rsidP="0084644E">
      <w:pPr>
        <w:spacing w:line="360" w:lineRule="auto"/>
      </w:pPr>
    </w:p>
    <w:p w14:paraId="5B114F95" w14:textId="77777777" w:rsidR="0084644E" w:rsidRDefault="0084644E" w:rsidP="0084644E">
      <w:pPr>
        <w:pStyle w:val="Thesisnormal"/>
      </w:pPr>
      <w:r>
        <w:t>Ten-microliters of the injection pHRodo was loaded into the end of a needle, which was then attached to a DigiTherm micro-injector system (</w:t>
      </w:r>
      <w:r w:rsidRPr="00CB4BDC">
        <w:t>Tritech</w:t>
      </w:r>
      <w:r>
        <w:t>). Each embryo was injected once with the same injection pressure (5psi for 0.1 seconds). Following injection, the microscope slide was prepared as for live imaging (2.3.1) and either kept in the dark for 1 hour or imaged immediately on an Ultraview spinning disk confocal microscope (</w:t>
      </w:r>
      <w:r w:rsidRPr="00CB4BDC">
        <w:t>PerkinElmer</w:t>
      </w:r>
      <w:r>
        <w:t xml:space="preserve">). </w:t>
      </w:r>
    </w:p>
    <w:p w14:paraId="4226F619" w14:textId="77777777" w:rsidR="0084644E" w:rsidRPr="0038098B" w:rsidRDefault="0084644E" w:rsidP="0084644E">
      <w:pPr>
        <w:spacing w:line="360" w:lineRule="auto"/>
      </w:pPr>
    </w:p>
    <w:p w14:paraId="6BBBF74B" w14:textId="77777777" w:rsidR="0084644E" w:rsidRDefault="0084644E" w:rsidP="0084644E">
      <w:pPr>
        <w:pStyle w:val="Heading3"/>
        <w:spacing w:line="360" w:lineRule="auto"/>
      </w:pPr>
      <w:r>
        <w:tab/>
      </w:r>
      <w:r>
        <w:tab/>
      </w:r>
      <w:bookmarkStart w:id="99" w:name="_Toc476834060"/>
      <w:bookmarkStart w:id="100" w:name="_Toc4589290"/>
      <w:r>
        <w:t>2.3.4 Time-lapse imaging</w:t>
      </w:r>
      <w:bookmarkEnd w:id="99"/>
      <w:bookmarkEnd w:id="100"/>
    </w:p>
    <w:p w14:paraId="250AECC3" w14:textId="77777777" w:rsidR="0084644E" w:rsidRDefault="0084644E" w:rsidP="0084644E">
      <w:pPr>
        <w:spacing w:line="360" w:lineRule="auto"/>
      </w:pPr>
    </w:p>
    <w:p w14:paraId="2F29B9B3" w14:textId="77777777" w:rsidR="0084644E" w:rsidRDefault="0084644E" w:rsidP="0084644E">
      <w:pPr>
        <w:pStyle w:val="Thesisnormal"/>
      </w:pPr>
      <w:r>
        <w:t>Embryos were prepared and mounted as described (2.2.4 and 2.3.1). Random migration was imaged using a spinning disk confocal microscope (</w:t>
      </w:r>
      <w:r w:rsidRPr="00CB4BDC">
        <w:t>Ultraview, PerkinElmer</w:t>
      </w:r>
      <w:r>
        <w:t xml:space="preserve">), with an image taken every 2 minutes for 1 hour with a Z-spacing of 1µm and approximately 20µm deep from the ventral nerve cord using a 20x air objective (UplanSApo 20, NA 0.8). </w:t>
      </w:r>
    </w:p>
    <w:p w14:paraId="6EC5DF17" w14:textId="77777777" w:rsidR="0084644E" w:rsidRDefault="0084644E" w:rsidP="0084644E">
      <w:pPr>
        <w:pStyle w:val="Thesisnormal"/>
      </w:pPr>
    </w:p>
    <w:p w14:paraId="380C781B" w14:textId="77777777" w:rsidR="0084644E" w:rsidRDefault="0084644E" w:rsidP="0084644E">
      <w:pPr>
        <w:pStyle w:val="Heading3"/>
        <w:spacing w:line="360" w:lineRule="auto"/>
        <w:ind w:left="720" w:firstLine="720"/>
      </w:pPr>
      <w:bookmarkStart w:id="101" w:name="_Toc4589291"/>
      <w:r>
        <w:t>2.3.5 Lightsheet imaging</w:t>
      </w:r>
      <w:bookmarkEnd w:id="101"/>
    </w:p>
    <w:p w14:paraId="51687C4C" w14:textId="77777777" w:rsidR="0084644E" w:rsidRDefault="0084644E" w:rsidP="0084644E">
      <w:pPr>
        <w:spacing w:line="360" w:lineRule="auto"/>
      </w:pPr>
    </w:p>
    <w:p w14:paraId="30755D4E" w14:textId="77777777" w:rsidR="0084644E" w:rsidRPr="003F70C9" w:rsidRDefault="0084644E" w:rsidP="0084644E">
      <w:pPr>
        <w:pStyle w:val="Thesisnormal"/>
      </w:pPr>
      <w:r>
        <w:t xml:space="preserve">Live early stage 12 embryos were mounted vertically, in 1% low-melting point agar (Sigma) within a glass capillary (inner diameter of 0.68mm). Capillaries were inserted into a Zeiss Lightsheet microscope and imaged with a 20x Plan-Apochromat objective lens (NA=1). Samples were suspended within the lightsheet chamber (filled with PBS) and illuminated with a 488nm laser. Stacks of </w:t>
      </w:r>
      <w:r w:rsidRPr="003F70C9">
        <w:t>80</w:t>
      </w:r>
      <w:r>
        <w:t>µm and t</w:t>
      </w:r>
      <w:r w:rsidRPr="003F70C9">
        <w:t>ime</w:t>
      </w:r>
      <w:r>
        <w:t xml:space="preserve"> lapse movies were taken every 10.4 seconds for approximately 2 hours at 28</w:t>
      </w:r>
      <w:r>
        <w:sym w:font="Symbol" w:char="F0B0"/>
      </w:r>
      <w:r>
        <w:t xml:space="preserve">C. Images were then resampled in the Zen black software. Following this, files were opened in IMARIS and processed to track individual hemocytes. </w:t>
      </w:r>
    </w:p>
    <w:p w14:paraId="2189502E" w14:textId="77777777" w:rsidR="0084644E" w:rsidRPr="0038098B" w:rsidRDefault="0084644E" w:rsidP="0084644E">
      <w:pPr>
        <w:spacing w:line="360" w:lineRule="auto"/>
      </w:pPr>
    </w:p>
    <w:p w14:paraId="2BD5BC32" w14:textId="77777777" w:rsidR="0084644E" w:rsidRDefault="0084644E" w:rsidP="0084644E">
      <w:pPr>
        <w:pStyle w:val="Heading3"/>
        <w:spacing w:line="360" w:lineRule="auto"/>
      </w:pPr>
      <w:r>
        <w:tab/>
      </w:r>
      <w:r>
        <w:tab/>
      </w:r>
      <w:bookmarkStart w:id="102" w:name="_Toc476834061"/>
      <w:bookmarkStart w:id="103" w:name="_Toc4589292"/>
      <w:r>
        <w:t>2.3.6 Reactive Oxygen Species staining</w:t>
      </w:r>
      <w:bookmarkEnd w:id="102"/>
      <w:bookmarkEnd w:id="103"/>
    </w:p>
    <w:p w14:paraId="41A18894" w14:textId="77777777" w:rsidR="0084644E" w:rsidRPr="000445E0" w:rsidRDefault="0084644E" w:rsidP="0084644E">
      <w:pPr>
        <w:spacing w:line="360" w:lineRule="auto"/>
      </w:pPr>
    </w:p>
    <w:p w14:paraId="6D017B5E" w14:textId="77777777" w:rsidR="0084644E" w:rsidRPr="0034717C" w:rsidRDefault="0084644E" w:rsidP="0084644E">
      <w:pPr>
        <w:pStyle w:val="Thesisnormal"/>
      </w:pPr>
      <w:r>
        <w:t>Reactive oxygen species (</w:t>
      </w:r>
      <w:r w:rsidRPr="00CB4BDC">
        <w:t>ROS</w:t>
      </w:r>
      <w:r>
        <w:t>) staining was performed using Dihydrorhodamine 123 (</w:t>
      </w:r>
      <w:r w:rsidRPr="00CB4BDC">
        <w:t>DHR123; Sigma</w:t>
      </w:r>
      <w:r>
        <w:t>). Embryos were dechorionated and then left in water for 30 minutes before being staged. Embryos were transferred to a glass vial wrapped in foil containing 1ml peroxide-free heptane and 1ml of 50µM DHR123 in PBS. Embryos were shaken at 250 RPM for 30 minutes. Following this, embryos were removed from the interface and mixed with halocarbon oil 700 (</w:t>
      </w:r>
      <w:r w:rsidRPr="00CB4BDC">
        <w:t>Sigma</w:t>
      </w:r>
      <w:r>
        <w:t xml:space="preserve">). Embryos were orientated individually on a prepared glass slide (as 2.3.1) and then immediately imaged using an Airyscan microscope (Zeiss; </w:t>
      </w:r>
      <w:r>
        <w:rPr>
          <w:rStyle w:val="st"/>
        </w:rPr>
        <w:t xml:space="preserve">Plan-Apochromat </w:t>
      </w:r>
      <w:r w:rsidRPr="0034717C">
        <w:rPr>
          <w:rStyle w:val="Emphasis"/>
        </w:rPr>
        <w:t>40x</w:t>
      </w:r>
      <w:r>
        <w:rPr>
          <w:rStyle w:val="st"/>
        </w:rPr>
        <w:t xml:space="preserve"> </w:t>
      </w:r>
      <w:r w:rsidRPr="0034717C">
        <w:rPr>
          <w:rStyle w:val="Emphasis"/>
        </w:rPr>
        <w:t>oil</w:t>
      </w:r>
      <w:r>
        <w:rPr>
          <w:rStyle w:val="st"/>
        </w:rPr>
        <w:t xml:space="preserve"> immersion, NA=1.4</w:t>
      </w:r>
      <w:r>
        <w:t>) with Z-spacing of 1µm and stacks totalling 30µm from the ventral nerve cord. Positive controls included embryos exposed to 10mM of H</w:t>
      </w:r>
      <w:r>
        <w:rPr>
          <w:vertAlign w:val="subscript"/>
        </w:rPr>
        <w:t>2</w:t>
      </w:r>
      <w:r>
        <w:t>O</w:t>
      </w:r>
      <w:r>
        <w:rPr>
          <w:vertAlign w:val="subscript"/>
        </w:rPr>
        <w:t>2</w:t>
      </w:r>
      <w:r>
        <w:t xml:space="preserve"> in PBS </w:t>
      </w:r>
      <w:r>
        <w:lastRenderedPageBreak/>
        <w:t xml:space="preserve">and heptane for 30 minutes prior to staining with DHR123 and negative controls included embryos not stained with DHR123. </w:t>
      </w:r>
    </w:p>
    <w:p w14:paraId="6CE6AAAD" w14:textId="77777777" w:rsidR="0084644E" w:rsidRDefault="0084644E" w:rsidP="0084644E">
      <w:pPr>
        <w:spacing w:line="360" w:lineRule="auto"/>
      </w:pPr>
    </w:p>
    <w:p w14:paraId="682E8D7B" w14:textId="77777777" w:rsidR="0084644E" w:rsidRDefault="0084644E" w:rsidP="0084644E">
      <w:pPr>
        <w:pStyle w:val="Heading2"/>
        <w:spacing w:line="360" w:lineRule="auto"/>
      </w:pPr>
      <w:r>
        <w:tab/>
      </w:r>
      <w:bookmarkStart w:id="104" w:name="_Toc476834062"/>
      <w:bookmarkStart w:id="105" w:name="_Toc4589293"/>
      <w:r>
        <w:t>2.4 Fixed samples</w:t>
      </w:r>
      <w:bookmarkEnd w:id="104"/>
      <w:bookmarkEnd w:id="105"/>
      <w:r>
        <w:tab/>
      </w:r>
    </w:p>
    <w:p w14:paraId="5CF69168" w14:textId="77777777" w:rsidR="0084644E" w:rsidRPr="00535208" w:rsidRDefault="0084644E" w:rsidP="0084644E">
      <w:pPr>
        <w:spacing w:line="360" w:lineRule="auto"/>
      </w:pPr>
    </w:p>
    <w:p w14:paraId="7A3527EE" w14:textId="77777777" w:rsidR="0084644E" w:rsidRDefault="0084644E" w:rsidP="0084644E">
      <w:pPr>
        <w:pStyle w:val="Heading3"/>
        <w:spacing w:line="360" w:lineRule="auto"/>
      </w:pPr>
      <w:r>
        <w:tab/>
      </w:r>
      <w:r>
        <w:tab/>
      </w:r>
      <w:bookmarkStart w:id="106" w:name="_Toc476834063"/>
      <w:bookmarkStart w:id="107" w:name="_Toc4589294"/>
      <w:r>
        <w:t>2.4.1 Fixation of embryos</w:t>
      </w:r>
      <w:bookmarkEnd w:id="106"/>
      <w:bookmarkEnd w:id="107"/>
    </w:p>
    <w:p w14:paraId="6449DDE7" w14:textId="77777777" w:rsidR="0084644E" w:rsidRDefault="0084644E" w:rsidP="0084644E">
      <w:pPr>
        <w:spacing w:line="360" w:lineRule="auto"/>
      </w:pPr>
    </w:p>
    <w:p w14:paraId="00D2DE48" w14:textId="77777777" w:rsidR="0084644E" w:rsidRDefault="0084644E" w:rsidP="0084644E">
      <w:pPr>
        <w:pStyle w:val="Thesisnormal"/>
      </w:pPr>
      <w:r>
        <w:t xml:space="preserve">Embryos were collected and dechorionated as described (2.2.4) and then transferred to fixative using a paintbrush. Embryos were fixed in 1:1 4% formaldehyde in </w:t>
      </w:r>
      <w:r w:rsidRPr="006C27B6">
        <w:t>PBS</w:t>
      </w:r>
      <w:r>
        <w:t xml:space="preserve"> and peroxide-free heptane for 20 minutes with shaking. The lower formaldehyde phase was removed with a glass Pasteur pipette and replaced with an equal volume of methanol. After vigorous shaking, the embryos that had bene successfully separated from their vitelline membrane settled at the bottom of the microcentrifuge tube. Devitillenised embryos were transferred to a new microcentrifuge tube and then washed three times in 100% methanol. Following this final wash, embryos were stored in methanol at -20°C until required. </w:t>
      </w:r>
    </w:p>
    <w:p w14:paraId="34A63132" w14:textId="77777777" w:rsidR="0084644E" w:rsidRDefault="0084644E" w:rsidP="0084644E">
      <w:pPr>
        <w:spacing w:line="360" w:lineRule="auto"/>
      </w:pPr>
    </w:p>
    <w:p w14:paraId="66BA181D" w14:textId="77777777" w:rsidR="0084644E" w:rsidRDefault="0084644E" w:rsidP="0084644E">
      <w:pPr>
        <w:pStyle w:val="Thesisnormal"/>
      </w:pPr>
      <w:r>
        <w:t xml:space="preserve">For embryos that were to be mounted without any immunostaining, embryos were washed twice in methanol and then twice in PBTx (PBS + 0.1% Triton-X 100) before being stored in DABCO (Sigma, recipe in appendix) mountant at 4°C until required. </w:t>
      </w:r>
    </w:p>
    <w:p w14:paraId="0C3C0AC9" w14:textId="77777777" w:rsidR="0084644E" w:rsidRPr="00402B07" w:rsidRDefault="0084644E" w:rsidP="0084644E">
      <w:pPr>
        <w:spacing w:line="360" w:lineRule="auto"/>
      </w:pPr>
    </w:p>
    <w:p w14:paraId="76766E93" w14:textId="77777777" w:rsidR="0084644E" w:rsidRDefault="0084644E" w:rsidP="0084644E">
      <w:pPr>
        <w:pStyle w:val="Heading3"/>
        <w:spacing w:line="360" w:lineRule="auto"/>
      </w:pPr>
      <w:r>
        <w:tab/>
      </w:r>
      <w:r>
        <w:tab/>
      </w:r>
      <w:bookmarkStart w:id="108" w:name="_Toc476834064"/>
      <w:bookmarkStart w:id="109" w:name="_Toc4589295"/>
      <w:r>
        <w:t>2.4.2 Mounting fixed embryos for imaging</w:t>
      </w:r>
      <w:bookmarkEnd w:id="108"/>
      <w:bookmarkEnd w:id="109"/>
      <w:r>
        <w:t xml:space="preserve"> </w:t>
      </w:r>
    </w:p>
    <w:p w14:paraId="387CE807" w14:textId="77777777" w:rsidR="0084644E" w:rsidRDefault="0084644E" w:rsidP="0084644E">
      <w:pPr>
        <w:pStyle w:val="Thesisnormal"/>
      </w:pPr>
    </w:p>
    <w:p w14:paraId="2ADE1A4E" w14:textId="77777777" w:rsidR="0084644E" w:rsidRPr="00AC4099" w:rsidRDefault="0084644E" w:rsidP="0084644E">
      <w:pPr>
        <w:pStyle w:val="Thesisnormal"/>
      </w:pPr>
      <w:r>
        <w:t xml:space="preserve">A glass slide was prepared as described in 2.3.1. Stained embryos were transferred to a watch glass with DABCO. The correct genotype and stage was chosen under a dissection microscope and the embryos were transferred to a glass slide into a drop of DABCO. A cover slip was placed on top, used to gently orientate the embryo and then secured with nail varnish. </w:t>
      </w:r>
    </w:p>
    <w:p w14:paraId="25A3D9EF" w14:textId="77777777" w:rsidR="0084644E" w:rsidRPr="00D41635" w:rsidRDefault="0084644E" w:rsidP="0084644E">
      <w:pPr>
        <w:spacing w:line="360" w:lineRule="auto"/>
      </w:pPr>
    </w:p>
    <w:p w14:paraId="19EC7720" w14:textId="77777777" w:rsidR="0084644E" w:rsidRPr="00A47B61" w:rsidRDefault="0084644E" w:rsidP="0084644E">
      <w:pPr>
        <w:pStyle w:val="Heading3"/>
        <w:spacing w:line="360" w:lineRule="auto"/>
      </w:pPr>
      <w:r>
        <w:tab/>
      </w:r>
      <w:r>
        <w:tab/>
      </w:r>
      <w:bookmarkStart w:id="110" w:name="_Toc476834065"/>
      <w:bookmarkStart w:id="111" w:name="_Toc4589296"/>
      <w:r>
        <w:t>2.4.3 Immunostaining of embryos</w:t>
      </w:r>
      <w:bookmarkEnd w:id="110"/>
      <w:bookmarkEnd w:id="111"/>
    </w:p>
    <w:p w14:paraId="1FA2BD2D" w14:textId="77777777" w:rsidR="0084644E" w:rsidRDefault="0084644E" w:rsidP="0084644E">
      <w:pPr>
        <w:pStyle w:val="Thesisnormal"/>
      </w:pPr>
    </w:p>
    <w:p w14:paraId="414023D1" w14:textId="24334773" w:rsidR="0084644E" w:rsidRDefault="0084644E" w:rsidP="0084644E">
      <w:pPr>
        <w:pStyle w:val="Thesisnormal"/>
      </w:pPr>
      <w:r>
        <w:lastRenderedPageBreak/>
        <w:t xml:space="preserve">Fixed embryos were pooled in methanol and then washed three times for 5 minutes in PBTx (PBS + Triton-X 100) to remove methanol. Embryos were then blocked in PATx (1% BSA in PBS with 0.1% Triton-X 100) three times for 20 minutes each on a roller. Following the final block, primary antibody solution was added and embryos were incubated on a roller at room temperature for 2 hours. The antibody solution was then replaced with PATx for three washes. Embryos were blocked again as previously before incubation with secondary antibody solution for 2 hours at room temperature in the dark. Embryos were then washed again in PATx three times </w:t>
      </w:r>
      <w:r w:rsidR="000649BA">
        <w:t xml:space="preserve">to rinse away secondary antibody solution </w:t>
      </w:r>
      <w:r>
        <w:t>and then incubated in PATx a further three times for 20 minutes each. PATx was then removed and embryos stored in DABCO mountant at 4</w:t>
      </w:r>
      <w:r>
        <w:sym w:font="Symbol" w:char="F0B0"/>
      </w:r>
      <w:r>
        <w:t>C until ready to image on a confocal microscope (</w:t>
      </w:r>
      <w:r w:rsidRPr="00C528C5">
        <w:t>Nikon A1</w:t>
      </w:r>
      <w:r>
        <w:t xml:space="preserve">). </w:t>
      </w:r>
    </w:p>
    <w:p w14:paraId="54AAD2CE" w14:textId="77777777" w:rsidR="0084644E" w:rsidRPr="00D41635" w:rsidRDefault="0084644E" w:rsidP="0084644E">
      <w:pPr>
        <w:spacing w:line="360" w:lineRule="auto"/>
      </w:pPr>
    </w:p>
    <w:p w14:paraId="3866066C" w14:textId="77777777" w:rsidR="0084644E" w:rsidRDefault="0084644E" w:rsidP="0084644E">
      <w:pPr>
        <w:pStyle w:val="Heading3"/>
        <w:spacing w:line="360" w:lineRule="auto"/>
      </w:pPr>
      <w:r>
        <w:tab/>
      </w:r>
      <w:r>
        <w:tab/>
      </w:r>
      <w:bookmarkStart w:id="112" w:name="_Toc476834067"/>
      <w:bookmarkStart w:id="113" w:name="_Toc4589297"/>
      <w:r>
        <w:t>2.4.4 Dissection of larval hemocytes</w:t>
      </w:r>
      <w:bookmarkEnd w:id="112"/>
      <w:bookmarkEnd w:id="113"/>
    </w:p>
    <w:p w14:paraId="3D11320E" w14:textId="77777777" w:rsidR="0084644E" w:rsidRDefault="0084644E" w:rsidP="0084644E">
      <w:pPr>
        <w:spacing w:line="360" w:lineRule="auto"/>
      </w:pPr>
    </w:p>
    <w:p w14:paraId="57BA0E3D" w14:textId="77777777" w:rsidR="0084644E" w:rsidRDefault="0084644E" w:rsidP="0084644E">
      <w:pPr>
        <w:pStyle w:val="Thesisnormal"/>
      </w:pPr>
      <w:r>
        <w:t>Wandering L3 larvae of the correct genotype were placed in a 75µl drop of chilled S2 media and washed. Individual larvae were then transferred to fresh S2 media drops and dissected by holding the larvae in place and then pulling the epidermis layer with tweezers. The larvae body was removed and the remaining hemocyte/S2 suspension was mixed by pipetting and transferred to a single well on a 96-well plate.</w:t>
      </w:r>
    </w:p>
    <w:p w14:paraId="17C11B1F" w14:textId="77777777" w:rsidR="0084644E" w:rsidRPr="00D41635" w:rsidRDefault="0084644E" w:rsidP="0084644E">
      <w:pPr>
        <w:spacing w:line="360" w:lineRule="auto"/>
      </w:pPr>
    </w:p>
    <w:p w14:paraId="663A2962" w14:textId="77777777" w:rsidR="0084644E" w:rsidRDefault="0084644E" w:rsidP="0084644E">
      <w:pPr>
        <w:pStyle w:val="Heading3"/>
        <w:spacing w:line="360" w:lineRule="auto"/>
      </w:pPr>
      <w:r>
        <w:tab/>
      </w:r>
      <w:r>
        <w:tab/>
      </w:r>
      <w:bookmarkStart w:id="114" w:name="_Toc4589298"/>
      <w:bookmarkStart w:id="115" w:name="_Toc476834068"/>
      <w:r>
        <w:t>2.4.5 Larval hemocyte phagocytosis assay</w:t>
      </w:r>
      <w:bookmarkEnd w:id="114"/>
    </w:p>
    <w:p w14:paraId="60528C7C" w14:textId="77777777" w:rsidR="0084644E" w:rsidRDefault="0084644E" w:rsidP="0084644E">
      <w:pPr>
        <w:pStyle w:val="Thesisnormal"/>
      </w:pPr>
    </w:p>
    <w:p w14:paraId="59E462DD" w14:textId="5E48D932" w:rsidR="0084644E" w:rsidRPr="004C6324" w:rsidRDefault="0084644E" w:rsidP="0084644E">
      <w:pPr>
        <w:pStyle w:val="Thesisnormal"/>
      </w:pPr>
      <w:r>
        <w:t xml:space="preserve">Larvae were dissected as described (2.4.5). Once all larvae and genotypes were dissected, 96-well </w:t>
      </w:r>
      <w:r w:rsidR="000649BA">
        <w:t xml:space="preserve">glass-bottom </w:t>
      </w:r>
      <w:r>
        <w:t>plates were incubated in a humidified box for 2 hours to allow hemocytes to adhere to the bottom of the wells. S2 media was replaced with media containing pHRodo-labelled particles for the phagocytosis assay and incubated in the dark for pre-determined amounts of time. Hemocytes were fixed with 4% paraformaldehyde and stored at 4</w:t>
      </w:r>
      <w:r>
        <w:sym w:font="Symbol" w:char="F0B0"/>
      </w:r>
      <w:r>
        <w:t xml:space="preserve">C or imaged immediately live. </w:t>
      </w:r>
    </w:p>
    <w:p w14:paraId="29B18EC1" w14:textId="77777777" w:rsidR="0084644E" w:rsidRPr="007C7DC6" w:rsidRDefault="0084644E" w:rsidP="0084644E">
      <w:pPr>
        <w:spacing w:line="360" w:lineRule="auto"/>
      </w:pPr>
    </w:p>
    <w:p w14:paraId="1BBE4D1E" w14:textId="77777777" w:rsidR="0084644E" w:rsidRDefault="0084644E" w:rsidP="0084644E">
      <w:pPr>
        <w:pStyle w:val="Heading3"/>
        <w:spacing w:line="360" w:lineRule="auto"/>
        <w:ind w:left="720" w:firstLine="720"/>
      </w:pPr>
      <w:bookmarkStart w:id="116" w:name="_Toc4589299"/>
      <w:r>
        <w:t>2.4.6 Imaging fixed samples</w:t>
      </w:r>
      <w:bookmarkEnd w:id="115"/>
      <w:bookmarkEnd w:id="116"/>
    </w:p>
    <w:p w14:paraId="6EA14AEB" w14:textId="77777777" w:rsidR="0084644E" w:rsidRDefault="0084644E" w:rsidP="0084644E">
      <w:pPr>
        <w:spacing w:line="360" w:lineRule="auto"/>
      </w:pPr>
    </w:p>
    <w:p w14:paraId="3CC3FD1A" w14:textId="77777777" w:rsidR="0084644E" w:rsidRDefault="0084644E" w:rsidP="0084644E">
      <w:pPr>
        <w:pStyle w:val="Thesisnormal"/>
      </w:pPr>
      <w:r>
        <w:lastRenderedPageBreak/>
        <w:t>Fixed samples were imaged on a confocal microscope (</w:t>
      </w:r>
      <w:r w:rsidRPr="00EA4E73">
        <w:t>Nikon A1</w:t>
      </w:r>
      <w:r>
        <w:t xml:space="preserve">). Imaging was performed using a 40x objective lens (CFI Super Plan Fluor ELWD 40x, NA=0.6). </w:t>
      </w:r>
    </w:p>
    <w:p w14:paraId="45D19F4B" w14:textId="77777777" w:rsidR="0084644E" w:rsidRPr="00A47B61" w:rsidRDefault="0084644E" w:rsidP="0084644E">
      <w:pPr>
        <w:spacing w:line="360" w:lineRule="auto"/>
      </w:pPr>
    </w:p>
    <w:p w14:paraId="15D8D9B7" w14:textId="77777777" w:rsidR="0084644E" w:rsidRPr="00A47B61" w:rsidRDefault="0084644E" w:rsidP="0084644E">
      <w:pPr>
        <w:pStyle w:val="Heading2"/>
        <w:spacing w:line="360" w:lineRule="auto"/>
      </w:pPr>
      <w:r>
        <w:tab/>
      </w:r>
      <w:bookmarkStart w:id="117" w:name="_Toc476834069"/>
      <w:bookmarkStart w:id="118" w:name="_Toc4589300"/>
      <w:r>
        <w:t>2.5 Image processing and analysis</w:t>
      </w:r>
      <w:bookmarkEnd w:id="117"/>
      <w:bookmarkEnd w:id="118"/>
      <w:r>
        <w:t xml:space="preserve"> </w:t>
      </w:r>
    </w:p>
    <w:p w14:paraId="3B24F050" w14:textId="77777777" w:rsidR="0084644E" w:rsidRDefault="0084644E" w:rsidP="0084644E">
      <w:pPr>
        <w:spacing w:line="360" w:lineRule="auto"/>
      </w:pPr>
    </w:p>
    <w:p w14:paraId="1323F4B2" w14:textId="77777777" w:rsidR="0084644E" w:rsidRDefault="0084644E" w:rsidP="0084644E">
      <w:pPr>
        <w:pStyle w:val="Thesisnormal"/>
      </w:pPr>
      <w:r>
        <w:t>All microscopy images were processed using Image J (</w:t>
      </w:r>
      <w:r w:rsidRPr="00E4221E">
        <w:t>NIH</w:t>
      </w:r>
      <w:r>
        <w:t>). Images were generally analysed as maximum Z-projections, with the exception of ROS staining and eGFP cell counting in which individual slices were analysed (for figure clarity purposes, Z-projections are presented, created by first removing the vitelline membrane from individual sections). Lightsheet images was analysed using Imaris (</w:t>
      </w:r>
      <w:r w:rsidRPr="00E4221E">
        <w:t>Bitplane, version 7.7</w:t>
      </w:r>
      <w:r>
        <w:t xml:space="preserve">) software. </w:t>
      </w:r>
    </w:p>
    <w:p w14:paraId="656F1D04" w14:textId="77777777" w:rsidR="0084644E" w:rsidRDefault="0084644E" w:rsidP="0084644E">
      <w:pPr>
        <w:spacing w:line="360" w:lineRule="auto"/>
      </w:pPr>
    </w:p>
    <w:p w14:paraId="72B8FFD0" w14:textId="77777777" w:rsidR="0084644E" w:rsidRDefault="0084644E" w:rsidP="0084644E">
      <w:pPr>
        <w:pStyle w:val="Heading3"/>
        <w:spacing w:line="360" w:lineRule="auto"/>
      </w:pPr>
      <w:r>
        <w:tab/>
      </w:r>
      <w:r>
        <w:tab/>
      </w:r>
      <w:bookmarkStart w:id="119" w:name="_Toc476834070"/>
      <w:bookmarkStart w:id="120" w:name="_Toc4589301"/>
      <w:r>
        <w:t>2.5.1 Hemocyte response to wounds</w:t>
      </w:r>
      <w:bookmarkEnd w:id="119"/>
      <w:bookmarkEnd w:id="120"/>
    </w:p>
    <w:p w14:paraId="3E3AB4D7" w14:textId="77777777" w:rsidR="0084644E" w:rsidRDefault="0084644E" w:rsidP="0084644E">
      <w:pPr>
        <w:spacing w:line="360" w:lineRule="auto"/>
      </w:pPr>
    </w:p>
    <w:p w14:paraId="6D3873B2" w14:textId="77777777" w:rsidR="0084644E" w:rsidRPr="00C6132F" w:rsidRDefault="0084644E" w:rsidP="0084644E">
      <w:pPr>
        <w:pStyle w:val="Thesisnormal"/>
      </w:pPr>
      <w:r>
        <w:t>Hemocyte responses to wounds were analysed by first randomising the 60-minute wound images using a blinding script. Wounds were located on the brightfield channel and drawn around using the polygon tool in Image J. Measurements of the area, centroid and perimeter of the wound were then calculated. We counted 15 slices (approximately 15µm) from the first non-wound hemocyte to come into focus and quantifed the number of hemocytes touching or within the wound area throughout the z-stack, to determine the number of hemocytes responding. The density of hemocytes per µm</w:t>
      </w:r>
      <w:r>
        <w:rPr>
          <w:vertAlign w:val="superscript"/>
        </w:rPr>
        <w:t>2</w:t>
      </w:r>
      <w:r>
        <w:t xml:space="preserve"> of wound area was calculated by dividing the number of hemocytes present at the wound by the wound area. This was then normalised to the control average. </w:t>
      </w:r>
    </w:p>
    <w:p w14:paraId="29BB5A78" w14:textId="77777777" w:rsidR="0084644E" w:rsidRPr="00D41635" w:rsidRDefault="0084644E" w:rsidP="0084644E">
      <w:pPr>
        <w:spacing w:line="360" w:lineRule="auto"/>
      </w:pPr>
    </w:p>
    <w:p w14:paraId="138A692A" w14:textId="77777777" w:rsidR="0084644E" w:rsidRDefault="0084644E" w:rsidP="0084644E">
      <w:pPr>
        <w:pStyle w:val="Heading3"/>
        <w:spacing w:line="360" w:lineRule="auto"/>
      </w:pPr>
      <w:r>
        <w:tab/>
      </w:r>
      <w:r>
        <w:tab/>
      </w:r>
      <w:bookmarkStart w:id="121" w:name="_Toc476834071"/>
      <w:bookmarkStart w:id="122" w:name="_Toc4589302"/>
      <w:r>
        <w:t>2.5.2 Hemocyte migration velocity and directionality</w:t>
      </w:r>
      <w:bookmarkEnd w:id="121"/>
      <w:bookmarkEnd w:id="122"/>
    </w:p>
    <w:p w14:paraId="3FF1333E" w14:textId="77777777" w:rsidR="0084644E" w:rsidRDefault="0084644E" w:rsidP="0084644E">
      <w:pPr>
        <w:spacing w:line="360" w:lineRule="auto"/>
      </w:pPr>
    </w:p>
    <w:p w14:paraId="2347BA33" w14:textId="77777777" w:rsidR="0084644E" w:rsidRDefault="0084644E" w:rsidP="0084644E">
      <w:pPr>
        <w:pStyle w:val="Thesisnormal"/>
      </w:pPr>
      <w:r>
        <w:t>To analyse random migration velocity and directionality of hemocytes, noise was removed from images using the despeckle function in Image J. Max projections were made (25</w:t>
      </w:r>
      <w:r>
        <w:sym w:font="Symbol" w:char="F06D"/>
      </w:r>
      <w:r>
        <w:t xml:space="preserve">m depth) and the centre of individual hemocyte bodies was tracked (by eye) with the manual tracking plugin for Image J. Velocity and directionality were then calculated using the </w:t>
      </w:r>
      <w:r>
        <w:lastRenderedPageBreak/>
        <w:t xml:space="preserve">chemotaxis tool plugin which reported velocity in µm/min and directionality as a measure of straightness. </w:t>
      </w:r>
    </w:p>
    <w:p w14:paraId="11BF06DB" w14:textId="77777777" w:rsidR="0084644E" w:rsidRPr="00D41635" w:rsidRDefault="0084644E" w:rsidP="0084644E">
      <w:pPr>
        <w:spacing w:line="360" w:lineRule="auto"/>
      </w:pPr>
    </w:p>
    <w:p w14:paraId="6876A83E" w14:textId="77777777" w:rsidR="0084644E" w:rsidRDefault="0084644E" w:rsidP="0084644E">
      <w:pPr>
        <w:pStyle w:val="Heading3"/>
        <w:spacing w:line="360" w:lineRule="auto"/>
      </w:pPr>
      <w:r>
        <w:tab/>
      </w:r>
      <w:r>
        <w:tab/>
      </w:r>
      <w:bookmarkStart w:id="123" w:name="_Toc476834072"/>
      <w:bookmarkStart w:id="124" w:name="_Toc4589303"/>
      <w:r>
        <w:t>2.5.3 Hemocyte morphology</w:t>
      </w:r>
      <w:bookmarkEnd w:id="123"/>
      <w:bookmarkEnd w:id="124"/>
    </w:p>
    <w:p w14:paraId="2B214491" w14:textId="77777777" w:rsidR="0084644E" w:rsidRDefault="0084644E" w:rsidP="0084644E">
      <w:pPr>
        <w:spacing w:line="360" w:lineRule="auto"/>
      </w:pPr>
    </w:p>
    <w:p w14:paraId="365033B0" w14:textId="77777777" w:rsidR="0084644E" w:rsidRPr="00D41635" w:rsidRDefault="0084644E" w:rsidP="0084644E">
      <w:pPr>
        <w:pStyle w:val="Thesisnormal"/>
      </w:pPr>
      <w:r>
        <w:t xml:space="preserve">Hemocyte morphology was analysed using the polygon tool in Image J. The vitelline membrane outline was removed from individual slices by drawing around the inside edge of the membrane with the freehand selection tool and clearing the outside. Z-projections were then made and individual hemocytes were outlined with the polygon tool. Measurements were recorded such as; area, perimeter, mean grey values, skewness and circularity. </w:t>
      </w:r>
    </w:p>
    <w:p w14:paraId="3DDBA594" w14:textId="77777777" w:rsidR="0084644E" w:rsidRDefault="0084644E" w:rsidP="0084644E">
      <w:pPr>
        <w:spacing w:line="360" w:lineRule="auto"/>
      </w:pPr>
      <w:r>
        <w:tab/>
      </w:r>
    </w:p>
    <w:p w14:paraId="2E6BF2E9" w14:textId="77777777" w:rsidR="0084644E" w:rsidRDefault="0084644E" w:rsidP="0084644E">
      <w:pPr>
        <w:pStyle w:val="Heading2"/>
        <w:spacing w:line="360" w:lineRule="auto"/>
        <w:ind w:firstLine="720"/>
      </w:pPr>
      <w:bookmarkStart w:id="125" w:name="_Toc476834073"/>
      <w:bookmarkStart w:id="126" w:name="_Toc4589304"/>
      <w:r>
        <w:t>2.6 Statistical analysis</w:t>
      </w:r>
      <w:bookmarkEnd w:id="125"/>
      <w:bookmarkEnd w:id="126"/>
    </w:p>
    <w:p w14:paraId="7E52ADCE" w14:textId="77777777" w:rsidR="0084644E" w:rsidRDefault="0084644E" w:rsidP="0084644E">
      <w:pPr>
        <w:spacing w:line="360" w:lineRule="auto"/>
      </w:pPr>
    </w:p>
    <w:p w14:paraId="44E2BDE2" w14:textId="31889BC1" w:rsidR="0084644E" w:rsidRDefault="0084644E" w:rsidP="0084644E">
      <w:pPr>
        <w:pStyle w:val="Thesisnormal"/>
      </w:pPr>
      <w:r>
        <w:t>A parametric Student’s t-test was performed when comparing two sets of data. When multiple comparisons were required, a one-way ANOVA with Dunnett’s multiple comparisons test was performed. Both tests were performe</w:t>
      </w:r>
      <w:r w:rsidR="000649BA">
        <w:t>d using Graphpad Prism version 6</w:t>
      </w:r>
      <w:r>
        <w:t>.00 for Mac OS (</w:t>
      </w:r>
      <w:r w:rsidRPr="00E4221E">
        <w:t>GraphPad Software, La Jolla, California, USA</w:t>
      </w:r>
      <w:r>
        <w:t xml:space="preserve">). P values less than 0.05 were deemed significant. </w:t>
      </w:r>
    </w:p>
    <w:p w14:paraId="499B5F4B" w14:textId="77777777" w:rsidR="0084644E" w:rsidRDefault="0084644E" w:rsidP="0084644E">
      <w:pPr>
        <w:spacing w:line="360" w:lineRule="auto"/>
      </w:pPr>
    </w:p>
    <w:p w14:paraId="68A39211" w14:textId="77777777" w:rsidR="0084644E" w:rsidRDefault="0084644E" w:rsidP="0084644E">
      <w:pPr>
        <w:pStyle w:val="Heading2"/>
        <w:ind w:firstLine="720"/>
      </w:pPr>
      <w:bookmarkStart w:id="127" w:name="_Toc4589305"/>
      <w:r>
        <w:t>2.7 Molecular biology</w:t>
      </w:r>
      <w:bookmarkEnd w:id="127"/>
    </w:p>
    <w:p w14:paraId="66277D80" w14:textId="77777777" w:rsidR="0084644E" w:rsidRDefault="0084644E" w:rsidP="0084644E">
      <w:pPr>
        <w:pStyle w:val="Thesisnormal"/>
      </w:pPr>
    </w:p>
    <w:p w14:paraId="140683D9" w14:textId="77777777" w:rsidR="0084644E" w:rsidRDefault="0084644E" w:rsidP="0084644E">
      <w:pPr>
        <w:pStyle w:val="Heading3"/>
        <w:ind w:left="720" w:firstLine="720"/>
      </w:pPr>
      <w:bookmarkStart w:id="128" w:name="_Toc4589306"/>
      <w:r>
        <w:t>2.7.1 DNA extraction</w:t>
      </w:r>
      <w:bookmarkEnd w:id="128"/>
      <w:r>
        <w:t xml:space="preserve"> </w:t>
      </w:r>
    </w:p>
    <w:p w14:paraId="58FCE855" w14:textId="77777777" w:rsidR="0084644E" w:rsidRDefault="0084644E" w:rsidP="0084644E">
      <w:pPr>
        <w:pStyle w:val="Thesisnormal"/>
      </w:pPr>
    </w:p>
    <w:p w14:paraId="7969F02C" w14:textId="77777777" w:rsidR="0084644E" w:rsidRDefault="0084644E" w:rsidP="0084644E">
      <w:pPr>
        <w:pStyle w:val="Thesisnormal"/>
      </w:pPr>
      <w:r>
        <w:t>For genotyping, DNA was extracted by placing individual male flies into 1.5ml tubes and mashing with a pipette tip. Following this, 50µl of digestion buffer (</w:t>
      </w:r>
      <w:r w:rsidRPr="006755BF">
        <w:t>recipe in Appendix</w:t>
      </w:r>
      <w:r>
        <w:t xml:space="preserve"> 1) was added and the tubes were incubated at 37</w:t>
      </w:r>
      <w:r>
        <w:sym w:font="Symbol" w:char="F0B0"/>
      </w:r>
      <w:r>
        <w:t>C for 30 minutes followed by 10 minutes at 95</w:t>
      </w:r>
      <w:r>
        <w:sym w:font="Symbol" w:char="F0B0"/>
      </w:r>
      <w:r>
        <w:t>C. DNA was stored at 4</w:t>
      </w:r>
      <w:r>
        <w:sym w:font="Symbol" w:char="F0B0"/>
      </w:r>
      <w:r>
        <w:t xml:space="preserve">C until needed. </w:t>
      </w:r>
    </w:p>
    <w:p w14:paraId="702FCC61" w14:textId="77777777" w:rsidR="0084644E" w:rsidRDefault="0084644E" w:rsidP="0084644E">
      <w:pPr>
        <w:pStyle w:val="Thesisnormal"/>
      </w:pPr>
    </w:p>
    <w:p w14:paraId="74C0A3F0" w14:textId="77777777" w:rsidR="0084644E" w:rsidRDefault="0084644E" w:rsidP="0084644E">
      <w:pPr>
        <w:pStyle w:val="Heading3"/>
        <w:ind w:left="720" w:firstLine="720"/>
      </w:pPr>
      <w:bookmarkStart w:id="129" w:name="_Toc4589307"/>
      <w:r>
        <w:t>2.7.2 PCR and gel electrophoresis</w:t>
      </w:r>
      <w:bookmarkEnd w:id="129"/>
      <w:r>
        <w:t xml:space="preserve"> </w:t>
      </w:r>
    </w:p>
    <w:p w14:paraId="1D5E3463" w14:textId="77777777" w:rsidR="0084644E" w:rsidRDefault="0084644E" w:rsidP="0084644E">
      <w:pPr>
        <w:pStyle w:val="Thesisnormal"/>
      </w:pPr>
    </w:p>
    <w:p w14:paraId="420C79BB" w14:textId="77777777" w:rsidR="0084644E" w:rsidRDefault="0084644E" w:rsidP="0084644E">
      <w:pPr>
        <w:pStyle w:val="Thesisnormal"/>
      </w:pPr>
      <w:r>
        <w:lastRenderedPageBreak/>
        <w:t>PCR reactions were performed by first creating a working master mix for each gene by combining 12.5µl PCR master mix (</w:t>
      </w:r>
      <w:r w:rsidRPr="00E4221E">
        <w:t>Promega</w:t>
      </w:r>
      <w:r>
        <w:t>), 6.5µl H</w:t>
      </w:r>
      <w:r w:rsidRPr="008A3E25">
        <w:rPr>
          <w:vertAlign w:val="subscript"/>
        </w:rPr>
        <w:t>2</w:t>
      </w:r>
      <w:r>
        <w:t>0 and 2µl each of forward and reverse primers (10pmol each). Twenty-three microliters of this master mix were then aliquoted into PCR tubes before adding 2µl of the relevant DNA per tube (5ng/µl). Reactions were loaded into a thermocycler (</w:t>
      </w:r>
      <w:r w:rsidRPr="00E4221E">
        <w:t>MJ Research</w:t>
      </w:r>
      <w:r>
        <w:t>) and run according to the following programme:</w:t>
      </w:r>
    </w:p>
    <w:p w14:paraId="73A6C483" w14:textId="77777777" w:rsidR="0084644E" w:rsidRDefault="0084644E" w:rsidP="00750C6F">
      <w:pPr>
        <w:pStyle w:val="Thesisnormal"/>
        <w:numPr>
          <w:ilvl w:val="0"/>
          <w:numId w:val="2"/>
        </w:numPr>
      </w:pPr>
      <w:r>
        <w:t>96</w:t>
      </w:r>
      <w:r>
        <w:sym w:font="Symbol" w:char="F0B0"/>
      </w:r>
      <w:r>
        <w:t>C for 1 minute</w:t>
      </w:r>
    </w:p>
    <w:p w14:paraId="5FCDBDAA" w14:textId="77777777" w:rsidR="0084644E" w:rsidRDefault="0084644E" w:rsidP="00750C6F">
      <w:pPr>
        <w:pStyle w:val="Thesisnormal"/>
        <w:numPr>
          <w:ilvl w:val="0"/>
          <w:numId w:val="2"/>
        </w:numPr>
      </w:pPr>
      <w:r>
        <w:t>96</w:t>
      </w:r>
      <w:r>
        <w:sym w:font="Symbol" w:char="F0B0"/>
      </w:r>
      <w:r>
        <w:t>C for 1 minute (denature)</w:t>
      </w:r>
    </w:p>
    <w:p w14:paraId="72F20822" w14:textId="77777777" w:rsidR="0084644E" w:rsidRDefault="0084644E" w:rsidP="00750C6F">
      <w:pPr>
        <w:pStyle w:val="Thesisnormal"/>
        <w:numPr>
          <w:ilvl w:val="0"/>
          <w:numId w:val="2"/>
        </w:numPr>
      </w:pPr>
      <w:r>
        <w:t>55</w:t>
      </w:r>
      <w:r>
        <w:sym w:font="Symbol" w:char="F0B0"/>
      </w:r>
      <w:r>
        <w:t>C for 1 minute (annealing)</w:t>
      </w:r>
    </w:p>
    <w:p w14:paraId="4A2EF756" w14:textId="77777777" w:rsidR="0084644E" w:rsidRDefault="0084644E" w:rsidP="00750C6F">
      <w:pPr>
        <w:pStyle w:val="Thesisnormal"/>
        <w:numPr>
          <w:ilvl w:val="0"/>
          <w:numId w:val="2"/>
        </w:numPr>
      </w:pPr>
      <w:r>
        <w:t>72</w:t>
      </w:r>
      <w:r>
        <w:sym w:font="Symbol" w:char="F0B0"/>
      </w:r>
      <w:r>
        <w:t>C for 1 minute (extension)</w:t>
      </w:r>
    </w:p>
    <w:p w14:paraId="06D3892B" w14:textId="77777777" w:rsidR="0084644E" w:rsidRDefault="0084644E" w:rsidP="00750C6F">
      <w:pPr>
        <w:pStyle w:val="Thesisnormal"/>
        <w:numPr>
          <w:ilvl w:val="0"/>
          <w:numId w:val="2"/>
        </w:numPr>
      </w:pPr>
      <w:r>
        <w:t>Repeat for 28 cycles</w:t>
      </w:r>
    </w:p>
    <w:p w14:paraId="7C41F1D0" w14:textId="77777777" w:rsidR="0084644E" w:rsidRDefault="0084644E" w:rsidP="0084644E">
      <w:pPr>
        <w:pStyle w:val="Thesisnormal"/>
      </w:pPr>
      <w:r>
        <w:t xml:space="preserve">The annealing temperature was altered as necessary for primer pairs. </w:t>
      </w:r>
    </w:p>
    <w:p w14:paraId="08E6A570" w14:textId="77777777" w:rsidR="0084644E" w:rsidRDefault="0084644E" w:rsidP="0084644E">
      <w:pPr>
        <w:pStyle w:val="Thesisnormal"/>
      </w:pPr>
    </w:p>
    <w:p w14:paraId="13656A52" w14:textId="77777777" w:rsidR="0084644E" w:rsidRDefault="0084644E" w:rsidP="0084644E">
      <w:pPr>
        <w:pStyle w:val="Thesisnormal"/>
      </w:pPr>
      <w:r>
        <w:t>Following PCR, 10µl of each reaction was mixed with 2µl of loading buffer (</w:t>
      </w:r>
      <w:r w:rsidRPr="00E4221E">
        <w:t>Promega</w:t>
      </w:r>
      <w:r>
        <w:t>), 1µl DNA loading dye (</w:t>
      </w:r>
      <w:r w:rsidRPr="00E4221E">
        <w:t>Promega</w:t>
      </w:r>
      <w:r>
        <w:t>) and loaded into 1.5% agarose gels (containing 1x SYBR safe DNA gel stain; ThermoFischer); 6µl of 1Kb DNA ladder was used (</w:t>
      </w:r>
      <w:r w:rsidRPr="00E4221E">
        <w:t>Promega</w:t>
      </w:r>
      <w:r>
        <w:t>). Gels were run at 70V for approximately 1 hour and then imaged on a Safe Imager gel imaging dock (</w:t>
      </w:r>
      <w:r w:rsidRPr="00E4221E">
        <w:t>Invitrogen</w:t>
      </w:r>
      <w:r>
        <w:t xml:space="preserve">). </w:t>
      </w:r>
    </w:p>
    <w:p w14:paraId="34AC7AD8" w14:textId="77777777" w:rsidR="0084644E" w:rsidRDefault="0084644E" w:rsidP="0084644E">
      <w:pPr>
        <w:pStyle w:val="Thesisnormal"/>
      </w:pPr>
    </w:p>
    <w:p w14:paraId="57F18D01" w14:textId="77777777" w:rsidR="0084644E" w:rsidRDefault="0084644E" w:rsidP="0084644E">
      <w:pPr>
        <w:pStyle w:val="Heading3"/>
        <w:ind w:left="1440"/>
      </w:pPr>
      <w:bookmarkStart w:id="130" w:name="_Toc4589308"/>
      <w:r>
        <w:t>2.7.3 RNA extraction and cDNA synthesis</w:t>
      </w:r>
      <w:bookmarkEnd w:id="130"/>
    </w:p>
    <w:p w14:paraId="68BB45B7" w14:textId="77777777" w:rsidR="0084644E" w:rsidRDefault="0084644E" w:rsidP="0084644E">
      <w:pPr>
        <w:pStyle w:val="Thesisnormal"/>
      </w:pPr>
    </w:p>
    <w:p w14:paraId="736E5BF6" w14:textId="77777777" w:rsidR="0084644E" w:rsidRDefault="0084644E" w:rsidP="0084644E">
      <w:pPr>
        <w:pStyle w:val="Thesisnormal"/>
      </w:pPr>
      <w:r>
        <w:t>RNA was extracted according to the manufacturers protocol using the total RNA purification kit (</w:t>
      </w:r>
      <w:r w:rsidRPr="00E4221E">
        <w:t>NORGEN BIOTEK CORP</w:t>
      </w:r>
      <w:r>
        <w:t>). Briefly, larval hemocytes were pelleted by centrifuging at 2000 RPM for 10 minutes and then 350µl of buffer RL was added to lyse the cells. Following the addition of 200µl of 100% ethanol the tubes were vortexed for 10 seconds. 600ul of the lysate was transferred to a spin column and centrifuged for 1 minute at 6000 RPM. Flow through was discarded and the column was washed twice by applying 400µl of wash solution A to the column and centrifuging at 14000 RPM for 1 minute. After discarding the flow through, tubes were centrifuged for 2 minutes to dry and then the RNA was eluted in 30µl of RNAse free water. RNA was stored at -20</w:t>
      </w:r>
      <w:r>
        <w:sym w:font="Symbol" w:char="F0B0"/>
      </w:r>
      <w:r>
        <w:t xml:space="preserve">C until needed. </w:t>
      </w:r>
    </w:p>
    <w:p w14:paraId="6BCAEE71" w14:textId="77777777" w:rsidR="0084644E" w:rsidRDefault="0084644E" w:rsidP="0084644E">
      <w:pPr>
        <w:pStyle w:val="Thesisnormal"/>
      </w:pPr>
    </w:p>
    <w:p w14:paraId="632A4B7A" w14:textId="77777777" w:rsidR="0084644E" w:rsidRPr="00E02F36" w:rsidRDefault="0084644E" w:rsidP="0084644E">
      <w:pPr>
        <w:pStyle w:val="Thesisnormal"/>
      </w:pPr>
      <w:r>
        <w:t>cDNA was created according the superscript II reverse transcriptase protocol (</w:t>
      </w:r>
      <w:r w:rsidRPr="006A2C76">
        <w:t>Promega</w:t>
      </w:r>
      <w:r>
        <w:t xml:space="preserve">). In a microcentrifuge tube, 1µl of random primers (50-250ng) was mixed with 1µl of dNTP mix (10mM of each NTP) and 1ng-5µg of RNA: water was added to a total volume of 12µl. The </w:t>
      </w:r>
      <w:r>
        <w:lastRenderedPageBreak/>
        <w:t>mixture was heated for 5 minutes at 65</w:t>
      </w:r>
      <w:r>
        <w:sym w:font="Symbol" w:char="F0B0"/>
      </w:r>
      <w:r>
        <w:t>C and then 4µl of 5x first strand buffer and 2µl of 0.1M DTT were added. Tubes were then heated at 25</w:t>
      </w:r>
      <w:r>
        <w:sym w:font="Symbol" w:char="F0B0"/>
      </w:r>
      <w:r>
        <w:t>C for 2 minutes before adding 1µl of reverse transcriptase (200 units) and then water to a final volume of 20µl. Samples were incubated at 25</w:t>
      </w:r>
      <w:r>
        <w:sym w:font="Symbol" w:char="F0B0"/>
      </w:r>
      <w:r>
        <w:t>C for 10 minutes and then heated to 42</w:t>
      </w:r>
      <w:r>
        <w:sym w:font="Symbol" w:char="F0B0"/>
      </w:r>
      <w:r>
        <w:t>C for 50 minutes. Reactions were inactivated by heating to 72</w:t>
      </w:r>
      <w:r>
        <w:sym w:font="Symbol" w:char="F0B0"/>
      </w:r>
      <w:r>
        <w:t>C for 15 minutes. cDNA was then diluted to 5ng/µl and stored at -20</w:t>
      </w:r>
      <w:r>
        <w:sym w:font="Symbol" w:char="F0B0"/>
      </w:r>
      <w:r>
        <w:t xml:space="preserve">C. </w:t>
      </w:r>
    </w:p>
    <w:p w14:paraId="689E6CD9" w14:textId="77777777" w:rsidR="0084644E" w:rsidRPr="00403CFE" w:rsidRDefault="0084644E" w:rsidP="0084644E">
      <w:pPr>
        <w:pStyle w:val="Thesisnormal"/>
      </w:pPr>
    </w:p>
    <w:p w14:paraId="20C29F65" w14:textId="77777777" w:rsidR="0084644E" w:rsidRDefault="0084644E" w:rsidP="0084644E">
      <w:pPr>
        <w:pStyle w:val="Heading3"/>
        <w:ind w:left="720" w:firstLine="720"/>
      </w:pPr>
      <w:bookmarkStart w:id="131" w:name="_Toc4589309"/>
      <w:r>
        <w:t>2.7.4 qPCR</w:t>
      </w:r>
      <w:bookmarkEnd w:id="131"/>
    </w:p>
    <w:p w14:paraId="6569A202" w14:textId="77777777" w:rsidR="0084644E" w:rsidRDefault="0084644E" w:rsidP="0084644E">
      <w:pPr>
        <w:pStyle w:val="Thesisnormal"/>
      </w:pPr>
    </w:p>
    <w:p w14:paraId="20790909" w14:textId="77777777" w:rsidR="0084644E" w:rsidRDefault="0084644E" w:rsidP="0084644E">
      <w:pPr>
        <w:pStyle w:val="Thesisnormal"/>
      </w:pPr>
      <w:r>
        <w:t>For each gene of interest, a mastermix was prepared by combining 5µl SYBR green, 2µl RNAse-free water and 1µl forward and reverse primer combinations (10µM stock). Eight microliters of this was added to each well of a 96-well micro-titre plate and then 2μl of the appropriate cDNA (5ng/µl) was added per well. Plates were sealed and then cycling was performed in a CF1000 Touch Thermocycler (</w:t>
      </w:r>
      <w:r w:rsidRPr="00135892">
        <w:t>BioRad</w:t>
      </w:r>
      <w:r>
        <w:t>) with an annealing temperature of 55°C unless specified. Cycling parameters were as follows:</w:t>
      </w:r>
    </w:p>
    <w:p w14:paraId="5E5C5DBB" w14:textId="77777777" w:rsidR="0084644E" w:rsidRPr="00BA3D79" w:rsidRDefault="0084644E" w:rsidP="00750C6F">
      <w:pPr>
        <w:pStyle w:val="Thesisnormal"/>
        <w:numPr>
          <w:ilvl w:val="0"/>
          <w:numId w:val="4"/>
        </w:numPr>
      </w:pPr>
      <w:r w:rsidRPr="00BA3D79">
        <w:t>95</w:t>
      </w:r>
      <w:r w:rsidRPr="00BA3D79">
        <w:sym w:font="Symbol" w:char="F0B0"/>
      </w:r>
      <w:r w:rsidRPr="00BA3D79">
        <w:t>C for 10 minutes</w:t>
      </w:r>
    </w:p>
    <w:p w14:paraId="1884C95F" w14:textId="77777777" w:rsidR="0084644E" w:rsidRDefault="0084644E" w:rsidP="00750C6F">
      <w:pPr>
        <w:pStyle w:val="Thesisnormal"/>
        <w:numPr>
          <w:ilvl w:val="0"/>
          <w:numId w:val="4"/>
        </w:numPr>
      </w:pPr>
      <w:r w:rsidRPr="00BA3D79">
        <w:t>95</w:t>
      </w:r>
      <w:r w:rsidRPr="00BA3D79">
        <w:sym w:font="Symbol" w:char="F0B0"/>
      </w:r>
      <w:r w:rsidRPr="00BA3D79">
        <w:t>C for 30 seconds</w:t>
      </w:r>
    </w:p>
    <w:p w14:paraId="392DED58" w14:textId="77777777" w:rsidR="0084644E" w:rsidRPr="00BA3D79" w:rsidRDefault="0084644E" w:rsidP="00750C6F">
      <w:pPr>
        <w:pStyle w:val="Thesisnormal"/>
        <w:numPr>
          <w:ilvl w:val="0"/>
          <w:numId w:val="4"/>
        </w:numPr>
      </w:pPr>
      <w:r>
        <w:t>5</w:t>
      </w:r>
      <w:r w:rsidRPr="00BA3D79">
        <w:t>5</w:t>
      </w:r>
      <w:r w:rsidRPr="00BA3D79">
        <w:sym w:font="Symbol" w:char="F0B0"/>
      </w:r>
      <w:r w:rsidRPr="00BA3D79">
        <w:t>C for 30 seconds</w:t>
      </w:r>
    </w:p>
    <w:p w14:paraId="31F72CC6" w14:textId="77777777" w:rsidR="0084644E" w:rsidRPr="00BA3D79" w:rsidRDefault="0084644E" w:rsidP="00750C6F">
      <w:pPr>
        <w:pStyle w:val="Thesisnormal"/>
        <w:numPr>
          <w:ilvl w:val="0"/>
          <w:numId w:val="4"/>
        </w:numPr>
      </w:pPr>
      <w:r>
        <w:t>72</w:t>
      </w:r>
      <w:r w:rsidRPr="00BA3D79">
        <w:sym w:font="Symbol" w:char="F0B0"/>
      </w:r>
      <w:r w:rsidRPr="00BA3D79">
        <w:t>C for 30 seconds</w:t>
      </w:r>
    </w:p>
    <w:p w14:paraId="727D7FAB" w14:textId="77777777" w:rsidR="0084644E" w:rsidRDefault="0084644E" w:rsidP="00750C6F">
      <w:pPr>
        <w:pStyle w:val="Thesisnormal"/>
        <w:numPr>
          <w:ilvl w:val="0"/>
          <w:numId w:val="4"/>
        </w:numPr>
      </w:pPr>
      <w:r>
        <w:t>Repeat from step 2 for 39 times</w:t>
      </w:r>
    </w:p>
    <w:p w14:paraId="5397B7DC" w14:textId="77777777" w:rsidR="0084644E" w:rsidRDefault="0084644E" w:rsidP="00750C6F">
      <w:pPr>
        <w:pStyle w:val="Thesisnormal"/>
        <w:numPr>
          <w:ilvl w:val="0"/>
          <w:numId w:val="4"/>
        </w:numPr>
      </w:pPr>
      <w:r>
        <w:t>6</w:t>
      </w:r>
      <w:r w:rsidRPr="00BA3D79">
        <w:t>5</w:t>
      </w:r>
      <w:r w:rsidRPr="00BA3D79">
        <w:sym w:font="Symbol" w:char="F0B0"/>
      </w:r>
      <w:r w:rsidRPr="00BA3D79">
        <w:t>C</w:t>
      </w:r>
      <w:r>
        <w:t>-95</w:t>
      </w:r>
      <w:r w:rsidRPr="00BA3D79">
        <w:sym w:font="Symbol" w:char="F0B0"/>
      </w:r>
      <w:r w:rsidRPr="00BA3D79">
        <w:t>C</w:t>
      </w:r>
      <w:r>
        <w:t xml:space="preserve"> for 5</w:t>
      </w:r>
      <w:r w:rsidRPr="00BA3D79">
        <w:t xml:space="preserve"> seconds</w:t>
      </w:r>
      <w:r>
        <w:t xml:space="preserve"> melt curve</w:t>
      </w:r>
    </w:p>
    <w:p w14:paraId="7E754CC2" w14:textId="722396D1" w:rsidR="0084644E" w:rsidRDefault="0084644E" w:rsidP="0084644E">
      <w:pPr>
        <w:pStyle w:val="Thesisnormal"/>
      </w:pPr>
      <w:r>
        <w:t xml:space="preserve">Primers used can be found in </w:t>
      </w:r>
      <w:r w:rsidR="006A45E9">
        <w:t>table 2.6</w:t>
      </w:r>
      <w:r w:rsidRPr="00135892">
        <w:t>.</w:t>
      </w:r>
      <w:r>
        <w:t xml:space="preserve"> </w:t>
      </w:r>
    </w:p>
    <w:p w14:paraId="750EA682" w14:textId="77777777" w:rsidR="0084644E" w:rsidRDefault="0084644E" w:rsidP="0084644E">
      <w:pPr>
        <w:pStyle w:val="Thesisnormal"/>
      </w:pPr>
    </w:p>
    <w:p w14:paraId="64EBF4E5" w14:textId="77777777" w:rsidR="006A45E9" w:rsidRDefault="006A45E9" w:rsidP="0084644E">
      <w:pPr>
        <w:pStyle w:val="Thesisnormal"/>
      </w:pPr>
    </w:p>
    <w:p w14:paraId="4B1EEAD4" w14:textId="77777777" w:rsidR="006A45E9" w:rsidRDefault="006A45E9" w:rsidP="0084644E">
      <w:pPr>
        <w:pStyle w:val="Thesisnormal"/>
      </w:pPr>
    </w:p>
    <w:tbl>
      <w:tblPr>
        <w:tblW w:w="1053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060"/>
        <w:gridCol w:w="3240"/>
        <w:gridCol w:w="1530"/>
        <w:gridCol w:w="1260"/>
      </w:tblGrid>
      <w:tr w:rsidR="0084644E" w14:paraId="5B2ED339" w14:textId="77777777" w:rsidTr="004B2ADE">
        <w:tc>
          <w:tcPr>
            <w:tcW w:w="10530" w:type="dxa"/>
            <w:gridSpan w:val="5"/>
            <w:vAlign w:val="center"/>
          </w:tcPr>
          <w:p w14:paraId="4E16C921" w14:textId="468CA339" w:rsidR="0084644E" w:rsidRPr="006A45E9" w:rsidRDefault="006A45E9" w:rsidP="006A45E9">
            <w:pPr>
              <w:pStyle w:val="NoSpacing"/>
              <w:jc w:val="center"/>
              <w:rPr>
                <w:b/>
                <w:u w:val="single"/>
              </w:rPr>
            </w:pPr>
            <w:r>
              <w:rPr>
                <w:b/>
                <w:u w:val="single"/>
              </w:rPr>
              <w:t>Table 2.6</w:t>
            </w:r>
            <w:r w:rsidR="0084644E" w:rsidRPr="006A45E9">
              <w:rPr>
                <w:b/>
                <w:u w:val="single"/>
              </w:rPr>
              <w:t xml:space="preserve"> Primer sequences used in this study</w:t>
            </w:r>
          </w:p>
        </w:tc>
      </w:tr>
      <w:tr w:rsidR="0084644E" w14:paraId="6DCDB1E4" w14:textId="77777777" w:rsidTr="004B2ADE">
        <w:tc>
          <w:tcPr>
            <w:tcW w:w="1440" w:type="dxa"/>
          </w:tcPr>
          <w:p w14:paraId="2E6A228D" w14:textId="77777777" w:rsidR="0084644E" w:rsidRPr="008152CE" w:rsidRDefault="0084644E" w:rsidP="001E4361">
            <w:pPr>
              <w:pStyle w:val="Thesisnormal"/>
              <w:rPr>
                <w:b/>
                <w:u w:val="single"/>
              </w:rPr>
            </w:pPr>
            <w:r w:rsidRPr="008152CE">
              <w:rPr>
                <w:b/>
                <w:u w:val="single"/>
              </w:rPr>
              <w:t>Primer name</w:t>
            </w:r>
          </w:p>
        </w:tc>
        <w:tc>
          <w:tcPr>
            <w:tcW w:w="3060" w:type="dxa"/>
          </w:tcPr>
          <w:p w14:paraId="38BC43D4" w14:textId="77777777" w:rsidR="0084644E" w:rsidRPr="008152CE" w:rsidRDefault="0084644E" w:rsidP="001E4361">
            <w:pPr>
              <w:pStyle w:val="Thesisnormal"/>
              <w:rPr>
                <w:b/>
                <w:u w:val="single"/>
              </w:rPr>
            </w:pPr>
            <w:r w:rsidRPr="008152CE">
              <w:rPr>
                <w:b/>
                <w:u w:val="single"/>
              </w:rPr>
              <w:t>Forward</w:t>
            </w:r>
          </w:p>
        </w:tc>
        <w:tc>
          <w:tcPr>
            <w:tcW w:w="3240" w:type="dxa"/>
          </w:tcPr>
          <w:p w14:paraId="2982F63B" w14:textId="77777777" w:rsidR="0084644E" w:rsidRPr="008152CE" w:rsidRDefault="0084644E" w:rsidP="001E4361">
            <w:pPr>
              <w:pStyle w:val="Thesisnormal"/>
              <w:rPr>
                <w:b/>
                <w:u w:val="single"/>
              </w:rPr>
            </w:pPr>
            <w:r w:rsidRPr="008152CE">
              <w:rPr>
                <w:b/>
                <w:u w:val="single"/>
              </w:rPr>
              <w:t>Reverse</w:t>
            </w:r>
          </w:p>
        </w:tc>
        <w:tc>
          <w:tcPr>
            <w:tcW w:w="1530" w:type="dxa"/>
          </w:tcPr>
          <w:p w14:paraId="202D0396" w14:textId="77777777" w:rsidR="0084644E" w:rsidRPr="008152CE" w:rsidRDefault="0084644E" w:rsidP="001E4361">
            <w:pPr>
              <w:pStyle w:val="Thesisnormal"/>
              <w:rPr>
                <w:b/>
                <w:u w:val="single"/>
              </w:rPr>
            </w:pPr>
            <w:r w:rsidRPr="008152CE">
              <w:rPr>
                <w:b/>
                <w:u w:val="single"/>
              </w:rPr>
              <w:t>Annealing temperature (</w:t>
            </w:r>
            <w:r w:rsidRPr="008152CE">
              <w:rPr>
                <w:b/>
                <w:u w:val="single"/>
              </w:rPr>
              <w:sym w:font="Symbol" w:char="F0B0"/>
            </w:r>
            <w:r w:rsidRPr="008152CE">
              <w:rPr>
                <w:b/>
                <w:u w:val="single"/>
              </w:rPr>
              <w:t>C)</w:t>
            </w:r>
          </w:p>
        </w:tc>
        <w:tc>
          <w:tcPr>
            <w:tcW w:w="1260" w:type="dxa"/>
          </w:tcPr>
          <w:p w14:paraId="79EF5646" w14:textId="77777777" w:rsidR="0084644E" w:rsidRPr="008152CE" w:rsidRDefault="0084644E" w:rsidP="001E4361">
            <w:pPr>
              <w:pStyle w:val="Thesisnormal"/>
              <w:rPr>
                <w:b/>
                <w:u w:val="single"/>
              </w:rPr>
            </w:pPr>
            <w:r w:rsidRPr="008152CE">
              <w:rPr>
                <w:b/>
                <w:u w:val="single"/>
              </w:rPr>
              <w:t>Reference</w:t>
            </w:r>
          </w:p>
        </w:tc>
      </w:tr>
      <w:tr w:rsidR="0084644E" w14:paraId="6F058142" w14:textId="77777777" w:rsidTr="004B2ADE">
        <w:tc>
          <w:tcPr>
            <w:tcW w:w="1440" w:type="dxa"/>
          </w:tcPr>
          <w:p w14:paraId="072E586A" w14:textId="77777777" w:rsidR="0084644E" w:rsidRDefault="0084644E" w:rsidP="001E4361">
            <w:pPr>
              <w:pStyle w:val="Thesisnormal"/>
            </w:pPr>
            <w:r>
              <w:t>Arginase</w:t>
            </w:r>
          </w:p>
        </w:tc>
        <w:tc>
          <w:tcPr>
            <w:tcW w:w="3060" w:type="dxa"/>
          </w:tcPr>
          <w:p w14:paraId="1802933B" w14:textId="77777777" w:rsidR="0084644E" w:rsidRDefault="0084644E" w:rsidP="001E4361">
            <w:pPr>
              <w:pStyle w:val="Thesisnormal"/>
            </w:pPr>
            <w:r w:rsidRPr="008152CE">
              <w:t>GCCCAACTGCTTGCCCAA</w:t>
            </w:r>
          </w:p>
        </w:tc>
        <w:tc>
          <w:tcPr>
            <w:tcW w:w="3240" w:type="dxa"/>
          </w:tcPr>
          <w:p w14:paraId="35D7052B" w14:textId="77777777" w:rsidR="0084644E" w:rsidRDefault="0084644E" w:rsidP="001E4361">
            <w:pPr>
              <w:pStyle w:val="Thesisnormal"/>
            </w:pPr>
            <w:r w:rsidRPr="008152CE">
              <w:t>CCTCGTAGGGGTCAATGTCC</w:t>
            </w:r>
          </w:p>
        </w:tc>
        <w:tc>
          <w:tcPr>
            <w:tcW w:w="1530" w:type="dxa"/>
          </w:tcPr>
          <w:p w14:paraId="14EE0815" w14:textId="77777777" w:rsidR="0084644E" w:rsidRDefault="0084644E" w:rsidP="001E4361">
            <w:pPr>
              <w:pStyle w:val="Thesisnormal"/>
            </w:pPr>
            <w:r>
              <w:t>55</w:t>
            </w:r>
          </w:p>
        </w:tc>
        <w:tc>
          <w:tcPr>
            <w:tcW w:w="1260" w:type="dxa"/>
          </w:tcPr>
          <w:p w14:paraId="0AB8CFB8" w14:textId="08FDE349" w:rsidR="0084644E" w:rsidRDefault="0084644E" w:rsidP="001E4361">
            <w:pPr>
              <w:pStyle w:val="Thesisnormal"/>
            </w:pPr>
            <w:r>
              <w:fldChar w:fldCharType="begin"/>
            </w:r>
            <w:r w:rsidR="000A209C">
              <w:instrText xml:space="preserve"> ADDIN ZOTERO_ITEM CSL_CITATION {"citationID":"p3pyf0aG","properties":{"formattedCitation":"(141)","plainCitation":"(141)","noteIndex":0},"citationItems":[{"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fldChar w:fldCharType="separate"/>
            </w:r>
            <w:r w:rsidR="004A1963" w:rsidRPr="004A1963">
              <w:rPr>
                <w:rFonts w:ascii="Calibri" w:hAnsi="Calibri"/>
              </w:rPr>
              <w:t>(141)</w:t>
            </w:r>
            <w:r>
              <w:fldChar w:fldCharType="end"/>
            </w:r>
          </w:p>
        </w:tc>
      </w:tr>
      <w:tr w:rsidR="0084644E" w14:paraId="4C22F17F" w14:textId="77777777" w:rsidTr="004B2ADE">
        <w:tc>
          <w:tcPr>
            <w:tcW w:w="1440" w:type="dxa"/>
          </w:tcPr>
          <w:p w14:paraId="413CC2C1" w14:textId="77777777" w:rsidR="0084644E" w:rsidRDefault="0084644E" w:rsidP="001E4361">
            <w:pPr>
              <w:pStyle w:val="Thesisnormal"/>
            </w:pPr>
            <w:r>
              <w:t>Attacin-A</w:t>
            </w:r>
          </w:p>
        </w:tc>
        <w:tc>
          <w:tcPr>
            <w:tcW w:w="3060" w:type="dxa"/>
          </w:tcPr>
          <w:p w14:paraId="530830AB" w14:textId="77777777" w:rsidR="0084644E" w:rsidRDefault="0084644E" w:rsidP="001E4361">
            <w:pPr>
              <w:pStyle w:val="Thesisnormal"/>
            </w:pPr>
            <w:r w:rsidRPr="0024630D">
              <w:t>CACAATGTGGTGGGTCAGG</w:t>
            </w:r>
          </w:p>
        </w:tc>
        <w:tc>
          <w:tcPr>
            <w:tcW w:w="3240" w:type="dxa"/>
          </w:tcPr>
          <w:p w14:paraId="7C3FDFB1" w14:textId="77777777" w:rsidR="0084644E" w:rsidRDefault="0084644E" w:rsidP="001E4361">
            <w:pPr>
              <w:pStyle w:val="Thesisnormal"/>
            </w:pPr>
            <w:r w:rsidRPr="0024630D">
              <w:t>GGCACCATGACCAGCATT</w:t>
            </w:r>
          </w:p>
        </w:tc>
        <w:tc>
          <w:tcPr>
            <w:tcW w:w="1530" w:type="dxa"/>
          </w:tcPr>
          <w:p w14:paraId="397585C2" w14:textId="77777777" w:rsidR="0084644E" w:rsidRDefault="0084644E" w:rsidP="001E4361">
            <w:pPr>
              <w:pStyle w:val="Thesisnormal"/>
            </w:pPr>
            <w:r>
              <w:t>55</w:t>
            </w:r>
          </w:p>
        </w:tc>
        <w:tc>
          <w:tcPr>
            <w:tcW w:w="1260" w:type="dxa"/>
          </w:tcPr>
          <w:p w14:paraId="6C993213" w14:textId="03D90D9A" w:rsidR="0084644E" w:rsidRDefault="0084644E" w:rsidP="001E4361">
            <w:pPr>
              <w:pStyle w:val="Thesisnormal"/>
            </w:pPr>
            <w:r>
              <w:fldChar w:fldCharType="begin"/>
            </w:r>
            <w:r w:rsidR="000A209C">
              <w:instrText xml:space="preserve"> ADDIN ZOTERO_ITEM CSL_CITATION {"citationID":"vOchwNhL","properties":{"formattedCitation":"(291)","plainCitation":"(291)","noteIndex":0},"citationItems":[{"id":1480,"uris":["http://zotero.org/users/952979/items/9D2QAX7H"],"uri":["http://zotero.org/users/952979/items/9D2QAX7H"],"itemData":{"id":1480,"type":"article-journal","title":"Multiple TGF-β Superfamily Signals Modulate the Adult Drosophila Immune Response","container-title":"Current Biology","page":"1672-1677","volume":"21","issue":"19","source":"ScienceDirect","abstract":"Summary\nTGF-β superfamily signals play complex roles in regulation of tissue repair and inflammation in mammals [1]. Drosophila melanogaster is a well-established model for the study of innate immune function [2, 3] and wound healing [4–7]. Here, we explore the role and regulation of two TGF-β superfamily members, dawdle and decapentaplegic (dpp), in response to wounding and infection in adult Drosophila. We find that both TGF-β signals exhibit complex regulation in response to wounding and infection, each is expressed in a subset of phagocytes, and each inhibits a specific arm of the immune response. dpp is rapidly activated by wounds and represses the production of antimicrobial peptides; flies lacking dpp function display persistent, strong antimicrobial peptide expression after even a small wound. dawdle, in contrast, is activated by Gram-positive bacterial infection but repressed by Gram-negative infection or wounding; its role is to limit infection-induced melanization. Flies lacking dawdle function exhibit melanization even when uninfected. Together, these data imply a model in which the bone morphogenetic protein (BMP) dpp is an important inhibitor of inflammation following sterile injury whereas the activin-like dawdle determines the nature of the induced immune response.","DOI":"10.1016/j.cub.2011.08.048","ISSN":"0960-9822","journalAbbreviation":"Current Biology","author":[{"family":"Clark","given":"Rebecca I."},{"family":"Woodcock","given":"Katie J."},{"family":"Geissmann","given":"Frédéric"},{"family":"Trouillet","given":"Céline"},{"family":"Dionne","given":"Marc S."}],"issued":{"date-parts":[["2011",10,11]]}}}],"schema":"https://github.com/citation-style-language/schema/raw/master/csl-citation.json"} </w:instrText>
            </w:r>
            <w:r>
              <w:fldChar w:fldCharType="separate"/>
            </w:r>
            <w:r w:rsidR="004A1963" w:rsidRPr="004A1963">
              <w:rPr>
                <w:rFonts w:ascii="Calibri" w:hAnsi="Calibri"/>
              </w:rPr>
              <w:t>(291)</w:t>
            </w:r>
            <w:r>
              <w:fldChar w:fldCharType="end"/>
            </w:r>
          </w:p>
        </w:tc>
      </w:tr>
      <w:tr w:rsidR="0084644E" w14:paraId="395D41BC" w14:textId="77777777" w:rsidTr="004B2ADE">
        <w:tc>
          <w:tcPr>
            <w:tcW w:w="1440" w:type="dxa"/>
          </w:tcPr>
          <w:p w14:paraId="739772DF" w14:textId="77777777" w:rsidR="0084644E" w:rsidRDefault="0084644E" w:rsidP="001E4361">
            <w:pPr>
              <w:pStyle w:val="Thesisnormal"/>
            </w:pPr>
            <w:r>
              <w:lastRenderedPageBreak/>
              <w:t>Dpp</w:t>
            </w:r>
          </w:p>
        </w:tc>
        <w:tc>
          <w:tcPr>
            <w:tcW w:w="3060" w:type="dxa"/>
          </w:tcPr>
          <w:p w14:paraId="141EB7C5" w14:textId="77777777" w:rsidR="0084644E" w:rsidRDefault="0084644E" w:rsidP="001E4361">
            <w:pPr>
              <w:pStyle w:val="Thesisnormal"/>
            </w:pPr>
            <w:r w:rsidRPr="0024630D">
              <w:t>GACCAGCACAGCATTAGCAAA</w:t>
            </w:r>
          </w:p>
        </w:tc>
        <w:tc>
          <w:tcPr>
            <w:tcW w:w="3240" w:type="dxa"/>
          </w:tcPr>
          <w:p w14:paraId="797CC3A0" w14:textId="77777777" w:rsidR="0084644E" w:rsidRDefault="0084644E" w:rsidP="001E4361">
            <w:pPr>
              <w:pStyle w:val="Thesisnormal"/>
            </w:pPr>
            <w:r w:rsidRPr="0024630D">
              <w:t>AACTGTCGGTTCGCGTCAC</w:t>
            </w:r>
          </w:p>
        </w:tc>
        <w:tc>
          <w:tcPr>
            <w:tcW w:w="1530" w:type="dxa"/>
          </w:tcPr>
          <w:p w14:paraId="4269C0C5" w14:textId="77777777" w:rsidR="0084644E" w:rsidRDefault="0084644E" w:rsidP="001E4361">
            <w:pPr>
              <w:pStyle w:val="Thesisnormal"/>
            </w:pPr>
            <w:r>
              <w:t>55</w:t>
            </w:r>
          </w:p>
        </w:tc>
        <w:tc>
          <w:tcPr>
            <w:tcW w:w="1260" w:type="dxa"/>
          </w:tcPr>
          <w:p w14:paraId="6E1511EA" w14:textId="77777777" w:rsidR="0084644E" w:rsidRDefault="0084644E" w:rsidP="001E4361">
            <w:pPr>
              <w:pStyle w:val="Thesisnormal"/>
            </w:pPr>
          </w:p>
        </w:tc>
      </w:tr>
      <w:tr w:rsidR="0084644E" w14:paraId="7A6A327B" w14:textId="77777777" w:rsidTr="004B2ADE">
        <w:tc>
          <w:tcPr>
            <w:tcW w:w="1440" w:type="dxa"/>
          </w:tcPr>
          <w:p w14:paraId="49AF895C" w14:textId="77777777" w:rsidR="0084644E" w:rsidRDefault="0084644E" w:rsidP="001E4361">
            <w:pPr>
              <w:pStyle w:val="Thesisnormal"/>
            </w:pPr>
            <w:r>
              <w:t>Drosomycin</w:t>
            </w:r>
          </w:p>
        </w:tc>
        <w:tc>
          <w:tcPr>
            <w:tcW w:w="3060" w:type="dxa"/>
          </w:tcPr>
          <w:p w14:paraId="6E3573DF" w14:textId="77777777" w:rsidR="0084644E" w:rsidRDefault="0084644E" w:rsidP="001E4361">
            <w:pPr>
              <w:pStyle w:val="Thesisnormal"/>
            </w:pPr>
            <w:r w:rsidRPr="0024630D">
              <w:t>CGTGAGAACCTTTTCCAATATGATG</w:t>
            </w:r>
          </w:p>
        </w:tc>
        <w:tc>
          <w:tcPr>
            <w:tcW w:w="3240" w:type="dxa"/>
          </w:tcPr>
          <w:p w14:paraId="13AB2FF8" w14:textId="77777777" w:rsidR="0084644E" w:rsidRDefault="0084644E" w:rsidP="001E4361">
            <w:pPr>
              <w:pStyle w:val="Thesisnormal"/>
            </w:pPr>
            <w:r w:rsidRPr="0024630D">
              <w:t>TCCCAGGACCACCAGCAT</w:t>
            </w:r>
          </w:p>
        </w:tc>
        <w:tc>
          <w:tcPr>
            <w:tcW w:w="1530" w:type="dxa"/>
          </w:tcPr>
          <w:p w14:paraId="295BFD9C" w14:textId="77777777" w:rsidR="0084644E" w:rsidRDefault="0084644E" w:rsidP="001E4361">
            <w:pPr>
              <w:pStyle w:val="Thesisnormal"/>
            </w:pPr>
            <w:r>
              <w:t>55</w:t>
            </w:r>
          </w:p>
        </w:tc>
        <w:tc>
          <w:tcPr>
            <w:tcW w:w="1260" w:type="dxa"/>
          </w:tcPr>
          <w:p w14:paraId="491D0C35" w14:textId="2CFABA51" w:rsidR="0084644E" w:rsidRDefault="0084644E" w:rsidP="001E4361">
            <w:pPr>
              <w:pStyle w:val="Thesisnormal"/>
            </w:pPr>
            <w:r>
              <w:fldChar w:fldCharType="begin"/>
            </w:r>
            <w:r w:rsidR="000A209C">
              <w:instrText xml:space="preserve"> ADDIN ZOTERO_ITEM CSL_CITATION {"citationID":"uDb46iS1","properties":{"formattedCitation":"(318)","plainCitation":"(318)","noteIndex":0},"citationItems":[{"id":1806,"uris":["http://zotero.org/users/952979/items/D2J5RFZ9"],"uri":["http://zotero.org/users/952979/items/D2J5RFZ9"],"itemData":{"id":1806,"type":"article-journal","title":"Ecdysone mediates the development of immunity in the Drosophila embryo","container-title":"Current biology: CB","page":"1145-1152","volume":"24","issue":"10","source":"PubMed","abstract":"Beyond their role in cell metabolism, development, and reproduction, hormones are also important modulators of the immune system. In the context of inflammatory disorders, systemic administration of pharmacological doses of synthetic glucocorticoids (GCs) is widely used as an anti-inflammatory treatment [1, 2]. However, not all actions of GCs are immunosuppressive, and many studies have suggested that physiological concentrations of GCs can have immunoenhancing effects [3-7]. For a more comprehensive understanding of how steroid hormones regulate immunity and inflammation, a simple in vivo system is required. The Drosophila embryo has recently emerged as a powerful model system to study the recruitment of immune cells to sterile wounds [8] and host-pathogen dynamics [9]. Here we investigate the immune response of the fly embryo to bacterial infections and find that the steroid hormone 20-hydroxyecdysone (20-HE) can regulate the quality of the immune response and influence the resolution of infection in Drosophila embryos.","DOI":"10.1016/j.cub.2014.03.062","ISSN":"1879-0445","note":"PMID: 24794300\nPMCID: PMC4030305","journalAbbreviation":"Curr. Biol.","language":"eng","author":[{"family":"Tan","given":"Kiri Louise"},{"family":"Vlisidou","given":"Isabella"},{"family":"Wood","given":"Will"}],"issued":{"date-parts":[["2014",5,19]]}}}],"schema":"https://github.com/citation-style-language/schema/raw/master/csl-citation.json"} </w:instrText>
            </w:r>
            <w:r>
              <w:fldChar w:fldCharType="separate"/>
            </w:r>
            <w:r w:rsidR="004A1963" w:rsidRPr="004A1963">
              <w:rPr>
                <w:rFonts w:ascii="Calibri" w:hAnsi="Calibri"/>
              </w:rPr>
              <w:t>(318)</w:t>
            </w:r>
            <w:r>
              <w:fldChar w:fldCharType="end"/>
            </w:r>
          </w:p>
        </w:tc>
      </w:tr>
      <w:tr w:rsidR="0084644E" w14:paraId="4D8FD375" w14:textId="77777777" w:rsidTr="004B2ADE">
        <w:tc>
          <w:tcPr>
            <w:tcW w:w="1440" w:type="dxa"/>
          </w:tcPr>
          <w:p w14:paraId="571F81BB" w14:textId="77777777" w:rsidR="0084644E" w:rsidRDefault="0084644E" w:rsidP="001E4361">
            <w:pPr>
              <w:pStyle w:val="Thesisnormal"/>
            </w:pPr>
            <w:r>
              <w:t>Eiger</w:t>
            </w:r>
          </w:p>
        </w:tc>
        <w:tc>
          <w:tcPr>
            <w:tcW w:w="3060" w:type="dxa"/>
          </w:tcPr>
          <w:p w14:paraId="6EC0D63F" w14:textId="77777777" w:rsidR="0084644E" w:rsidRDefault="0084644E" w:rsidP="001E4361">
            <w:pPr>
              <w:pStyle w:val="Thesisnormal"/>
            </w:pPr>
            <w:r w:rsidRPr="0024630D">
              <w:t>GATGGTCTGGATTCCATTGC</w:t>
            </w:r>
          </w:p>
        </w:tc>
        <w:tc>
          <w:tcPr>
            <w:tcW w:w="3240" w:type="dxa"/>
          </w:tcPr>
          <w:p w14:paraId="76E81DA1" w14:textId="77777777" w:rsidR="0084644E" w:rsidRDefault="0084644E" w:rsidP="001E4361">
            <w:pPr>
              <w:pStyle w:val="Thesisnormal"/>
            </w:pPr>
            <w:r w:rsidRPr="0024630D">
              <w:t>TAGTCTGCGCCAACATCATC</w:t>
            </w:r>
          </w:p>
        </w:tc>
        <w:tc>
          <w:tcPr>
            <w:tcW w:w="1530" w:type="dxa"/>
          </w:tcPr>
          <w:p w14:paraId="41C5954F" w14:textId="77777777" w:rsidR="0084644E" w:rsidRDefault="0084644E" w:rsidP="001E4361">
            <w:pPr>
              <w:pStyle w:val="Thesisnormal"/>
            </w:pPr>
            <w:r>
              <w:t>55</w:t>
            </w:r>
          </w:p>
        </w:tc>
        <w:tc>
          <w:tcPr>
            <w:tcW w:w="1260" w:type="dxa"/>
          </w:tcPr>
          <w:p w14:paraId="53FDE039" w14:textId="1E056451" w:rsidR="0084644E" w:rsidRDefault="0084644E" w:rsidP="001E4361">
            <w:pPr>
              <w:pStyle w:val="Thesisnormal"/>
            </w:pPr>
            <w:r>
              <w:fldChar w:fldCharType="begin"/>
            </w:r>
            <w:r w:rsidR="000A209C">
              <w:instrText xml:space="preserve"> ADDIN ZOTERO_ITEM CSL_CITATION {"citationID":"zxddpi8S","properties":{"formattedCitation":"(319)","plainCitation":"(319)","noteIndex":0},"citationItems":[{"id":1530,"uris":["http://zotero.org/users/952979/items/8B3FAE5K"],"uri":["http://zotero.org/users/952979/items/8B3FAE5K"],"itemData":{"id":1530,"type":"article-journal","title":"The Drosophila TNF Ortholog Eiger Is Required in the Fat Body for a Robust Immune Response","container-title":"Journal of Innate Immunity","page":"371-378","volume":"2","issue":"4","source":"PubMed Central","abstract":"Eiger is the sole TNF family member found in Drosophila melanogaster. This signaling molecule is induced during infection and is required for an appropriate immune response to many microbes; however, little is known about where eiger is produced. Here, we show that eiger is made in the fly's fat body during a Salmonella typhimurium infection. Using tissue-specific knockdown, we found that eiger expression in the fat body is required for all of the phenotypes we observed in eiger null mutant flies. This includes reduced melanization, altered antimicrobial peptide expression and reduced feeding rates. The effect of eiger on feeding rates alone may account for the entire phenotype seen in eiger mutants infected with S. typhimurium.","DOI":"10.1159/000315050","ISSN":"1662-811X","note":"PMID: 20505310\nPMCID: PMC2968759","journalAbbreviation":"J Innate Immun","author":[{"family":"Mabery","given":"Eric M."},{"family":"Schneider","given":"David S."}],"issued":{"date-parts":[["2010",6]]}}}],"schema":"https://github.com/citation-style-language/schema/raw/master/csl-citation.json"} </w:instrText>
            </w:r>
            <w:r>
              <w:fldChar w:fldCharType="separate"/>
            </w:r>
            <w:r w:rsidR="004A1963" w:rsidRPr="004A1963">
              <w:rPr>
                <w:rFonts w:ascii="Calibri" w:hAnsi="Calibri"/>
              </w:rPr>
              <w:t>(319)</w:t>
            </w:r>
            <w:r>
              <w:fldChar w:fldCharType="end"/>
            </w:r>
          </w:p>
        </w:tc>
      </w:tr>
      <w:tr w:rsidR="0084644E" w14:paraId="56B2C28B" w14:textId="77777777" w:rsidTr="004B2ADE">
        <w:trPr>
          <w:trHeight w:val="926"/>
        </w:trPr>
        <w:tc>
          <w:tcPr>
            <w:tcW w:w="1440" w:type="dxa"/>
          </w:tcPr>
          <w:p w14:paraId="21B006CC" w14:textId="77777777" w:rsidR="0084644E" w:rsidRDefault="0084644E" w:rsidP="001E4361">
            <w:pPr>
              <w:pStyle w:val="Thesisnormal"/>
            </w:pPr>
            <w:r>
              <w:t>GBP1</w:t>
            </w:r>
          </w:p>
        </w:tc>
        <w:tc>
          <w:tcPr>
            <w:tcW w:w="3060" w:type="dxa"/>
          </w:tcPr>
          <w:p w14:paraId="79018B09" w14:textId="77777777" w:rsidR="0084644E" w:rsidRDefault="0084644E" w:rsidP="001E4361">
            <w:pPr>
              <w:pStyle w:val="Thesisnormal"/>
            </w:pPr>
            <w:r w:rsidRPr="0024630D">
              <w:t>GCATCCACAATAGCACTCCG</w:t>
            </w:r>
          </w:p>
        </w:tc>
        <w:tc>
          <w:tcPr>
            <w:tcW w:w="3240" w:type="dxa"/>
          </w:tcPr>
          <w:p w14:paraId="4B3FCAAF" w14:textId="77777777" w:rsidR="0084644E" w:rsidRDefault="0084644E" w:rsidP="001E4361">
            <w:pPr>
              <w:pStyle w:val="Thesisnormal"/>
            </w:pPr>
            <w:r w:rsidRPr="0024630D">
              <w:t>TTGGGTCGTCTCCAGCAATA</w:t>
            </w:r>
          </w:p>
        </w:tc>
        <w:tc>
          <w:tcPr>
            <w:tcW w:w="1530" w:type="dxa"/>
          </w:tcPr>
          <w:p w14:paraId="694F837F" w14:textId="77777777" w:rsidR="0084644E" w:rsidRDefault="0084644E" w:rsidP="001E4361">
            <w:pPr>
              <w:pStyle w:val="Thesisnormal"/>
            </w:pPr>
            <w:r>
              <w:t>55</w:t>
            </w:r>
          </w:p>
        </w:tc>
        <w:tc>
          <w:tcPr>
            <w:tcW w:w="1260" w:type="dxa"/>
          </w:tcPr>
          <w:p w14:paraId="2A749CDE" w14:textId="77777777" w:rsidR="0084644E" w:rsidRDefault="0084644E" w:rsidP="001E4361">
            <w:pPr>
              <w:pStyle w:val="Thesisnormal"/>
            </w:pPr>
          </w:p>
        </w:tc>
      </w:tr>
      <w:tr w:rsidR="0084644E" w14:paraId="4027CE15" w14:textId="77777777" w:rsidTr="004B2ADE">
        <w:tc>
          <w:tcPr>
            <w:tcW w:w="1440" w:type="dxa"/>
          </w:tcPr>
          <w:p w14:paraId="22DE3CCB" w14:textId="77777777" w:rsidR="0084644E" w:rsidRDefault="0084644E" w:rsidP="001E4361">
            <w:pPr>
              <w:pStyle w:val="Thesisnormal"/>
            </w:pPr>
            <w:r>
              <w:t>NOS</w:t>
            </w:r>
          </w:p>
        </w:tc>
        <w:tc>
          <w:tcPr>
            <w:tcW w:w="3060" w:type="dxa"/>
          </w:tcPr>
          <w:p w14:paraId="42CEF99C" w14:textId="77777777" w:rsidR="0084644E" w:rsidRDefault="0084644E" w:rsidP="001E4361">
            <w:pPr>
              <w:pStyle w:val="Thesisnormal"/>
            </w:pPr>
            <w:r w:rsidRPr="0024630D">
              <w:t>CATGAACAGCTCGTCGTCTG</w:t>
            </w:r>
          </w:p>
        </w:tc>
        <w:tc>
          <w:tcPr>
            <w:tcW w:w="3240" w:type="dxa"/>
          </w:tcPr>
          <w:p w14:paraId="194AA28D" w14:textId="77777777" w:rsidR="0084644E" w:rsidRDefault="0084644E" w:rsidP="001E4361">
            <w:pPr>
              <w:pStyle w:val="Thesisnormal"/>
            </w:pPr>
            <w:r w:rsidRPr="0024630D">
              <w:t>ATTCCATTTCTTCGTCGCCG</w:t>
            </w:r>
          </w:p>
        </w:tc>
        <w:tc>
          <w:tcPr>
            <w:tcW w:w="1530" w:type="dxa"/>
          </w:tcPr>
          <w:p w14:paraId="5F4ABCA2" w14:textId="77777777" w:rsidR="0084644E" w:rsidRDefault="0084644E" w:rsidP="001E4361">
            <w:pPr>
              <w:pStyle w:val="Thesisnormal"/>
            </w:pPr>
            <w:r>
              <w:t>55</w:t>
            </w:r>
          </w:p>
        </w:tc>
        <w:tc>
          <w:tcPr>
            <w:tcW w:w="1260" w:type="dxa"/>
          </w:tcPr>
          <w:p w14:paraId="513382A5" w14:textId="77777777" w:rsidR="0084644E" w:rsidRDefault="0084644E" w:rsidP="001E4361">
            <w:pPr>
              <w:pStyle w:val="Thesisnormal"/>
            </w:pPr>
          </w:p>
        </w:tc>
      </w:tr>
      <w:tr w:rsidR="0084644E" w14:paraId="7C23A18B" w14:textId="77777777" w:rsidTr="004B2ADE">
        <w:tc>
          <w:tcPr>
            <w:tcW w:w="1440" w:type="dxa"/>
          </w:tcPr>
          <w:p w14:paraId="5219C2CF" w14:textId="77777777" w:rsidR="0084644E" w:rsidRDefault="0084644E" w:rsidP="001E4361">
            <w:pPr>
              <w:pStyle w:val="Thesisnormal"/>
            </w:pPr>
            <w:r>
              <w:t>Sima</w:t>
            </w:r>
          </w:p>
        </w:tc>
        <w:tc>
          <w:tcPr>
            <w:tcW w:w="3060" w:type="dxa"/>
          </w:tcPr>
          <w:p w14:paraId="41536E78" w14:textId="77777777" w:rsidR="0084644E" w:rsidRDefault="0084644E" w:rsidP="001E4361">
            <w:pPr>
              <w:pStyle w:val="Thesisnormal"/>
            </w:pPr>
            <w:r w:rsidRPr="0024630D">
              <w:t>GTCTCGTCATTGTCGCCATC</w:t>
            </w:r>
          </w:p>
        </w:tc>
        <w:tc>
          <w:tcPr>
            <w:tcW w:w="3240" w:type="dxa"/>
          </w:tcPr>
          <w:p w14:paraId="38C1C151" w14:textId="77777777" w:rsidR="0084644E" w:rsidRDefault="0084644E" w:rsidP="001E4361">
            <w:pPr>
              <w:pStyle w:val="Thesisnormal"/>
            </w:pPr>
            <w:r w:rsidRPr="0024630D">
              <w:t>GCCAGGATCGAAAGTGTTCC</w:t>
            </w:r>
          </w:p>
        </w:tc>
        <w:tc>
          <w:tcPr>
            <w:tcW w:w="1530" w:type="dxa"/>
          </w:tcPr>
          <w:p w14:paraId="7C222474" w14:textId="77777777" w:rsidR="0084644E" w:rsidRDefault="0084644E" w:rsidP="001E4361">
            <w:pPr>
              <w:pStyle w:val="Thesisnormal"/>
            </w:pPr>
            <w:r>
              <w:t>55</w:t>
            </w:r>
          </w:p>
        </w:tc>
        <w:tc>
          <w:tcPr>
            <w:tcW w:w="1260" w:type="dxa"/>
          </w:tcPr>
          <w:p w14:paraId="44DD62C9" w14:textId="77777777" w:rsidR="0084644E" w:rsidRDefault="0084644E" w:rsidP="001E4361">
            <w:pPr>
              <w:pStyle w:val="Thesisnormal"/>
            </w:pPr>
          </w:p>
        </w:tc>
      </w:tr>
      <w:tr w:rsidR="0084644E" w14:paraId="1B61FCB0" w14:textId="77777777" w:rsidTr="004B2ADE">
        <w:tc>
          <w:tcPr>
            <w:tcW w:w="1440" w:type="dxa"/>
          </w:tcPr>
          <w:p w14:paraId="7DF93A3E" w14:textId="77777777" w:rsidR="0084644E" w:rsidRDefault="0084644E" w:rsidP="001E4361">
            <w:pPr>
              <w:pStyle w:val="Thesisnormal"/>
            </w:pPr>
            <w:r>
              <w:t>STAT92e</w:t>
            </w:r>
          </w:p>
        </w:tc>
        <w:tc>
          <w:tcPr>
            <w:tcW w:w="3060" w:type="dxa"/>
          </w:tcPr>
          <w:p w14:paraId="5D3C5A54" w14:textId="77777777" w:rsidR="0084644E" w:rsidRDefault="0084644E" w:rsidP="001E4361">
            <w:pPr>
              <w:pStyle w:val="Thesisnormal"/>
            </w:pPr>
            <w:r w:rsidRPr="0024630D">
              <w:t>ATCGGGCGAGATTCAAAACG</w:t>
            </w:r>
          </w:p>
        </w:tc>
        <w:tc>
          <w:tcPr>
            <w:tcW w:w="3240" w:type="dxa"/>
          </w:tcPr>
          <w:p w14:paraId="6F622174" w14:textId="77777777" w:rsidR="0084644E" w:rsidRDefault="0084644E" w:rsidP="001E4361">
            <w:pPr>
              <w:pStyle w:val="Thesisnormal"/>
            </w:pPr>
            <w:r w:rsidRPr="0024630D">
              <w:t>CCCGCTTGATCTTCTTCAGC</w:t>
            </w:r>
          </w:p>
        </w:tc>
        <w:tc>
          <w:tcPr>
            <w:tcW w:w="1530" w:type="dxa"/>
          </w:tcPr>
          <w:p w14:paraId="22AA5049" w14:textId="77777777" w:rsidR="0084644E" w:rsidRDefault="0084644E" w:rsidP="001E4361">
            <w:pPr>
              <w:pStyle w:val="Thesisnormal"/>
            </w:pPr>
            <w:r>
              <w:t>55</w:t>
            </w:r>
          </w:p>
        </w:tc>
        <w:tc>
          <w:tcPr>
            <w:tcW w:w="1260" w:type="dxa"/>
          </w:tcPr>
          <w:p w14:paraId="7AD6BEC8" w14:textId="77777777" w:rsidR="0084644E" w:rsidRDefault="0084644E" w:rsidP="001E4361">
            <w:pPr>
              <w:pStyle w:val="Thesisnormal"/>
            </w:pPr>
          </w:p>
        </w:tc>
      </w:tr>
      <w:tr w:rsidR="0084644E" w14:paraId="4F366D10" w14:textId="77777777" w:rsidTr="004B2ADE">
        <w:tc>
          <w:tcPr>
            <w:tcW w:w="1440" w:type="dxa"/>
          </w:tcPr>
          <w:p w14:paraId="1927B37F" w14:textId="77777777" w:rsidR="0084644E" w:rsidRDefault="0084644E" w:rsidP="001E4361">
            <w:pPr>
              <w:pStyle w:val="Thesisnormal"/>
            </w:pPr>
            <w:r>
              <w:t>Relish</w:t>
            </w:r>
          </w:p>
        </w:tc>
        <w:tc>
          <w:tcPr>
            <w:tcW w:w="3060" w:type="dxa"/>
          </w:tcPr>
          <w:p w14:paraId="231DD486" w14:textId="77777777" w:rsidR="0084644E" w:rsidRDefault="0084644E" w:rsidP="001E4361">
            <w:pPr>
              <w:pStyle w:val="Thesisnormal"/>
            </w:pPr>
            <w:r w:rsidRPr="0024630D">
              <w:t>GGCATCATACACACCGCCAAGAAG</w:t>
            </w:r>
          </w:p>
        </w:tc>
        <w:tc>
          <w:tcPr>
            <w:tcW w:w="3240" w:type="dxa"/>
          </w:tcPr>
          <w:p w14:paraId="4A6ED3CC" w14:textId="77777777" w:rsidR="0084644E" w:rsidRDefault="0084644E" w:rsidP="001E4361">
            <w:pPr>
              <w:pStyle w:val="Thesisnormal"/>
            </w:pPr>
            <w:r w:rsidRPr="0024630D">
              <w:t>GTAGCTGTTTGTGGGACAACTCGC</w:t>
            </w:r>
          </w:p>
        </w:tc>
        <w:tc>
          <w:tcPr>
            <w:tcW w:w="1530" w:type="dxa"/>
          </w:tcPr>
          <w:p w14:paraId="18C01F04" w14:textId="77777777" w:rsidR="0084644E" w:rsidRDefault="0084644E" w:rsidP="001E4361">
            <w:pPr>
              <w:pStyle w:val="Thesisnormal"/>
            </w:pPr>
            <w:r>
              <w:t>55</w:t>
            </w:r>
          </w:p>
        </w:tc>
        <w:tc>
          <w:tcPr>
            <w:tcW w:w="1260" w:type="dxa"/>
          </w:tcPr>
          <w:p w14:paraId="1D729121" w14:textId="2549A689" w:rsidR="0084644E" w:rsidRDefault="0084644E" w:rsidP="001E4361">
            <w:pPr>
              <w:pStyle w:val="Thesisnormal"/>
            </w:pPr>
            <w:r>
              <w:fldChar w:fldCharType="begin"/>
            </w:r>
            <w:r w:rsidR="000A209C">
              <w:instrText xml:space="preserve"> ADDIN ZOTERO_ITEM CSL_CITATION {"citationID":"YsTS5a3T","properties":{"formattedCitation":"(320)","plainCitation":"(320)","noteIndex":0},"citationItems":[{"id":1531,"uris":["http://zotero.org/users/952979/items/V8AJBQHM"],"uri":["http://zotero.org/users/952979/items/V8AJBQHM"],"itemData":{"id":1531,"type":"article-journal","title":"The Innate Immune Response Transcription Factor Relish Is Necessary for Neurodegeneration in a Drosophila Model of Ataxia-Telangiectasia","container-title":"Genetics","page":"133-142","volume":"194","issue":"1","source":"PubMed Central","abstract":"Neurodegeneration is a hallmark of the human disease ataxia-telangiectasia (A-T) that is caused by mutation of the A-T mutated (ATM) gene. We have analyzed Drosophila melanogaster ATM mutants to determine the molecular mechanisms underlying neurodegeneration in A-T. Previously, we found that ATM mutants upregulate the expression of innate immune response (IIR) genes and undergo neurodegeneration in the central nervous system. Here, we present evidence that activation of the IIR is a cause of neurodegeneration in ATM mutants. Three lines of evidence indicate that ATM mutations cause neurodegeneration by activating the Nuclear Factor-κB (NF-κB) transcription factor Relish, a key regulator of the Immune deficiency (Imd) IIR signaling pathway. First, the level of upregulation of IIR genes, including Relish target genes, was directly correlated with the level of neurodegeneration in ATM mutants. Second, Relish mutations inhibited upregulation of IIR genes and neurodegeneration in ATM mutants. Third, overexpression of constitutively active Relish in glial cells activated the IIR and caused neurodegeneration. In contrast, we found that Imd and Dif mutations did not affect neurodegeneration in ATM mutants. Imd encodes an activator of Relish in the response to gram-negative bacteria, and Dif encodes an immune responsive NF-κB transcription factor in the Toll signaling pathway. These data indicate that the signal that causes neurodegeneration in ATM mutants activates a specific NF-κB protein and does so through an unknown activator. In summary, these findings suggest that neurodegeneration in human A-T is caused by activation of a specific NF-κB protein in glial cells.","DOI":"10.1534/genetics.113.150854","ISSN":"0016-6731","note":"PMID: 23502677\nPMCID: PMC3632461","journalAbbreviation":"Genetics","author":[{"family":"Petersen","given":"Andrew J."},{"family":"Katzenberger","given":"Rebeccah J."},{"family":"Wassarman","given":"David A."}],"issued":{"date-parts":[["2013",5]]}}}],"schema":"https://github.com/citation-style-language/schema/raw/master/csl-citation.json"} </w:instrText>
            </w:r>
            <w:r>
              <w:fldChar w:fldCharType="separate"/>
            </w:r>
            <w:r w:rsidR="004A1963" w:rsidRPr="004A1963">
              <w:rPr>
                <w:rFonts w:ascii="Calibri" w:hAnsi="Calibri"/>
              </w:rPr>
              <w:t>(320)</w:t>
            </w:r>
            <w:r>
              <w:fldChar w:fldCharType="end"/>
            </w:r>
          </w:p>
        </w:tc>
      </w:tr>
      <w:tr w:rsidR="0084644E" w14:paraId="64C0FC70" w14:textId="77777777" w:rsidTr="004B2ADE">
        <w:tc>
          <w:tcPr>
            <w:tcW w:w="1440" w:type="dxa"/>
          </w:tcPr>
          <w:p w14:paraId="7602E2FD" w14:textId="77777777" w:rsidR="0084644E" w:rsidRDefault="0084644E" w:rsidP="001E4361">
            <w:pPr>
              <w:pStyle w:val="Thesisnormal"/>
            </w:pPr>
            <w:r>
              <w:t>RpL32</w:t>
            </w:r>
          </w:p>
        </w:tc>
        <w:tc>
          <w:tcPr>
            <w:tcW w:w="3060" w:type="dxa"/>
          </w:tcPr>
          <w:p w14:paraId="67CAFE7E" w14:textId="77777777" w:rsidR="0084644E" w:rsidRDefault="0084644E" w:rsidP="001E4361">
            <w:pPr>
              <w:pStyle w:val="Thesisnormal"/>
            </w:pPr>
            <w:r w:rsidRPr="0024630D">
              <w:t>GACGCTTCAAGGGACAGTATCTG</w:t>
            </w:r>
          </w:p>
        </w:tc>
        <w:tc>
          <w:tcPr>
            <w:tcW w:w="3240" w:type="dxa"/>
          </w:tcPr>
          <w:p w14:paraId="719207E7" w14:textId="77777777" w:rsidR="0084644E" w:rsidRDefault="0084644E" w:rsidP="001E4361">
            <w:pPr>
              <w:pStyle w:val="Thesisnormal"/>
            </w:pPr>
            <w:r w:rsidRPr="0024630D">
              <w:t>AAACGCGGTTCTGCATGAG</w:t>
            </w:r>
          </w:p>
        </w:tc>
        <w:tc>
          <w:tcPr>
            <w:tcW w:w="1530" w:type="dxa"/>
          </w:tcPr>
          <w:p w14:paraId="0A462AD9" w14:textId="77777777" w:rsidR="0084644E" w:rsidRDefault="0084644E" w:rsidP="001E4361">
            <w:pPr>
              <w:pStyle w:val="Thesisnormal"/>
            </w:pPr>
            <w:r>
              <w:t>55</w:t>
            </w:r>
          </w:p>
        </w:tc>
        <w:tc>
          <w:tcPr>
            <w:tcW w:w="1260" w:type="dxa"/>
          </w:tcPr>
          <w:p w14:paraId="40E6791C" w14:textId="4AE13F07" w:rsidR="0084644E" w:rsidRDefault="0084644E" w:rsidP="001E4361">
            <w:pPr>
              <w:pStyle w:val="Thesisnormal"/>
            </w:pPr>
            <w:r>
              <w:fldChar w:fldCharType="begin"/>
            </w:r>
            <w:r w:rsidR="000A209C">
              <w:instrText xml:space="preserve"> ADDIN ZOTERO_ITEM CSL_CITATION {"citationID":"LLtNl9uT","properties":{"formattedCitation":"(321)","plainCitation":"(321)","noteIndex":0},"citationItems":[{"id":1534,"uris":["http://zotero.org/users/952979/items/S244UW49"],"uri":["http://zotero.org/users/952979/items/S244UW49"],"itemData":{"id":1534,"type":"thesis","title":"Drosophila  embryos as a Model System to  Study Bacterial Infection  In Vivo","publisher":"University of Bath","URL":"http://opus.bath.ac.uk/43318/1/Thesis_final.pdf","author":[{"literal":"Kiri"},{"literal":"-"},{"literal":"Kiri-Louise Tan"}],"issued":{"date-parts":[["2013"]]},"accessed":{"date-parts":[["2017",8,10]]}}}],"schema":"https://github.com/citation-style-language/schema/raw/master/csl-citation.json"} </w:instrText>
            </w:r>
            <w:r>
              <w:fldChar w:fldCharType="separate"/>
            </w:r>
            <w:r w:rsidR="004A1963" w:rsidRPr="004A1963">
              <w:rPr>
                <w:rFonts w:ascii="Calibri" w:hAnsi="Calibri"/>
              </w:rPr>
              <w:t>(321)</w:t>
            </w:r>
            <w:r>
              <w:fldChar w:fldCharType="end"/>
            </w:r>
          </w:p>
        </w:tc>
      </w:tr>
      <w:tr w:rsidR="0084644E" w14:paraId="58623202" w14:textId="77777777" w:rsidTr="004B2ADE">
        <w:tc>
          <w:tcPr>
            <w:tcW w:w="1440" w:type="dxa"/>
          </w:tcPr>
          <w:p w14:paraId="5AA149A6" w14:textId="77777777" w:rsidR="0084644E" w:rsidRDefault="0084644E" w:rsidP="001E4361">
            <w:pPr>
              <w:pStyle w:val="Thesisnormal"/>
            </w:pPr>
            <w:r>
              <w:t>RpS3</w:t>
            </w:r>
          </w:p>
        </w:tc>
        <w:tc>
          <w:tcPr>
            <w:tcW w:w="3060" w:type="dxa"/>
          </w:tcPr>
          <w:p w14:paraId="789353E5" w14:textId="77777777" w:rsidR="0084644E" w:rsidRPr="0024630D" w:rsidRDefault="0084644E" w:rsidP="001E4361">
            <w:pPr>
              <w:jc w:val="both"/>
              <w:rPr>
                <w:rFonts w:ascii="Calibri" w:eastAsia="Times New Roman" w:hAnsi="Calibri"/>
                <w:color w:val="000000"/>
              </w:rPr>
            </w:pPr>
            <w:r w:rsidRPr="0024630D">
              <w:rPr>
                <w:rFonts w:ascii="Calibri" w:eastAsia="Times New Roman" w:hAnsi="Calibri"/>
                <w:color w:val="000000"/>
              </w:rPr>
              <w:t>TCTTTCTTTTCTGCGCACCA</w:t>
            </w:r>
          </w:p>
        </w:tc>
        <w:tc>
          <w:tcPr>
            <w:tcW w:w="3240" w:type="dxa"/>
          </w:tcPr>
          <w:p w14:paraId="47067C4A" w14:textId="77777777" w:rsidR="0084644E" w:rsidRPr="0024630D" w:rsidRDefault="0084644E" w:rsidP="001E4361">
            <w:pPr>
              <w:jc w:val="both"/>
              <w:rPr>
                <w:rFonts w:ascii="Calibri" w:eastAsia="Times New Roman" w:hAnsi="Calibri"/>
                <w:color w:val="000000"/>
              </w:rPr>
            </w:pPr>
            <w:r>
              <w:rPr>
                <w:rFonts w:ascii="Calibri" w:eastAsia="Times New Roman" w:hAnsi="Calibri"/>
                <w:color w:val="000000"/>
              </w:rPr>
              <w:t>TCGCATTCATTTTGACGTCG</w:t>
            </w:r>
          </w:p>
        </w:tc>
        <w:tc>
          <w:tcPr>
            <w:tcW w:w="1530" w:type="dxa"/>
          </w:tcPr>
          <w:p w14:paraId="5EDB05B6" w14:textId="77777777" w:rsidR="0084644E" w:rsidRDefault="0084644E" w:rsidP="001E4361">
            <w:pPr>
              <w:pStyle w:val="Thesisnormal"/>
            </w:pPr>
            <w:r>
              <w:t>55</w:t>
            </w:r>
          </w:p>
        </w:tc>
        <w:tc>
          <w:tcPr>
            <w:tcW w:w="1260" w:type="dxa"/>
          </w:tcPr>
          <w:p w14:paraId="1377075D" w14:textId="77777777" w:rsidR="0084644E" w:rsidRDefault="0084644E" w:rsidP="001E4361">
            <w:pPr>
              <w:pStyle w:val="Thesisnormal"/>
            </w:pPr>
          </w:p>
        </w:tc>
      </w:tr>
      <w:tr w:rsidR="0084644E" w14:paraId="09DC8484" w14:textId="77777777" w:rsidTr="004B2ADE">
        <w:tc>
          <w:tcPr>
            <w:tcW w:w="1440" w:type="dxa"/>
          </w:tcPr>
          <w:p w14:paraId="4A254B8C" w14:textId="77777777" w:rsidR="0084644E" w:rsidRDefault="0084644E" w:rsidP="001E4361">
            <w:pPr>
              <w:pStyle w:val="Thesisnormal"/>
            </w:pPr>
            <w:r>
              <w:t>Unpaired-1</w:t>
            </w:r>
          </w:p>
        </w:tc>
        <w:tc>
          <w:tcPr>
            <w:tcW w:w="3060" w:type="dxa"/>
          </w:tcPr>
          <w:p w14:paraId="13D00504" w14:textId="77777777" w:rsidR="0084644E" w:rsidRPr="0024630D" w:rsidRDefault="0084644E" w:rsidP="001E4361">
            <w:pPr>
              <w:jc w:val="both"/>
              <w:rPr>
                <w:rFonts w:ascii="Calibri" w:eastAsia="Times New Roman" w:hAnsi="Calibri"/>
                <w:color w:val="000000"/>
              </w:rPr>
            </w:pPr>
            <w:r>
              <w:rPr>
                <w:rFonts w:ascii="Calibri" w:eastAsia="Times New Roman" w:hAnsi="Calibri"/>
                <w:color w:val="000000"/>
              </w:rPr>
              <w:t>CCACGTAAGTTTGCATGTTG</w:t>
            </w:r>
          </w:p>
        </w:tc>
        <w:tc>
          <w:tcPr>
            <w:tcW w:w="3240" w:type="dxa"/>
          </w:tcPr>
          <w:p w14:paraId="2E5D250C" w14:textId="77777777" w:rsidR="0084644E" w:rsidRPr="0024630D" w:rsidRDefault="0084644E" w:rsidP="001E4361">
            <w:pPr>
              <w:jc w:val="both"/>
              <w:rPr>
                <w:rFonts w:ascii="Calibri" w:eastAsia="Times New Roman" w:hAnsi="Calibri"/>
                <w:color w:val="000000"/>
              </w:rPr>
            </w:pPr>
            <w:r>
              <w:rPr>
                <w:rFonts w:ascii="Calibri" w:eastAsia="Times New Roman" w:hAnsi="Calibri"/>
                <w:color w:val="000000"/>
              </w:rPr>
              <w:t>CTAAACAGTAGCCAGGACTC</w:t>
            </w:r>
          </w:p>
        </w:tc>
        <w:tc>
          <w:tcPr>
            <w:tcW w:w="1530" w:type="dxa"/>
          </w:tcPr>
          <w:p w14:paraId="466318D9" w14:textId="77777777" w:rsidR="0084644E" w:rsidRDefault="0084644E" w:rsidP="001E4361">
            <w:pPr>
              <w:pStyle w:val="Thesisnormal"/>
            </w:pPr>
            <w:r>
              <w:t>55</w:t>
            </w:r>
          </w:p>
        </w:tc>
        <w:tc>
          <w:tcPr>
            <w:tcW w:w="1260" w:type="dxa"/>
          </w:tcPr>
          <w:p w14:paraId="62BD0E5A" w14:textId="118F6833" w:rsidR="0084644E" w:rsidRDefault="0084644E" w:rsidP="001E4361">
            <w:pPr>
              <w:pStyle w:val="Thesisnormal"/>
            </w:pPr>
            <w:r>
              <w:fldChar w:fldCharType="begin"/>
            </w:r>
            <w:r w:rsidR="000A209C">
              <w:instrText xml:space="preserve"> ADDIN ZOTERO_ITEM CSL_CITATION {"citationID":"SnXRq94B","properties":{"formattedCitation":"(322)","plainCitation":"(322)","noteIndex":0},"citationItems":[{"id":1528,"uris":["http://zotero.org/users/952979/items/PEKM3N6R"],"uri":["http://zotero.org/users/952979/items/PEKM3N6R"],"itemData":{"id":1528,"type":"article-journal","title":"Cytokine/Jak/Stat signaling mediates regeneration and homeostasis in the Drosophila midgut","container-title":"Cell","page":"1343-1355","volume":"137","issue":"7","source":"PubMed Central","abstract":"Cells in intestinal epithelia turn over rapidly due to damage from digestion and toxins produced by the enteric microbiota. Gut homeostasis is maintained by intestinal stem cells (ISCs) that divide to replenish the intestinal epithelium, but little is known about how ISC division and differentiation are coordinated with epithelial cell loss. We show here that when enterocytes (ECs) in the Drosophila midgut are subjected to apoptosis, enteric infection, or JNK-mediated stress signaling, they produce cytokines (Upd, Upd2, Upd3) that activate Jak/Stat signaling in ISCs, promoting their rapid division. Upd/Jak/Stat activity also promotes progenitor cell differentiation, in part by stimulating Delta/Notch signaling, and is required for differentiation in both normal and regenerating midguts. Hence, cytokine-mediated feedback enables stem cells to replace spent progeny as they are lost, thereby establishing gut homeostasis.","DOI":"10.1016/j.cell.2009.05.014","ISSN":"0092-8674","note":"PMID: 19563763\nPMCID: PMC2753793","journalAbbreviation":"Cell","author":[{"family":"Jiang","given":"Huaqi"},{"family":"Patel","given":"Parthive H."},{"family":"Kohlmaier","given":"Alexander"},{"family":"Grenley","given":"Marc O."},{"family":"McEwen","given":"Donald G."},{"family":"Edgar","given":"Bruce A."}],"issued":{"date-parts":[["2009",6,26]]}}}],"schema":"https://github.com/citation-style-language/schema/raw/master/csl-citation.json"} </w:instrText>
            </w:r>
            <w:r>
              <w:fldChar w:fldCharType="separate"/>
            </w:r>
            <w:r w:rsidR="004A1963" w:rsidRPr="004A1963">
              <w:rPr>
                <w:rFonts w:ascii="Calibri" w:hAnsi="Calibri"/>
              </w:rPr>
              <w:t>(322)</w:t>
            </w:r>
            <w:r>
              <w:fldChar w:fldCharType="end"/>
            </w:r>
          </w:p>
        </w:tc>
      </w:tr>
    </w:tbl>
    <w:p w14:paraId="6BD46C0E" w14:textId="77777777" w:rsidR="0084644E" w:rsidRDefault="0084644E" w:rsidP="0084644E">
      <w:pPr>
        <w:pStyle w:val="Thesisnormal"/>
      </w:pPr>
    </w:p>
    <w:p w14:paraId="4F424674" w14:textId="77777777" w:rsidR="0084644E" w:rsidRPr="00813010" w:rsidRDefault="0084644E" w:rsidP="0084644E">
      <w:pPr>
        <w:pStyle w:val="NoSpacing"/>
      </w:pPr>
      <w:r w:rsidRPr="00813010">
        <w:t xml:space="preserve">NB. GBP1=Growth Blocking Peptide 1, Dpp=Decapentaplegic, NOS=Nitric Oxide Synthase. Where no reference is given, primers were designed for this study. </w:t>
      </w:r>
    </w:p>
    <w:p w14:paraId="3C95A33D" w14:textId="77777777" w:rsidR="0084644E" w:rsidRDefault="0084644E" w:rsidP="0084644E">
      <w:pPr>
        <w:pStyle w:val="Thesisnormal"/>
      </w:pPr>
    </w:p>
    <w:p w14:paraId="53A41F7E" w14:textId="77777777" w:rsidR="0084644E" w:rsidRDefault="0084644E" w:rsidP="0084644E">
      <w:pPr>
        <w:pStyle w:val="Thesisnormal"/>
      </w:pPr>
    </w:p>
    <w:p w14:paraId="5A5917C9" w14:textId="77777777" w:rsidR="0084644E" w:rsidRDefault="0084644E" w:rsidP="0084644E">
      <w:pPr>
        <w:pStyle w:val="Heading3"/>
        <w:ind w:left="720" w:firstLine="720"/>
      </w:pPr>
      <w:bookmarkStart w:id="132" w:name="_Toc4589310"/>
      <w:r>
        <w:t>2.7.5 Transformation of DH5</w:t>
      </w:r>
      <w:r>
        <w:sym w:font="Symbol" w:char="F061"/>
      </w:r>
      <w:r>
        <w:t xml:space="preserve"> cells</w:t>
      </w:r>
      <w:bookmarkEnd w:id="132"/>
    </w:p>
    <w:p w14:paraId="26F27341" w14:textId="77777777" w:rsidR="0084644E" w:rsidRDefault="0084644E" w:rsidP="0084644E">
      <w:pPr>
        <w:pStyle w:val="Thesisnormal"/>
      </w:pPr>
    </w:p>
    <w:p w14:paraId="3E3C5A68" w14:textId="77777777" w:rsidR="0084644E" w:rsidRDefault="0084644E" w:rsidP="0084644E">
      <w:pPr>
        <w:pStyle w:val="Thesisnormal"/>
      </w:pPr>
      <w:r>
        <w:t>Unless otherwise stated, pre-aliquotted DH5</w:t>
      </w:r>
      <w:r>
        <w:sym w:font="Symbol" w:char="F061"/>
      </w:r>
      <w:r>
        <w:t xml:space="preserve"> </w:t>
      </w:r>
      <w:r w:rsidRPr="00D81046">
        <w:rPr>
          <w:i/>
        </w:rPr>
        <w:t>E. coli</w:t>
      </w:r>
      <w:r>
        <w:t xml:space="preserve"> cells (</w:t>
      </w:r>
      <w:r w:rsidRPr="007A6A9A">
        <w:t>Invitrogen</w:t>
      </w:r>
      <w:r>
        <w:t>) were used for bacterial transformations. An appropriate number of microcentrifuge tubes containing DH5</w:t>
      </w:r>
      <w:r>
        <w:sym w:font="Symbol" w:char="F061"/>
      </w:r>
      <w:r>
        <w:t xml:space="preserve"> cells were thawed on ice. Two microliters of ligation reactions were added to 50µl of DH5</w:t>
      </w:r>
      <w:r>
        <w:sym w:font="Symbol" w:char="F061"/>
      </w:r>
      <w:r>
        <w:t xml:space="preserve"> cells and incubated on ice for 30 minutes. Cells were heat-shocked at 42</w:t>
      </w:r>
      <w:r>
        <w:sym w:font="Symbol" w:char="F0B0"/>
      </w:r>
      <w:r>
        <w:t>C for 20 seconds and then cooled on ice for 2 minutes, following which 950µl of LB media was added: cells were incubated at 37</w:t>
      </w:r>
      <w:r>
        <w:sym w:font="Symbol" w:char="F0B0"/>
      </w:r>
      <w:r>
        <w:t>C for 1 hour before being spread onto LB agar plates containing appropriate antibiotics (Ampicillin, 100µg/ml only used for control plasmids). Plates were incubated overnight at 37</w:t>
      </w:r>
      <w:r>
        <w:sym w:font="Symbol" w:char="F0B0"/>
      </w:r>
      <w:r>
        <w:t xml:space="preserve">C. </w:t>
      </w:r>
    </w:p>
    <w:p w14:paraId="2C6520CC" w14:textId="77777777" w:rsidR="0084644E" w:rsidRDefault="0084644E" w:rsidP="0084644E">
      <w:pPr>
        <w:pStyle w:val="Thesisnormal"/>
      </w:pPr>
    </w:p>
    <w:p w14:paraId="3EA803DB" w14:textId="77777777" w:rsidR="0084644E" w:rsidRDefault="0084644E" w:rsidP="0084644E">
      <w:pPr>
        <w:pStyle w:val="Heading3"/>
        <w:ind w:left="720" w:firstLine="720"/>
      </w:pPr>
      <w:bookmarkStart w:id="133" w:name="_Toc4589311"/>
      <w:r>
        <w:lastRenderedPageBreak/>
        <w:t>2.7.6 Miniprep from cell colonies</w:t>
      </w:r>
      <w:bookmarkEnd w:id="133"/>
      <w:r>
        <w:t xml:space="preserve"> </w:t>
      </w:r>
    </w:p>
    <w:p w14:paraId="4EA8C8EA" w14:textId="77777777" w:rsidR="0084644E" w:rsidRDefault="0084644E" w:rsidP="0084644E">
      <w:pPr>
        <w:pStyle w:val="Thesisnormal"/>
      </w:pPr>
    </w:p>
    <w:p w14:paraId="3C30A97A" w14:textId="77777777" w:rsidR="0084644E" w:rsidRDefault="0084644E" w:rsidP="0084644E">
      <w:pPr>
        <w:pStyle w:val="Thesisnormal"/>
      </w:pPr>
      <w:r>
        <w:t>Following transformation and overnight incubation in liquid agar (of picked single colonies) with relevant antibiotics (Ampicillin, 100µg/ml only used for control plasmids), DNA was recovered from single colonies according to the manufacturer’s instructions using the QIAprep Spin Miniprep kit (</w:t>
      </w:r>
      <w:r w:rsidRPr="007A6A9A">
        <w:t>QIAGEN</w:t>
      </w:r>
      <w:r>
        <w:t>). DNA was eluted in 30µl and stored at -20</w:t>
      </w:r>
      <w:r>
        <w:sym w:font="Symbol" w:char="F0B0"/>
      </w:r>
      <w:r>
        <w:t xml:space="preserve">C until used. </w:t>
      </w:r>
    </w:p>
    <w:p w14:paraId="31E27973" w14:textId="77777777" w:rsidR="0084644E" w:rsidRDefault="0084644E" w:rsidP="0084644E">
      <w:pPr>
        <w:pStyle w:val="Thesisnormal"/>
      </w:pPr>
    </w:p>
    <w:p w14:paraId="5859F93B" w14:textId="77777777" w:rsidR="0084644E" w:rsidRDefault="0084644E" w:rsidP="0084644E">
      <w:pPr>
        <w:pStyle w:val="Heading3"/>
        <w:ind w:left="720" w:firstLine="720"/>
      </w:pPr>
      <w:bookmarkStart w:id="134" w:name="_Toc4589312"/>
      <w:r>
        <w:t>2.7.7 Creation of Enhancer-fluorophore lines</w:t>
      </w:r>
      <w:bookmarkEnd w:id="134"/>
    </w:p>
    <w:p w14:paraId="0EBB3F14" w14:textId="77777777" w:rsidR="0084644E" w:rsidRDefault="0084644E" w:rsidP="0084644E">
      <w:pPr>
        <w:pStyle w:val="Thesisnormal"/>
      </w:pPr>
    </w:p>
    <w:p w14:paraId="406F924C" w14:textId="07018558" w:rsidR="0084644E" w:rsidRPr="003C2CB8" w:rsidRDefault="0084644E" w:rsidP="0084644E">
      <w:pPr>
        <w:pStyle w:val="Thesisnormal"/>
      </w:pPr>
      <w:r>
        <w:t xml:space="preserve">To create independent VT-fluorophore fusions, we used a similar cloning strategy as described by Pfeiffer </w:t>
      </w:r>
      <w:r>
        <w:rPr>
          <w:i/>
        </w:rPr>
        <w:t xml:space="preserve">et al </w:t>
      </w:r>
      <w:r>
        <w:rPr>
          <w:i/>
        </w:rPr>
        <w:fldChar w:fldCharType="begin"/>
      </w:r>
      <w:r w:rsidR="000A209C">
        <w:rPr>
          <w:i/>
        </w:rPr>
        <w:instrText xml:space="preserve"> ADDIN ZOTERO_ITEM CSL_CITATION {"citationID":"2VRz2QWx","properties":{"formattedCitation":"(162)","plainCitation":"(162)","noteIndex":0},"citationItems":[{"id":28,"uris":["http://zotero.org/users/952979/items/4CF9J7TX"],"uri":["http://zotero.org/users/952979/items/4CF9J7TX"],"itemData":{"id":28,"type":"article-journal","title":"Tools for neuroanatomy and neurogenetics in Drosophila","container-title":"Proceedings of the National Academy of Sciences of the United States of America","page":"9715-9720","volume":"105","issue":"28","source":"PubMed","abstract":"We demonstrate the feasibility of generating thousands of transgenic Drosophila melanogaster lines in which the expression of an exogenous gene is reproducibly directed to distinct small subsets of cells in the adult brain. We expect the expression patterns produced by the collection of 5,000 lines that we are currently generating to encompass all neurons in the brain in a variety of intersecting patterns. Overlapping 3-kb DNA fragments from the flanking noncoding and intronic regions of genes thought to have patterned expression in the adult brain were inserted into a defined genomic location by site-specific recombination. These fragments were then assayed for their ability to function as transcriptional enhancers in conjunction with a synthetic core promoter designed to work with a wide variety of enhancer types. An analysis of 44 fragments from four genes found that &gt;80% drive expression patterns in the brain; the observed patterns were, on average, comprised of &lt;100 cells. Our results suggest that the D. melanogaster genome contains &gt;50,000 enhancers and that multiple enhancers drive distinct subsets of expression of a gene in each tissue and developmental stage. We expect that these lines will be valuable tools for neuroanatomy as well as for the elucidation of neuronal circuits and information flow in the fly brain.","DOI":"10.1073/pnas.0803697105","ISSN":"1091-6490","note":"PMID: 18621688\nPMCID: PMC2447866","journalAbbreviation":"Proc. Natl. Acad. Sci. U.S.A.","language":"eng","author":[{"family":"Pfeiffer","given":"Barret D."},{"family":"Jenett","given":"Arnim"},{"family":"Hammonds","given":"Ann S."},{"family":"Ngo","given":"Teri-T. B."},{"family":"Misra","given":"Sima"},{"family":"Murphy","given":"Christine"},{"family":"Scully","given":"Audra"},{"family":"Carlson","given":"Joseph W."},{"family":"Wan","given":"Kenneth H."},{"family":"Laverty","given":"Todd R."},{"family":"Mungall","given":"Chris"},{"family":"Svirskas","given":"Rob"},{"family":"Kadonaga","given":"James T."},{"family":"Doe","given":"Chris Q."},{"family":"Eisen","given":"Michael B."},{"family":"Celniker","given":"Susan E."},{"family":"Rubin","given":"Gerald M."}],"issued":{"date-parts":[["2008",7,15]]}}}],"schema":"https://github.com/citation-style-language/schema/raw/master/csl-citation.json"} </w:instrText>
      </w:r>
      <w:r>
        <w:rPr>
          <w:i/>
        </w:rPr>
        <w:fldChar w:fldCharType="separate"/>
      </w:r>
      <w:r w:rsidR="004A1963" w:rsidRPr="004A1963">
        <w:rPr>
          <w:rFonts w:ascii="Calibri" w:hAnsi="Calibri"/>
        </w:rPr>
        <w:t>(162)</w:t>
      </w:r>
      <w:r>
        <w:rPr>
          <w:i/>
        </w:rPr>
        <w:fldChar w:fldCharType="end"/>
      </w:r>
      <w:r>
        <w:t xml:space="preserve">. Briefly, enhancer candidates were cloned upstream of a minimal DSCP promoter followed by either nuclear tagged GFP or RFP using gateway cloning methods. An overview of the cloning strategy is outlined in </w:t>
      </w:r>
      <w:r w:rsidRPr="007A6A9A">
        <w:t>Figure 2.1.</w:t>
      </w:r>
      <w:r>
        <w:t xml:space="preserve"> </w:t>
      </w:r>
    </w:p>
    <w:p w14:paraId="134C31A6" w14:textId="77777777" w:rsidR="0084644E" w:rsidRDefault="0084644E" w:rsidP="0084644E">
      <w:pPr>
        <w:spacing w:line="360" w:lineRule="auto"/>
      </w:pPr>
    </w:p>
    <w:p w14:paraId="6D195E15" w14:textId="77777777" w:rsidR="0084644E" w:rsidRDefault="0084644E" w:rsidP="0084644E">
      <w:pPr>
        <w:pStyle w:val="Heading4"/>
        <w:ind w:left="720" w:firstLine="720"/>
      </w:pPr>
      <w:r>
        <w:t>2.7.7.1 PCR amplification of enhancer regions and cloning into the gateway vector</w:t>
      </w:r>
    </w:p>
    <w:p w14:paraId="013B2EFD" w14:textId="77777777" w:rsidR="0084644E" w:rsidRDefault="0084644E" w:rsidP="0084644E">
      <w:pPr>
        <w:pStyle w:val="Thesisnormal"/>
      </w:pPr>
      <w:r>
        <w:tab/>
      </w:r>
    </w:p>
    <w:p w14:paraId="56864DFD" w14:textId="174821C9" w:rsidR="0084644E" w:rsidRDefault="0084644E" w:rsidP="0084644E">
      <w:pPr>
        <w:pStyle w:val="Thesisnormal"/>
      </w:pPr>
      <w:r>
        <w:t>DNA was extracted from the different VT-enhancer flies as described previously (2.6.1) and amplified by a high-fidelity PCR (</w:t>
      </w:r>
      <w:r w:rsidRPr="007A6A9A">
        <w:t>HiFi Kappa; Kappa Biosystems</w:t>
      </w:r>
      <w:r>
        <w:t xml:space="preserve">) using enhancer specific primers </w:t>
      </w:r>
      <w:r>
        <w:fldChar w:fldCharType="begin"/>
      </w:r>
      <w:r w:rsidR="000A209C">
        <w:instrText xml:space="preserve"> ADDIN ZOTERO_ITEM CSL_CITATION {"citationID":"58sFc8Me","properties":{"formattedCitation":"(162)","plainCitation":"(162)","noteIndex":0},"citationItems":[{"id":28,"uris":["http://zotero.org/users/952979/items/4CF9J7TX"],"uri":["http://zotero.org/users/952979/items/4CF9J7TX"],"itemData":{"id":28,"type":"article-journal","title":"Tools for neuroanatomy and neurogenetics in Drosophila","container-title":"Proceedings of the National Academy of Sciences of the United States of America","page":"9715-9720","volume":"105","issue":"28","source":"PubMed","abstract":"We demonstrate the feasibility of generating thousands of transgenic Drosophila melanogaster lines in which the expression of an exogenous gene is reproducibly directed to distinct small subsets of cells in the adult brain. We expect the expression patterns produced by the collection of 5,000 lines that we are currently generating to encompass all neurons in the brain in a variety of intersecting patterns. Overlapping 3-kb DNA fragments from the flanking noncoding and intronic regions of genes thought to have patterned expression in the adult brain were inserted into a defined genomic location by site-specific recombination. These fragments were then assayed for their ability to function as transcriptional enhancers in conjunction with a synthetic core promoter designed to work with a wide variety of enhancer types. An analysis of 44 fragments from four genes found that &gt;80% drive expression patterns in the brain; the observed patterns were, on average, comprised of &lt;100 cells. Our results suggest that the D. melanogaster genome contains &gt;50,000 enhancers and that multiple enhancers drive distinct subsets of expression of a gene in each tissue and developmental stage. We expect that these lines will be valuable tools for neuroanatomy as well as for the elucidation of neuronal circuits and information flow in the fly brain.","DOI":"10.1073/pnas.0803697105","ISSN":"1091-6490","note":"PMID: 18621688\nPMCID: PMC2447866","journalAbbreviation":"Proc. Natl. Acad. Sci. U.S.A.","language":"eng","author":[{"family":"Pfeiffer","given":"Barret D."},{"family":"Jenett","given":"Arnim"},{"family":"Hammonds","given":"Ann S."},{"family":"Ngo","given":"Teri-T. B."},{"family":"Misra","given":"Sima"},{"family":"Murphy","given":"Christine"},{"family":"Scully","given":"Audra"},{"family":"Carlson","given":"Joseph W."},{"family":"Wan","given":"Kenneth H."},{"family":"Laverty","given":"Todd R."},{"family":"Mungall","given":"Chris"},{"family":"Svirskas","given":"Rob"},{"family":"Kadonaga","given":"James T."},{"family":"Doe","given":"Chris Q."},{"family":"Eisen","given":"Michael B."},{"family":"Celniker","given":"Susan E."},{"family":"Rubin","given":"Gerald M."}],"issued":{"date-parts":[["2008",7,15]]}}}],"schema":"https://github.com/citation-style-language/schema/raw/master/csl-citation.json"} </w:instrText>
      </w:r>
      <w:r>
        <w:fldChar w:fldCharType="separate"/>
      </w:r>
      <w:r w:rsidR="004A1963" w:rsidRPr="004A1963">
        <w:rPr>
          <w:rFonts w:ascii="Calibri" w:hAnsi="Calibri"/>
        </w:rPr>
        <w:t>(162)</w:t>
      </w:r>
      <w:r>
        <w:fldChar w:fldCharType="end"/>
      </w:r>
      <w:r>
        <w:t>. PCR products were then subjected to gel electrophoresis (2.7.2) and the correct sized bands were excised from the gel. DNA from excised bands was extracted using a QIAquick Gel extraction kit (</w:t>
      </w:r>
      <w:r w:rsidRPr="007A6A9A">
        <w:t>QIAGEN</w:t>
      </w:r>
      <w:r>
        <w:t>) following the manufacturers protocol. DNA was eluted in 30µl water and stored at -20</w:t>
      </w:r>
      <w:r>
        <w:sym w:font="Symbol" w:char="F0B0"/>
      </w:r>
      <w:r>
        <w:t xml:space="preserve">C. </w:t>
      </w:r>
    </w:p>
    <w:p w14:paraId="796AD7F2" w14:textId="77777777" w:rsidR="0084644E" w:rsidRDefault="0084644E" w:rsidP="0084644E">
      <w:pPr>
        <w:pStyle w:val="Thesisnormal"/>
      </w:pPr>
    </w:p>
    <w:p w14:paraId="12EB5FF2" w14:textId="77777777" w:rsidR="0084644E" w:rsidRPr="00AE625E" w:rsidRDefault="0084644E" w:rsidP="0084644E">
      <w:pPr>
        <w:pStyle w:val="Thesisnormal"/>
      </w:pPr>
      <w:r>
        <w:t xml:space="preserve">Enhancer DNA was then subcloned into the TOPO gateway vector (PCR8/GW/TOPO; </w:t>
      </w:r>
      <w:r w:rsidRPr="007A6A9A">
        <w:t>Invitrogen</w:t>
      </w:r>
      <w:r>
        <w:t xml:space="preserve">) as per the manufacturer’s protocol. Briefly, 3’ A overhangs were added to the PCR product to facilitate TA cloning by incubating the PCR products with </w:t>
      </w:r>
      <w:r>
        <w:rPr>
          <w:i/>
        </w:rPr>
        <w:t xml:space="preserve">Taq </w:t>
      </w:r>
      <w:r w:rsidRPr="00AE625E">
        <w:t>polymerase</w:t>
      </w:r>
      <w:r>
        <w:t xml:space="preserve"> for 10 minutes at 72</w:t>
      </w:r>
      <w:r>
        <w:sym w:font="Symbol" w:char="F0B0"/>
      </w:r>
      <w:r>
        <w:t xml:space="preserve">C. The products were then mixed with water, salt solution and the PCR8/GW/TOPO vector. This reaction was incubated at room temperature for 20 minutes before being transformed into OneShot TOP10 chemically competent </w:t>
      </w:r>
      <w:r>
        <w:rPr>
          <w:i/>
        </w:rPr>
        <w:t>E. coli</w:t>
      </w:r>
      <w:r>
        <w:t xml:space="preserve"> cells (</w:t>
      </w:r>
      <w:r w:rsidRPr="007A6A9A">
        <w:t>Invitrogen</w:t>
      </w:r>
      <w:r>
        <w:t xml:space="preserve">) as per the manufacturer’s protocol. Following overnight culture on agar plates with antibiotics (Chloramphenicol and Ampicillin were used at 100µg/ml as necessary), single colonies were </w:t>
      </w:r>
      <w:r>
        <w:lastRenderedPageBreak/>
        <w:t xml:space="preserve">chosen, incubated in liquid agar broth with antibiotics (Chloramphenicol and Ampicillin were used at 100µg/ml as necessary) overnight and then DNA extracted (2.7.6). Gel electrophoresis was employed to confirm successful cloning (2.7.2). </w:t>
      </w:r>
    </w:p>
    <w:p w14:paraId="6ACC724C" w14:textId="77777777" w:rsidR="0084644E" w:rsidRDefault="0084644E" w:rsidP="0084644E">
      <w:pPr>
        <w:pStyle w:val="Heading4"/>
        <w:rPr>
          <w:rFonts w:asciiTheme="minorHAnsi" w:eastAsiaTheme="minorHAnsi" w:hAnsiTheme="minorHAnsi" w:cstheme="minorBidi"/>
          <w:i w:val="0"/>
          <w:iCs w:val="0"/>
          <w:color w:val="auto"/>
        </w:rPr>
      </w:pPr>
    </w:p>
    <w:p w14:paraId="4049ADF8" w14:textId="77777777" w:rsidR="0084644E" w:rsidRDefault="0084644E" w:rsidP="0084644E">
      <w:pPr>
        <w:pStyle w:val="Heading4"/>
        <w:ind w:left="1440"/>
      </w:pPr>
      <w:r>
        <w:t>2.7.7.2 Subcloning of GFP or RFP into the pBPGUw vector</w:t>
      </w:r>
    </w:p>
    <w:p w14:paraId="65A3CD59" w14:textId="77777777" w:rsidR="0084644E" w:rsidRDefault="0084644E" w:rsidP="0084644E">
      <w:pPr>
        <w:pStyle w:val="Thesisnormal"/>
      </w:pPr>
    </w:p>
    <w:p w14:paraId="5809A965" w14:textId="77777777" w:rsidR="0084644E" w:rsidRDefault="0084644E" w:rsidP="0084644E">
      <w:pPr>
        <w:pStyle w:val="Thesisnormal"/>
      </w:pPr>
      <w:r>
        <w:t>Plasmids containing nuclear GFP (</w:t>
      </w:r>
      <w:r w:rsidRPr="007A6A9A">
        <w:t xml:space="preserve">Addgene, plasmid 1018) or nuclear RFP (Addgene, plasmid 1203) were digested with </w:t>
      </w:r>
      <w:r w:rsidRPr="007A6A9A">
        <w:rPr>
          <w:i/>
        </w:rPr>
        <w:t>Acc65I</w:t>
      </w:r>
      <w:r w:rsidRPr="007A6A9A">
        <w:t xml:space="preserve"> and </w:t>
      </w:r>
      <w:r w:rsidRPr="007A6A9A">
        <w:rPr>
          <w:i/>
        </w:rPr>
        <w:t>SpeI</w:t>
      </w:r>
      <w:r w:rsidRPr="007A6A9A">
        <w:t xml:space="preserve"> restriction enzymes (NEB) to isolate the GFP or RFP sequences. Plasmids were digested sequentially by incubating 1µl </w:t>
      </w:r>
      <w:r w:rsidRPr="007A6A9A">
        <w:rPr>
          <w:i/>
        </w:rPr>
        <w:t>SpeI</w:t>
      </w:r>
      <w:r w:rsidRPr="007A6A9A">
        <w:t xml:space="preserve"> with 1µg plasmid </w:t>
      </w:r>
      <w:r>
        <w:t>DNA, 5µl of 2.1 buffer and water to 50µl at 37</w:t>
      </w:r>
      <w:r>
        <w:sym w:font="Symbol" w:char="F0B0"/>
      </w:r>
      <w:r>
        <w:t xml:space="preserve">C for 15 minutes. Following this, 1µl of 5M NaCl was added in addition to 1µl </w:t>
      </w:r>
      <w:r w:rsidRPr="00452C80">
        <w:rPr>
          <w:i/>
        </w:rPr>
        <w:t>Acc65I</w:t>
      </w:r>
      <w:r>
        <w:t>. Reactions were incubated for a further 15 minutes before being heat inactivated at 80</w:t>
      </w:r>
      <w:r>
        <w:sym w:font="Symbol" w:char="F0B0"/>
      </w:r>
      <w:r w:rsidRPr="007A6A9A">
        <w:t>C for 20 minutes.  Gel electrophoresis was performed and the correct sized bands for GFP or RFP were excised as previously described. In parallel to this, the pBPGUw vector (Addgene) was</w:t>
      </w:r>
      <w:r>
        <w:t xml:space="preserve"> digested under the same conditions to remove the GAL4 sequence: the band corresponding to the vector backbone was excised from a gel and the DNA stored at -20</w:t>
      </w:r>
      <w:r>
        <w:sym w:font="Symbol" w:char="F0B0"/>
      </w:r>
      <w:r>
        <w:t xml:space="preserve">C. </w:t>
      </w:r>
    </w:p>
    <w:p w14:paraId="05B46E46" w14:textId="77777777" w:rsidR="0084644E" w:rsidRDefault="0084644E" w:rsidP="0084644E">
      <w:pPr>
        <w:pStyle w:val="Thesisnormal"/>
      </w:pPr>
    </w:p>
    <w:p w14:paraId="75F71A17" w14:textId="77777777" w:rsidR="0084644E" w:rsidRDefault="0084644E" w:rsidP="0084644E">
      <w:pPr>
        <w:pStyle w:val="Thesisnormal"/>
      </w:pPr>
      <w:r>
        <w:t xml:space="preserve">Using T4 </w:t>
      </w:r>
      <w:r w:rsidRPr="007A6A9A">
        <w:t>ligase (Promega)</w:t>
      </w:r>
      <w:r>
        <w:t xml:space="preserve"> the remaining pBPGUw vector and the excised GFP or RFP were ligated. In a microcentrifuge tube, 100ng of vector DNA was combined with 17ng of the insert DNA (GFP/RFP), 0.33µl T4 DNA ligase and 1µl of ligase buffer. The reaction was made up to 10µl with water and incubated at 22</w:t>
      </w:r>
      <w:r>
        <w:sym w:font="Symbol" w:char="F0B0"/>
      </w:r>
      <w:r>
        <w:t xml:space="preserve">C for 3 hours. This reaction was used to transform </w:t>
      </w:r>
      <w:r w:rsidRPr="00C662A7">
        <w:rPr>
          <w:i/>
        </w:rPr>
        <w:t>ccdb</w:t>
      </w:r>
      <w:r>
        <w:t xml:space="preserve"> OneShot </w:t>
      </w:r>
      <w:r>
        <w:rPr>
          <w:i/>
        </w:rPr>
        <w:t xml:space="preserve">E. coli </w:t>
      </w:r>
      <w:r>
        <w:t>cells (</w:t>
      </w:r>
      <w:r w:rsidRPr="007A6A9A">
        <w:t>Invitrogen</w:t>
      </w:r>
      <w:r>
        <w:t xml:space="preserve">) as per the manufacturer’s protocol (Chloramphenicol and Ampicillin were used at 100µg/ml as necessary). Successful ligation was confirmed with PCR and gel electrophoresis. </w:t>
      </w:r>
    </w:p>
    <w:p w14:paraId="23B0DA12" w14:textId="77777777" w:rsidR="0084644E" w:rsidRDefault="0084644E" w:rsidP="0084644E">
      <w:pPr>
        <w:pStyle w:val="Thesisnormal"/>
      </w:pPr>
    </w:p>
    <w:p w14:paraId="52AAA5CD" w14:textId="77777777" w:rsidR="0084644E" w:rsidRDefault="0084644E" w:rsidP="0084644E">
      <w:pPr>
        <w:pStyle w:val="Heading4"/>
        <w:ind w:left="720" w:firstLine="720"/>
      </w:pPr>
      <w:r>
        <w:t>2.7.7.3 Transfer of gateway clones into integration vectors</w:t>
      </w:r>
    </w:p>
    <w:p w14:paraId="77A78B53" w14:textId="77777777" w:rsidR="0084644E" w:rsidRDefault="0084644E" w:rsidP="0084644E">
      <w:pPr>
        <w:pStyle w:val="Thesisnormal"/>
      </w:pPr>
    </w:p>
    <w:p w14:paraId="7198F7E5" w14:textId="77777777" w:rsidR="0084644E" w:rsidRDefault="0084644E" w:rsidP="0084644E">
      <w:pPr>
        <w:pStyle w:val="Thesisnormal"/>
      </w:pPr>
      <w:r>
        <w:t>An LR clonase reaction (</w:t>
      </w:r>
      <w:r w:rsidRPr="007A6A9A">
        <w:t>Invitrogen</w:t>
      </w:r>
      <w:r>
        <w:t>) was used to combine the enhancer containing PCR8/GW/TOPO gateway vectors with the GFP or RFP containing pBPGUw destination vectors. Following the manufacturers protocol, 150ng of the gateway vector was combined with 150ng/µl of the destination vector with water being added to a final volume of 8µl. 2μl  of the LR clonase was added and reactions incubated at 25</w:t>
      </w:r>
      <w:r>
        <w:sym w:font="Symbol" w:char="F0B0"/>
      </w:r>
      <w:r>
        <w:t xml:space="preserve">C for 1 hour. Reactions were </w:t>
      </w:r>
      <w:r>
        <w:lastRenderedPageBreak/>
        <w:t>terminated with 1µl of Proteinase K and incubation at 37</w:t>
      </w:r>
      <w:r>
        <w:sym w:font="Symbol" w:char="F0B0"/>
      </w:r>
      <w:r>
        <w:t>C for 10 minutes. Reactions were subsequently used to transform DH5</w:t>
      </w:r>
      <w:r>
        <w:sym w:font="Symbol" w:char="F061"/>
      </w:r>
      <w:r>
        <w:t xml:space="preserve"> cells (2.7.5). Successful cloning was confirmed by sequencing and gel electrophoresis. </w:t>
      </w:r>
    </w:p>
    <w:p w14:paraId="146AF911" w14:textId="77777777" w:rsidR="0084644E" w:rsidRDefault="0084644E" w:rsidP="0084644E">
      <w:pPr>
        <w:pStyle w:val="Thesisnormal"/>
      </w:pPr>
    </w:p>
    <w:p w14:paraId="66E1B1CD" w14:textId="77777777" w:rsidR="0084644E" w:rsidRDefault="0084644E" w:rsidP="0084644E">
      <w:pPr>
        <w:pStyle w:val="Heading4"/>
        <w:ind w:left="720" w:firstLine="720"/>
      </w:pPr>
      <w:r>
        <w:t>2.7.7.4 Injection of integration vectors into flies</w:t>
      </w:r>
    </w:p>
    <w:p w14:paraId="7B6F0140" w14:textId="77777777" w:rsidR="0084644E" w:rsidRDefault="0084644E" w:rsidP="0084644E">
      <w:pPr>
        <w:pStyle w:val="Thesisnormal"/>
      </w:pPr>
    </w:p>
    <w:p w14:paraId="6C8FF726" w14:textId="77777777" w:rsidR="0084644E" w:rsidRDefault="0084644E" w:rsidP="0084644E">
      <w:pPr>
        <w:pStyle w:val="Thesisnormal"/>
      </w:pPr>
      <w:r>
        <w:t>DNA from the LR clonase reactions was sent to Genetivision for PhiC31 mediated injection into one of three sites:</w:t>
      </w:r>
    </w:p>
    <w:p w14:paraId="6A09533B" w14:textId="77777777" w:rsidR="0084644E" w:rsidRDefault="0084644E" w:rsidP="00750C6F">
      <w:pPr>
        <w:pStyle w:val="Thesisnormal"/>
        <w:numPr>
          <w:ilvl w:val="0"/>
          <w:numId w:val="3"/>
        </w:numPr>
      </w:pPr>
      <w:r>
        <w:t>VK1 (chromosome 2)</w:t>
      </w:r>
    </w:p>
    <w:p w14:paraId="02CAE3F7" w14:textId="77777777" w:rsidR="0084644E" w:rsidRDefault="0084644E" w:rsidP="00750C6F">
      <w:pPr>
        <w:pStyle w:val="Thesisnormal"/>
        <w:numPr>
          <w:ilvl w:val="0"/>
          <w:numId w:val="3"/>
        </w:numPr>
      </w:pPr>
      <w:r>
        <w:t>attP2 (chromosome 3)</w:t>
      </w:r>
    </w:p>
    <w:p w14:paraId="3C9832ED" w14:textId="77777777" w:rsidR="0084644E" w:rsidRDefault="0084644E" w:rsidP="00750C6F">
      <w:pPr>
        <w:pStyle w:val="Thesisnormal"/>
        <w:numPr>
          <w:ilvl w:val="0"/>
          <w:numId w:val="3"/>
        </w:numPr>
      </w:pPr>
      <w:r>
        <w:t>Su(Hw) attP1 (chromosome 3)</w:t>
      </w:r>
    </w:p>
    <w:p w14:paraId="35E690C8" w14:textId="77777777" w:rsidR="0084644E" w:rsidRDefault="0084644E" w:rsidP="0084644E">
      <w:pPr>
        <w:pStyle w:val="Thesisnormal"/>
      </w:pPr>
    </w:p>
    <w:p w14:paraId="694D1B9A" w14:textId="40997DCD" w:rsidR="0084644E" w:rsidRDefault="0084644E" w:rsidP="0084644E">
      <w:pPr>
        <w:pStyle w:val="Thesisnormal"/>
      </w:pPr>
      <w:r>
        <w:t xml:space="preserve">Transgenic fly lines were crossed to balancer lines (either </w:t>
      </w:r>
      <w:r w:rsidRPr="00E956CD">
        <w:rPr>
          <w:i/>
        </w:rPr>
        <w:t>w</w:t>
      </w:r>
      <w:r w:rsidRPr="00E956CD">
        <w:rPr>
          <w:i/>
          <w:vertAlign w:val="superscript"/>
        </w:rPr>
        <w:t>1118</w:t>
      </w:r>
      <w:r w:rsidRPr="00E956CD">
        <w:rPr>
          <w:i/>
        </w:rPr>
        <w:t>;If/Cyo dfd</w:t>
      </w:r>
      <w:r>
        <w:t xml:space="preserve"> or </w:t>
      </w:r>
      <w:r w:rsidRPr="00E956CD">
        <w:rPr>
          <w:i/>
        </w:rPr>
        <w:t>w</w:t>
      </w:r>
      <w:r w:rsidRPr="00E956CD">
        <w:rPr>
          <w:i/>
          <w:vertAlign w:val="superscript"/>
        </w:rPr>
        <w:t>1118</w:t>
      </w:r>
      <w:r w:rsidRPr="00E956CD">
        <w:rPr>
          <w:i/>
        </w:rPr>
        <w:t>;;</w:t>
      </w:r>
      <w:r>
        <w:rPr>
          <w:i/>
        </w:rPr>
        <w:t>Dr/TM</w:t>
      </w:r>
      <w:r w:rsidRPr="00E956CD">
        <w:rPr>
          <w:i/>
        </w:rPr>
        <w:t>6</w:t>
      </w:r>
      <w:r>
        <w:rPr>
          <w:i/>
        </w:rPr>
        <w:t xml:space="preserve">B </w:t>
      </w:r>
      <w:r w:rsidRPr="00E956CD">
        <w:rPr>
          <w:i/>
        </w:rPr>
        <w:t>dfd</w:t>
      </w:r>
      <w:r>
        <w:t xml:space="preserve">) </w:t>
      </w:r>
      <w:r>
        <w:fldChar w:fldCharType="begin"/>
      </w:r>
      <w:r w:rsidR="000A209C">
        <w:instrText xml:space="preserve"> ADDIN ZOTERO_ITEM CSL_CITATION {"citationID":"GOxaHMr5","properties":{"formattedCitation":"(323)","plainCitation":"(323)","noteIndex":0},"citationItems":[{"id":1767,"uris":["http://zotero.org/users/952979/items/UX6SURIC"],"uri":["http://zotero.org/users/952979/items/UX6SURIC"],"itemData":{"id":1767,"type":"article-journal","title":"A New Family of Drosophila Balancer Chromosomes With a w− dfd-GMR Yellow Fluorescent Protein Marker","container-title":"Genetics","page":"2255-2257","volume":"174","issue":"4","source":"PubMed Central","abstract":"We report new w− fluorescent balancers scorable from stage 13 through adulthood that bear a nuclear-localized yellow fluorescent protein marker directly driven by dfd and GMR enhancer elements. The utility of this marker is enhanced by identification of an anti-GFP/yellow fluorescent protein (YFP) serum that is compatible with heat fixation.","DOI":"10.1534/genetics.106.063461","ISSN":"0016-6731","note":"PMID: 17057238\nPMCID: PMC1698648","journalAbbreviation":"Genetics","author":[{"family":"Le","given":"Tien"},{"family":"Liang","given":"Zhiguo"},{"family":"Patel","given":"Heeren"},{"family":"Yu","given":"Marcus H."},{"family":"Sivasubramaniam","given":"Gitanjali"},{"family":"Slovitt","given":"Matthew"},{"family":"Tanentzapf","given":"Guy"},{"family":"Mohanty","given":"Nihar"},{"family":"Paul","given":"Sarah M."},{"family":"Wu","given":"Victoria M."},{"family":"Beitel","given":"Greg J."}],"issued":{"date-parts":[["2006",12]]}}}],"schema":"https://github.com/citation-style-language/schema/raw/master/csl-citation.json"} </w:instrText>
      </w:r>
      <w:r>
        <w:fldChar w:fldCharType="separate"/>
      </w:r>
      <w:r w:rsidR="004A1963" w:rsidRPr="004A1963">
        <w:rPr>
          <w:rFonts w:ascii="Calibri" w:hAnsi="Calibri"/>
        </w:rPr>
        <w:t>(323)</w:t>
      </w:r>
      <w:r>
        <w:fldChar w:fldCharType="end"/>
      </w:r>
      <w:r>
        <w:t xml:space="preserve"> and then the F2 generation were screened for the presence of a mini-white. Positive flies were then crossed to the same balancer lines to create stable stocks. Males from each stock were taken for DNA extraction with GFP or RFP presence being assessed with PCR (as previously described). </w:t>
      </w:r>
    </w:p>
    <w:p w14:paraId="4E28BFB5" w14:textId="77777777" w:rsidR="0084644E" w:rsidRDefault="0084644E" w:rsidP="0084644E">
      <w:pPr>
        <w:pStyle w:val="Thesisnormal"/>
      </w:pPr>
    </w:p>
    <w:p w14:paraId="0C4F57A7" w14:textId="77777777" w:rsidR="0084644E" w:rsidRDefault="0084644E" w:rsidP="0084644E">
      <w:pPr>
        <w:pStyle w:val="Thesisnormal"/>
      </w:pPr>
    </w:p>
    <w:p w14:paraId="5AE24D6D" w14:textId="77777777" w:rsidR="0084644E" w:rsidRDefault="0084644E" w:rsidP="0084644E">
      <w:pPr>
        <w:pStyle w:val="Thesisnormal"/>
      </w:pPr>
    </w:p>
    <w:p w14:paraId="36C12B6F" w14:textId="77777777" w:rsidR="0084644E" w:rsidRDefault="0084644E" w:rsidP="0084644E">
      <w:pPr>
        <w:pStyle w:val="Thesisnormal"/>
      </w:pPr>
    </w:p>
    <w:p w14:paraId="2BAC1D30" w14:textId="77777777" w:rsidR="0084644E" w:rsidRDefault="0084644E" w:rsidP="0084644E">
      <w:pPr>
        <w:pStyle w:val="Thesisnormal"/>
      </w:pPr>
    </w:p>
    <w:p w14:paraId="04E88871" w14:textId="77777777" w:rsidR="0084644E" w:rsidRDefault="0084644E" w:rsidP="0084644E">
      <w:pPr>
        <w:pStyle w:val="Thesisnormal"/>
      </w:pPr>
    </w:p>
    <w:p w14:paraId="070C13E4" w14:textId="77777777" w:rsidR="00B46718" w:rsidRDefault="00B46718" w:rsidP="0084644E">
      <w:pPr>
        <w:pStyle w:val="Thesisnormal"/>
      </w:pPr>
    </w:p>
    <w:p w14:paraId="7563D4A9" w14:textId="77777777" w:rsidR="00B46718" w:rsidRDefault="00B46718" w:rsidP="0084644E">
      <w:pPr>
        <w:pStyle w:val="Thesisnormal"/>
      </w:pPr>
    </w:p>
    <w:p w14:paraId="11E25880" w14:textId="77777777" w:rsidR="00B46718" w:rsidRDefault="00B46718" w:rsidP="0084644E">
      <w:pPr>
        <w:pStyle w:val="Thesisnormal"/>
      </w:pPr>
    </w:p>
    <w:p w14:paraId="3369D8C7" w14:textId="77777777" w:rsidR="00B46718" w:rsidRDefault="00B46718" w:rsidP="0084644E">
      <w:pPr>
        <w:pStyle w:val="Thesisnormal"/>
      </w:pPr>
    </w:p>
    <w:p w14:paraId="7EAE1F8F" w14:textId="77777777" w:rsidR="00B46718" w:rsidRDefault="00B46718" w:rsidP="0084644E">
      <w:pPr>
        <w:pStyle w:val="Thesisnormal"/>
      </w:pPr>
    </w:p>
    <w:p w14:paraId="78FDA5E9" w14:textId="77777777" w:rsidR="00B46718" w:rsidRDefault="00B46718" w:rsidP="0084644E">
      <w:pPr>
        <w:pStyle w:val="Thesisnormal"/>
      </w:pPr>
    </w:p>
    <w:p w14:paraId="35D2CA51" w14:textId="77777777" w:rsidR="00B46718" w:rsidRDefault="00B46718" w:rsidP="0084644E">
      <w:pPr>
        <w:pStyle w:val="Thesisnormal"/>
      </w:pPr>
    </w:p>
    <w:p w14:paraId="72A843D7" w14:textId="77777777" w:rsidR="00B46718" w:rsidRDefault="00B46718" w:rsidP="0084644E">
      <w:pPr>
        <w:pStyle w:val="Thesisnormal"/>
      </w:pPr>
    </w:p>
    <w:p w14:paraId="3C3F74B5" w14:textId="77777777" w:rsidR="00B46718" w:rsidRDefault="00B46718" w:rsidP="0084644E">
      <w:pPr>
        <w:pStyle w:val="Thesisnormal"/>
      </w:pPr>
    </w:p>
    <w:p w14:paraId="10987424" w14:textId="75C4C350" w:rsidR="006A45E9" w:rsidRDefault="0084644E" w:rsidP="0084644E">
      <w:pPr>
        <w:pStyle w:val="Thesisnormal"/>
      </w:pPr>
      <w:r w:rsidRPr="009412A0">
        <w:rPr>
          <w:noProof/>
          <w:lang w:eastAsia="en-GB"/>
        </w:rPr>
        <w:lastRenderedPageBreak/>
        <w:drawing>
          <wp:anchor distT="0" distB="0" distL="114300" distR="114300" simplePos="0" relativeHeight="251664384" behindDoc="0" locked="0" layoutInCell="1" allowOverlap="1" wp14:anchorId="4A25E841" wp14:editId="2B4BE97F">
            <wp:simplePos x="0" y="0"/>
            <wp:positionH relativeFrom="column">
              <wp:posOffset>16707</wp:posOffset>
            </wp:positionH>
            <wp:positionV relativeFrom="paragraph">
              <wp:posOffset>264161</wp:posOffset>
            </wp:positionV>
            <wp:extent cx="6174543" cy="5791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80545" cy="5796830"/>
                    </a:xfrm>
                    <a:prstGeom prst="rect">
                      <a:avLst/>
                    </a:prstGeom>
                  </pic:spPr>
                </pic:pic>
              </a:graphicData>
            </a:graphic>
            <wp14:sizeRelH relativeFrom="page">
              <wp14:pctWidth>0</wp14:pctWidth>
            </wp14:sizeRelH>
            <wp14:sizeRelV relativeFrom="page">
              <wp14:pctHeight>0</wp14:pctHeight>
            </wp14:sizeRelV>
          </wp:anchor>
        </w:drawing>
      </w:r>
    </w:p>
    <w:p w14:paraId="1885DBC3" w14:textId="77777777" w:rsidR="00381103" w:rsidRDefault="00381103" w:rsidP="0084644E">
      <w:pPr>
        <w:pStyle w:val="Thesisnormal"/>
      </w:pPr>
    </w:p>
    <w:p w14:paraId="3B39DF3D" w14:textId="77777777" w:rsidR="0084644E" w:rsidRDefault="0084644E" w:rsidP="0084644E">
      <w:pPr>
        <w:pStyle w:val="Thesisnormal"/>
      </w:pPr>
    </w:p>
    <w:p w14:paraId="3635FD8E" w14:textId="77777777" w:rsidR="0084644E" w:rsidRDefault="0084644E" w:rsidP="0084644E">
      <w:pPr>
        <w:pStyle w:val="Thesisnormal"/>
      </w:pPr>
    </w:p>
    <w:p w14:paraId="504CF49F" w14:textId="77777777" w:rsidR="0084644E" w:rsidRDefault="0084644E" w:rsidP="0084644E">
      <w:pPr>
        <w:pStyle w:val="Thesisnormal"/>
      </w:pPr>
    </w:p>
    <w:p w14:paraId="33514EE8" w14:textId="77777777" w:rsidR="0084644E" w:rsidRDefault="0084644E" w:rsidP="0084644E">
      <w:pPr>
        <w:pStyle w:val="Thesisnormal"/>
      </w:pPr>
    </w:p>
    <w:p w14:paraId="514CD746" w14:textId="77777777" w:rsidR="0084644E" w:rsidRDefault="0084644E" w:rsidP="0084644E">
      <w:pPr>
        <w:pStyle w:val="Thesisnormal"/>
      </w:pPr>
    </w:p>
    <w:p w14:paraId="0BEB6CBA" w14:textId="77777777" w:rsidR="0084644E" w:rsidRDefault="0084644E" w:rsidP="0084644E">
      <w:pPr>
        <w:pStyle w:val="Thesisnormal"/>
      </w:pPr>
    </w:p>
    <w:p w14:paraId="61B6DC4E" w14:textId="77777777" w:rsidR="0084644E" w:rsidRDefault="0084644E" w:rsidP="0084644E">
      <w:pPr>
        <w:pStyle w:val="Thesisnormal"/>
      </w:pPr>
    </w:p>
    <w:p w14:paraId="3F2E9A24" w14:textId="77777777" w:rsidR="0084644E" w:rsidRDefault="0084644E" w:rsidP="0084644E">
      <w:pPr>
        <w:pStyle w:val="Thesisnormal"/>
      </w:pPr>
    </w:p>
    <w:p w14:paraId="79DC2FF1" w14:textId="77777777" w:rsidR="0084644E" w:rsidRDefault="0084644E" w:rsidP="0084644E">
      <w:pPr>
        <w:pStyle w:val="Thesisnormal"/>
      </w:pPr>
    </w:p>
    <w:p w14:paraId="0F281ABA" w14:textId="77777777" w:rsidR="0084644E" w:rsidRDefault="0084644E" w:rsidP="0084644E">
      <w:pPr>
        <w:pStyle w:val="Thesisnormal"/>
      </w:pPr>
    </w:p>
    <w:p w14:paraId="109613E3" w14:textId="77777777" w:rsidR="0084644E" w:rsidRDefault="0084644E" w:rsidP="0084644E">
      <w:pPr>
        <w:pStyle w:val="Thesisnormal"/>
      </w:pPr>
    </w:p>
    <w:p w14:paraId="6885956C" w14:textId="77777777" w:rsidR="0084644E" w:rsidRDefault="0084644E" w:rsidP="0084644E">
      <w:pPr>
        <w:pStyle w:val="Thesisnormal"/>
      </w:pPr>
    </w:p>
    <w:p w14:paraId="67C245A5" w14:textId="77777777" w:rsidR="0084644E" w:rsidRDefault="0084644E" w:rsidP="0084644E">
      <w:pPr>
        <w:pStyle w:val="Thesisnormal"/>
      </w:pPr>
    </w:p>
    <w:p w14:paraId="22F6BCFC" w14:textId="77777777" w:rsidR="0084644E" w:rsidRDefault="0084644E" w:rsidP="0084644E">
      <w:pPr>
        <w:pStyle w:val="Thesisnormal"/>
      </w:pPr>
    </w:p>
    <w:p w14:paraId="6EBCD48E" w14:textId="77777777" w:rsidR="0084644E" w:rsidRDefault="0084644E" w:rsidP="0084644E">
      <w:pPr>
        <w:pStyle w:val="Thesisnormal"/>
      </w:pPr>
    </w:p>
    <w:p w14:paraId="5D333096" w14:textId="77777777" w:rsidR="0084644E" w:rsidRDefault="0084644E" w:rsidP="0084644E">
      <w:pPr>
        <w:pStyle w:val="Thesisnormal"/>
      </w:pPr>
    </w:p>
    <w:p w14:paraId="0FDBE501" w14:textId="77777777" w:rsidR="0084644E" w:rsidRDefault="0084644E" w:rsidP="0084644E">
      <w:pPr>
        <w:pStyle w:val="Thesisnormal"/>
      </w:pPr>
    </w:p>
    <w:p w14:paraId="01ED0A2B" w14:textId="77777777" w:rsidR="0084644E" w:rsidRDefault="0084644E" w:rsidP="0084644E">
      <w:pPr>
        <w:pStyle w:val="Thesisnormal"/>
      </w:pPr>
    </w:p>
    <w:p w14:paraId="7DABCCF0" w14:textId="77777777" w:rsidR="0084644E" w:rsidRDefault="0084644E" w:rsidP="0084644E">
      <w:pPr>
        <w:pStyle w:val="Thesisnormal"/>
      </w:pPr>
    </w:p>
    <w:p w14:paraId="42E211AB" w14:textId="77777777" w:rsidR="0084644E" w:rsidRDefault="0084644E" w:rsidP="0084644E">
      <w:pPr>
        <w:pStyle w:val="Thesisnormal"/>
      </w:pPr>
    </w:p>
    <w:p w14:paraId="75CCAF0D" w14:textId="77777777" w:rsidR="0084644E" w:rsidRPr="0088280A" w:rsidRDefault="0084644E" w:rsidP="0084644E">
      <w:pPr>
        <w:pStyle w:val="NoSpacing"/>
        <w:rPr>
          <w:b/>
        </w:rPr>
      </w:pPr>
      <w:r w:rsidRPr="0088280A">
        <w:rPr>
          <w:b/>
        </w:rPr>
        <w:t xml:space="preserve">Figure 2.1 Cloning strategy for creating VT-GFP or VT-RFP plasmids. </w:t>
      </w:r>
    </w:p>
    <w:p w14:paraId="48646F12" w14:textId="77777777" w:rsidR="0084644E" w:rsidRPr="0088280A" w:rsidRDefault="0084644E" w:rsidP="0084644E">
      <w:pPr>
        <w:pStyle w:val="NoSpacing"/>
      </w:pPr>
      <w:r w:rsidRPr="0088280A">
        <w:t xml:space="preserve">Enhancers were PCR amplified and cloned into a PCR8/GW/TOPO vector. In parallel, nlsGFP or nlsRFP were subcloned into a pBPGUw vector, replacing the GAL4 sequence. The enhancer-PCR8 vecors were then cloned via a gateway reaction into the pBPGUw vectors containing nlsGFP or nlsRFP. </w:t>
      </w:r>
    </w:p>
    <w:p w14:paraId="5005EE5D" w14:textId="77777777" w:rsidR="0084644E" w:rsidRDefault="0084644E" w:rsidP="0084644E">
      <w:pPr>
        <w:pStyle w:val="Thesisnormal"/>
      </w:pPr>
    </w:p>
    <w:p w14:paraId="0E96440C" w14:textId="77777777" w:rsidR="0084644E" w:rsidRDefault="0084644E" w:rsidP="0084644E">
      <w:pPr>
        <w:spacing w:line="360" w:lineRule="auto"/>
      </w:pPr>
    </w:p>
    <w:p w14:paraId="35BD472B" w14:textId="77777777" w:rsidR="0084644E" w:rsidRDefault="0084644E" w:rsidP="0084644E"/>
    <w:p w14:paraId="3960090C" w14:textId="77777777" w:rsidR="0084644E" w:rsidRPr="00A60BEA" w:rsidRDefault="0084644E" w:rsidP="0084644E">
      <w:pPr>
        <w:spacing w:line="360" w:lineRule="auto"/>
      </w:pPr>
    </w:p>
    <w:p w14:paraId="790B85BE" w14:textId="77777777" w:rsidR="00811D0C" w:rsidRDefault="00811D0C" w:rsidP="001D1AB8">
      <w:pPr>
        <w:sectPr w:rsidR="00811D0C" w:rsidSect="00504144">
          <w:footerReference w:type="default" r:id="rId15"/>
          <w:pgSz w:w="11906" w:h="16838"/>
          <w:pgMar w:top="1440" w:right="1440" w:bottom="1440" w:left="1440" w:header="708" w:footer="708" w:gutter="0"/>
          <w:pgNumType w:start="1"/>
          <w:cols w:space="708"/>
          <w:docGrid w:linePitch="360"/>
        </w:sectPr>
      </w:pPr>
    </w:p>
    <w:p w14:paraId="12324AB4" w14:textId="77777777" w:rsidR="004B5501" w:rsidRDefault="004B5501" w:rsidP="004B5501">
      <w:pPr>
        <w:pStyle w:val="Heading1"/>
        <w:spacing w:line="360" w:lineRule="auto"/>
      </w:pPr>
      <w:bookmarkStart w:id="135" w:name="_Toc4589313"/>
      <w:bookmarkStart w:id="136" w:name="_Toc505952677"/>
      <w:r>
        <w:lastRenderedPageBreak/>
        <w:t xml:space="preserve">Chapter 3. Identification of Macrophage Subpopulations in </w:t>
      </w:r>
      <w:r w:rsidRPr="00FE2687">
        <w:rPr>
          <w:i/>
        </w:rPr>
        <w:t>Drosophila</w:t>
      </w:r>
      <w:bookmarkEnd w:id="135"/>
    </w:p>
    <w:p w14:paraId="2E68A0A0" w14:textId="77777777" w:rsidR="004B5501" w:rsidRDefault="004B5501" w:rsidP="004B5501">
      <w:pPr>
        <w:pStyle w:val="Thesisnormal"/>
      </w:pPr>
    </w:p>
    <w:p w14:paraId="7EE6EDAB" w14:textId="77777777" w:rsidR="004B5501" w:rsidRDefault="004B5501" w:rsidP="004B5501">
      <w:pPr>
        <w:pStyle w:val="Heading2"/>
        <w:spacing w:line="360" w:lineRule="auto"/>
      </w:pPr>
      <w:bookmarkStart w:id="137" w:name="_Toc4589314"/>
      <w:r>
        <w:t>3.1 Introduction</w:t>
      </w:r>
      <w:bookmarkEnd w:id="137"/>
    </w:p>
    <w:p w14:paraId="7C38A743" w14:textId="77777777" w:rsidR="004B5501" w:rsidRDefault="004B5501" w:rsidP="004B5501">
      <w:pPr>
        <w:pStyle w:val="Thesisnormal"/>
      </w:pPr>
    </w:p>
    <w:p w14:paraId="2475B625" w14:textId="28B3BD8E" w:rsidR="004B5501" w:rsidRPr="00B642F6" w:rsidRDefault="004B5501" w:rsidP="004B5501">
      <w:pPr>
        <w:pStyle w:val="Thesisnormal"/>
      </w:pPr>
      <w:r>
        <w:t xml:space="preserve">Macrophage heterogeneity has become a highly complex field with cell culture systems compounding the problematic literature </w:t>
      </w:r>
      <w:r>
        <w:fldChar w:fldCharType="begin"/>
      </w:r>
      <w:r w:rsidR="000A209C">
        <w:instrText xml:space="preserve"> ADDIN ZOTERO_ITEM CSL_CITATION {"citationID":"ecXOnB5j","properties":{"formattedCitation":"(26)","plainCitation":"(26)","noteIndex":0},"citationItems":[{"id":1369,"uris":["http://zotero.org/users/952979/items/MIAUSN3M"],"uri":["http://zotero.org/users/952979/items/MIAUSN3M"],"itemData":{"id":1369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fldChar w:fldCharType="separate"/>
      </w:r>
      <w:r w:rsidR="004A1963" w:rsidRPr="004A1963">
        <w:rPr>
          <w:rFonts w:ascii="Calibri" w:hAnsi="Calibri"/>
        </w:rPr>
        <w:t>(26)</w:t>
      </w:r>
      <w:r>
        <w:fldChar w:fldCharType="end"/>
      </w:r>
      <w:r>
        <w:t xml:space="preserve">. Moreover, the spectrum of macrophage activation states has been poorly studied </w:t>
      </w:r>
      <w:r>
        <w:rPr>
          <w:i/>
        </w:rPr>
        <w:t>in vivo</w:t>
      </w:r>
      <w:r>
        <w:t xml:space="preserve">. The reduced redundancy and </w:t>
      </w:r>
      <w:r>
        <w:rPr>
          <w:i/>
        </w:rPr>
        <w:t>in vivo</w:t>
      </w:r>
      <w:r>
        <w:t xml:space="preserve"> imaging capabilities make </w:t>
      </w:r>
      <w:r>
        <w:rPr>
          <w:i/>
        </w:rPr>
        <w:t>Drosophila</w:t>
      </w:r>
      <w:r>
        <w:t xml:space="preserve"> an ideal model organism to study macrophage behaviour </w:t>
      </w:r>
      <w:r>
        <w:fldChar w:fldCharType="begin"/>
      </w:r>
      <w:r w:rsidR="000A209C">
        <w:instrText xml:space="preserve"> ADDIN ZOTERO_ITEM CSL_CITATION {"citationID":"I4XN5H2j","properties":{"formattedCitation":"(164,166)","plainCitation":"(164,166)","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fldChar w:fldCharType="separate"/>
      </w:r>
      <w:r w:rsidR="004A1963" w:rsidRPr="004A1963">
        <w:rPr>
          <w:rFonts w:ascii="Calibri" w:hAnsi="Calibri"/>
        </w:rPr>
        <w:t>(164,166)</w:t>
      </w:r>
      <w:r>
        <w:fldChar w:fldCharType="end"/>
      </w:r>
      <w:r>
        <w:t xml:space="preserve">. As discussed in the introduction, there has been limited study of macrophage subpopulations within </w:t>
      </w:r>
      <w:r>
        <w:rPr>
          <w:i/>
        </w:rPr>
        <w:t>Drosophila</w:t>
      </w:r>
      <w:r>
        <w:t xml:space="preserve">. We therefore wished to establish the existence of hemocyte subtypes in </w:t>
      </w:r>
      <w:r>
        <w:rPr>
          <w:i/>
        </w:rPr>
        <w:t>Drosophila</w:t>
      </w:r>
      <w:r>
        <w:t xml:space="preserve"> and characterise the behaviour of any populations</w:t>
      </w:r>
      <w:r w:rsidRPr="00820D8E">
        <w:t xml:space="preserve"> </w:t>
      </w:r>
      <w:r>
        <w:t>identified.</w:t>
      </w:r>
    </w:p>
    <w:p w14:paraId="52D96635" w14:textId="77777777" w:rsidR="004B5501" w:rsidRDefault="004B5501" w:rsidP="004B5501">
      <w:pPr>
        <w:pStyle w:val="Thesisnormal"/>
      </w:pPr>
    </w:p>
    <w:p w14:paraId="7932E501" w14:textId="77777777" w:rsidR="004B5501" w:rsidRDefault="004B5501" w:rsidP="004B5501">
      <w:pPr>
        <w:pStyle w:val="Heading3"/>
      </w:pPr>
      <w:bookmarkStart w:id="138" w:name="_Toc4589315"/>
      <w:r>
        <w:t>3.1.1 DNA enhancers</w:t>
      </w:r>
      <w:bookmarkEnd w:id="138"/>
      <w:r>
        <w:t xml:space="preserve"> </w:t>
      </w:r>
    </w:p>
    <w:p w14:paraId="30884AD4" w14:textId="77777777" w:rsidR="004B5501" w:rsidRDefault="004B5501" w:rsidP="004B5501">
      <w:pPr>
        <w:pStyle w:val="Thesisnormal"/>
      </w:pPr>
    </w:p>
    <w:p w14:paraId="77AB7D68" w14:textId="41797407" w:rsidR="004B5501" w:rsidRDefault="004B5501" w:rsidP="004B5501">
      <w:pPr>
        <w:pStyle w:val="Thesisnormal"/>
      </w:pPr>
      <w:r>
        <w:t xml:space="preserve">There are numerous layers to gene regulation, with enhancers forming one such layer </w:t>
      </w:r>
      <w:r>
        <w:fldChar w:fldCharType="begin"/>
      </w:r>
      <w:r w:rsidR="000A209C">
        <w:instrText xml:space="preserve"> ADDIN ZOTERO_ITEM CSL_CITATION {"citationID":"a1gmhv4ipu5","properties":{"formattedCitation":"(324)","plainCitation":"(324)","noteIndex":0},"citationItems":[{"id":1678,"uris":["http://zotero.org/users/952979/items/G9U5PGUM"],"uri":["http://zotero.org/users/952979/items/G9U5PGUM"],"itemData":{"id":1678,"type":"article-journal","title":"Functional and mechanistic diversity of distal transcription enhancers","container-title":"Cell","page":"327-339","volume":"144","issue":"3","source":"PubMed","abstract":"Biological differences among metazoans and between cell types in a given organism arise in large part due to differences in gene expression patterns. Gene-distal enhancers are key contributors to these expression patterns, exhibiting both sequence diversity and cell type specificity. Studies of long-range interactions indicate that enhancers are often important determinants of nuclear organization, contributing to a general model for enhancer function that involves direct enhancer-promoter contact. However, mechanisms for enhancer function are emerging that do not fit solely within such a model, suggesting that enhancers as a class of DNA regulatory element may be functionally and mechanistically diverse.","DOI":"10.1016/j.cell.2011.01.024","ISSN":"1097-4172","note":"PMID: 21295696\nPMCID: PMC3742076","journalAbbreviation":"Cell","language":"eng","author":[{"family":"Bulger","given":"Michael"},{"family":"Groudine","given":"Mark"}],"issued":{"date-parts":[["2011",2,4]]}}}],"schema":"https://github.com/citation-style-language/schema/raw/master/csl-citation.json"} </w:instrText>
      </w:r>
      <w:r>
        <w:fldChar w:fldCharType="separate"/>
      </w:r>
      <w:r w:rsidR="004A1963" w:rsidRPr="004A1963">
        <w:rPr>
          <w:rFonts w:ascii="Calibri" w:hAnsi="Calibri"/>
        </w:rPr>
        <w:t>(324)</w:t>
      </w:r>
      <w:r>
        <w:fldChar w:fldCharType="end"/>
      </w:r>
      <w:r>
        <w:t xml:space="preserve">. DNA enhancers act to increase the transcription of a gene to a level higher than that in the absence of the enhancer </w:t>
      </w:r>
      <w:r>
        <w:fldChar w:fldCharType="begin"/>
      </w:r>
      <w:r w:rsidR="000A209C">
        <w:instrText xml:space="preserve"> ADDIN ZOTERO_ITEM CSL_CITATION {"citationID":"jsXkLLR0","properties":{"formattedCitation":"(325,326)","plainCitation":"(325,326)","noteIndex":0},"citationItems":[{"id":1672,"uris":["http://zotero.org/users/952979/items/248IHXSL"],"uri":["http://zotero.org/users/952979/items/248IHXSL"],"itemData":{"id":1672,"type":"article-journal","title":"Regulatory regions in DNA: promoters, enhancers, silencers, and insulators","container-title":"Methods in Molecular Biology (Clifton, N.J.)","page":"33-42","volume":"674","source":"PubMed","abstract":"One of the mechanisms through which protein levels in the cell are controlled is through transcriptional regulation. Certain regions, called cis-regulatory elements, on the DNA are footprints for the trans-acting proteins involved in transcription, either for the positioning of the basic transcriptional machinery or for the regulation - in simple terms turn on or turn off - thereof. The basic transcriptional machinery is DNA-dependent RNA polymerase (RNAP) which synthesizes various types of RNA and core promoters on the DNA are used to position the RNAP. Other nearby regions will regulate the transcription: in prokaryotic organisms operators are involved; in eukaryotic organisms, proximal promoter regions, enhancers, silencers, and insulators are present. This chapter will describe the various DNA regions involved in transcription and transcriptional regulation.","DOI":"10.1007/978-1-60761-854-6_3","ISSN":"1940-6029","note":"PMID: 20827584","shortTitle":"Regulatory regions in DNA","journalAbbreviation":"Methods Mol. Biol.","language":"eng","author":[{"family":"Riethoven","given":"Jean-Jack M."}],"issued":{"date-parts":[["2010"]]}}},{"id":1680,"uris":["http://zotero.org/users/952979/items/R2GSCW6N"],"uri":["http://zotero.org/users/952979/items/R2GSCW6N"],"itemData":{"id":1680,"type":"article-journal","title":"Enhancers: five essential questions","container-title":"Nature reviews. Genetics","page":"288-295","volume":"14","issue":"4","source":"PubMed Central","abstract":"It is estimated that the human genome contains hundreds of thousands of enhancers, so understanding these gene-regulatory elements is a crucial goal. Several fundamental questions need to be addressed about enhancers, such as how do we identify them all, how do they work, and how do they contribute to disease and evolution? Five prominent researchers in this field look at how much we know already and what needs to be done to answer these questions.","DOI":"10.1038/nrg3458","ISSN":"1471-0056","note":"PMID: 23503198\nPMCID: PMC4445073","shortTitle":"Enhancers","journalAbbreviation":"Nat Rev Genet","author":[{"family":"Pennacchio","given":"Len A."},{"family":"Bickmore","given":"Wendy"},{"family":"Dean","given":"Ann"},{"family":"Nobrega","given":"Marcelo A."},{"family":"Bejerano","given":"Gill"}],"issued":{"date-parts":[["2013",4]]}}}],"schema":"https://github.com/citation-style-language/schema/raw/master/csl-citation.json"} </w:instrText>
      </w:r>
      <w:r>
        <w:fldChar w:fldCharType="separate"/>
      </w:r>
      <w:r w:rsidR="004A1963" w:rsidRPr="004A1963">
        <w:rPr>
          <w:rFonts w:ascii="Calibri" w:hAnsi="Calibri"/>
        </w:rPr>
        <w:t>(325,326)</w:t>
      </w:r>
      <w:r>
        <w:fldChar w:fldCharType="end"/>
      </w:r>
      <w:r>
        <w:t xml:space="preserve">. Enhancers are defined as acting over large distances, independent of their orientation </w:t>
      </w:r>
      <w:r>
        <w:fldChar w:fldCharType="begin"/>
      </w:r>
      <w:r w:rsidR="000A209C">
        <w:instrText xml:space="preserve"> ADDIN ZOTERO_ITEM CSL_CITATION {"citationID":"a1u8malbf7n","properties":{"formattedCitation":"(327,328)","plainCitation":"(327,328)","noteIndex":0},"citationItems":[{"id":1677,"uris":["http://zotero.org/users/952979/items/XH2INXG2"],"uri":["http://zotero.org/users/952979/items/XH2INXG2"],"itemData":{"id":1677,"type":"article-journal","title":"Enhancers, enhancers - from their discovery to today's universe of transcription enhancers","container-title":"Biological Chemistry","page":"311-327","volume":"396","issue":"4","source":"PubMed","abstract":"Transcriptional enhancers are short (200-1500 base pairs) DNA segments that are able to dramatically boost transcription from the promoter of a target gene. Originally discovered in simian virus 40 (SV40), a small DNA virus, transcription enhancers were soon also found in immunoglobulin genes and other cellular genes as key determinants of cell-type-specific gene expression. Enhancers can exert their effect over long distances of thousands, even hundreds of thousands of base pairs, either from upstream, downstream, or from within a transcription unit. The number of enhancers in eukaryotic genomes correlates with the complexity of the organism; a typical mammalian gene is likely controlled by several enhancers to fine-tune its expression at different developmental stages, in different cell types and in response to different signaling cues. Here, I provide a personal account of how enhancers were discovered more than 30 years ago, and also address the amazing development of the field since then.","DOI":"10.1515/hsz-2014-0303","ISSN":"1437-4315","note":"PMID: 25719310","journalAbbreviation":"Biol. Chem.","language":"eng","author":[{"family":"Schaffner","given":"Walter"}],"issued":{"date-parts":[["2015",4]]}}},{"id":1483,"uris":["http://zotero.org/users/952979/items/FSGPFFT2"],"uri":["http://zotero.org/users/952979/items/FSGPFFT2"],"itemData":{"id":1483,"type":"article-journal","title":"Enhancer transcription: what, where, when, and why?","container-title":"Genes &amp; Development","page":"1-3","volume":"32","issue":"1","source":"PubMed","abstract":"Following the discovery of widespread enhancer transcription, enhancers and promoters have been found to be far more similar than previously thought. In this issue ofGenes &amp; Development, two studies (Henriques and colleagues [pp. 26-41] and Mikhaylichenko and colleagues [pp. 42-57]) shine new light on the transcriptional nature of promoters and enhancers inDrosophilaTogether, these studies support recent work in mammalian cells that indicates that most active enhancers drive local transcription using factors and mechanisms similar to those of promoters. Intriguingly, enhancer transcription is shown to be coordinated by SPT5- and P-TEFb-mediated pause-release, but the pause half-life is shorter, and termination is more rapid at enhancers than at promoters. Moreover, bidirectional transcription from promoters is associated with enhancer activity, lending further credence to models in which regulatory elements exist along a spectrum of promoter-ness and enhancer-ness. We propose a general unified model to explain possible functions of transcription at enhancers.","DOI":"10.1101/gad.311605.118","ISSN":"1549-5477","note":"PMID: 29440223","shortTitle":"Enhancer transcription","journalAbbreviation":"Genes Dev.","language":"eng","author":[{"family":"Tippens","given":"Nathaniel D."},{"family":"Vihervaara","given":"Anniina"},{"family":"Lis","given":"John T."}],"issued":{"date-parts":[["2018",1,1]]}}}],"schema":"https://github.com/citation-style-language/schema/raw/master/csl-citation.json"} </w:instrText>
      </w:r>
      <w:r>
        <w:fldChar w:fldCharType="separate"/>
      </w:r>
      <w:r w:rsidR="004A1963" w:rsidRPr="004A1963">
        <w:rPr>
          <w:rFonts w:ascii="Calibri" w:hAnsi="Calibri"/>
        </w:rPr>
        <w:t>(327,328)</w:t>
      </w:r>
      <w:r>
        <w:fldChar w:fldCharType="end"/>
      </w:r>
      <w:r>
        <w:t xml:space="preserve">. There are two methods by which enhancers are currently thought to act. The first is by forming loops in the chromatin structure, bringing the enhancer into physical proximity to the promoter of the gene </w:t>
      </w:r>
      <w:r>
        <w:fldChar w:fldCharType="begin"/>
      </w:r>
      <w:r w:rsidR="000A209C">
        <w:instrText xml:space="preserve"> ADDIN ZOTERO_ITEM CSL_CITATION {"citationID":"MyJO5hFA","properties":{"formattedCitation":"(326,329,330)","plainCitation":"(326,329,330)","noteIndex":0},"citationItems":[{"id":1680,"uris":["http://zotero.org/users/952979/items/R2GSCW6N"],"uri":["http://zotero.org/users/952979/items/R2GSCW6N"],"itemData":{"id":1680,"type":"article-journal","title":"Enhancers: five essential questions","container-title":"Nature reviews. Genetics","page":"288-295","volume":"14","issue":"4","source":"PubMed Central","abstract":"It is estimated that the human genome contains hundreds of thousands of enhancers, so understanding these gene-regulatory elements is a crucial goal. Several fundamental questions need to be addressed about enhancers, such as how do we identify them all, how do they work, and how do they contribute to disease and evolution? Five prominent researchers in this field look at how much we know already and what needs to be done to answer these questions.","DOI":"10.1038/nrg3458","ISSN":"1471-0056","note":"PMID: 23503198\nPMCID: PMC4445073","shortTitle":"Enhancers","journalAbbreviation":"Nat Rev Genet","author":[{"family":"Pennacchio","given":"Len A."},{"family":"Bickmore","given":"Wendy"},{"family":"Dean","given":"Ann"},{"family":"Nobrega","given":"Marcelo A."},{"family":"Bejerano","given":"Gill"}],"issued":{"date-parts":[["2013",4]]}}},{"id":1679,"uris":["http://zotero.org/users/952979/items/RH4IKDX8"],"uri":["http://zotero.org/users/952979/items/RH4IKDX8"],"itemData":{"id":1679,"type":"article-journal","title":"Enhancer function: new insights into the regulation of tissue-specific gene expression","container-title":"Nature Reviews. Genetics","page":"283-293","volume":"12","issue":"4","source":"PubMed","abstract":"Enhancer function underlies regulatory processes by which cells establish patterns of gene expression. Recent results suggest that many enhancers are specified by particular chromatin marks in pluripotent cells, which may be modified later in development to alter patterns of gene expression and cell differentiation choices. These marks may contribute to the repertoire of epigenetic mechanisms responsible for cellular memory and determine the timing of transcription factor accessibility to the enhancer. Mechanistically, cohesin and non-coding RNAs are emerging as crucial players responsible for facilitating enhancer-promoter interactions at some genes. Surprisingly, these interactions may be required not only to facilitate initiation of transcription but also to activate the release of RNA polymerase II (RNAPII) from promoter-proximal pausing.","DOI":"10.1038/nrg2957","ISSN":"1471-0064","note":"PMID: 21358745\nPMCID: PMC3175006","shortTitle":"Enhancer function","journalAbbreviation":"Nat. Rev. Genet.","language":"eng","author":[{"family":"Ong","given":"Chin-Tong"},{"family":"Corces","given":"Victor G."}],"issued":{"date-parts":[["2011",4]]}}},{"id":1664,"uris":["http://zotero.org/users/952979/items/3NVZM5S6"],"uri":["http://zotero.org/users/952979/items/3NVZM5S6"],"itemData":{"id":1664,"type":"article-journal","title":"Transcriptional enhancers: from properties to genome-wide predictions","container-title":"Nature Reviews. Genetics","page":"272-286","volume":"15","issue":"4","source":"PubMed","abstract":"Cellular development, morphology and function are governed by precise patterns of gene expression. These are established by the coordinated action of genomic regulatory elements known as enhancers or cis-regulatory modules. More than 30 years after the initial discovery of enhancers, many of their properties have been elucidated; however, despite major efforts, we only have an incomplete picture of enhancers in animal genomes. In this Review, we discuss how properties of enhancer sequences and chromatin are used to predict enhancers in genome-wide studies. We also cover recently developed high-throughput methods that allow the direct testing and identification of enhancers on the basis of their activity. Finally, we discuss recent technological advances and current challenges in the field of regulatory genomics.","DOI":"10.1038/nrg3682","ISSN":"1471-0064","note":"PMID: 24614317","shortTitle":"Transcriptional enhancers","journalAbbreviation":"Nat. Rev. Genet.","language":"eng","author":[{"family":"Shlyueva","given":"Daria"},{"family":"Stampfel","given":"Gerald"},{"family":"Stark","given":"Alexander"}],"issued":{"date-parts":[["2014",4]]}}}],"schema":"https://github.com/citation-style-language/schema/raw/master/csl-citation.json"} </w:instrText>
      </w:r>
      <w:r>
        <w:fldChar w:fldCharType="separate"/>
      </w:r>
      <w:r w:rsidR="004A1963" w:rsidRPr="004A1963">
        <w:rPr>
          <w:rFonts w:ascii="Calibri" w:hAnsi="Calibri"/>
        </w:rPr>
        <w:t>(326,329,330)</w:t>
      </w:r>
      <w:r>
        <w:fldChar w:fldCharType="end"/>
      </w:r>
      <w:r>
        <w:t xml:space="preserve">. This looping is thought to be essential for the assembly of the pre-initiation complex as RNA polymerase II and other transcription factors are recruited to enhancers. Therefore, the concentration of the transcriptional machinery can be increased near target genes </w:t>
      </w:r>
      <w:r>
        <w:fldChar w:fldCharType="begin"/>
      </w:r>
      <w:r w:rsidR="000A209C">
        <w:instrText xml:space="preserve"> ADDIN ZOTERO_ITEM CSL_CITATION {"citationID":"a1ec6gnf8hc","properties":{"formattedCitation":"(326)","plainCitation":"(326)","noteIndex":0},"citationItems":[{"id":1680,"uris":["http://zotero.org/users/952979/items/R2GSCW6N"],"uri":["http://zotero.org/users/952979/items/R2GSCW6N"],"itemData":{"id":1680,"type":"article-journal","title":"Enhancers: five essential questions","container-title":"Nature reviews. Genetics","page":"288-295","volume":"14","issue":"4","source":"PubMed Central","abstract":"It is estimated that the human genome contains hundreds of thousands of enhancers, so understanding these gene-regulatory elements is a crucial goal. Several fundamental questions need to be addressed about enhancers, such as how do we identify them all, how do they work, and how do they contribute to disease and evolution? Five prominent researchers in this field look at how much we know already and what needs to be done to answer these questions.","DOI":"10.1038/nrg3458","ISSN":"1471-0056","note":"PMID: 23503198\nPMCID: PMC4445073","shortTitle":"Enhancers","journalAbbreviation":"Nat Rev Genet","author":[{"family":"Pennacchio","given":"Len A."},{"family":"Bickmore","given":"Wendy"},{"family":"Dean","given":"Ann"},{"family":"Nobrega","given":"Marcelo A."},{"family":"Bejerano","given":"Gill"}],"issued":{"date-parts":[["2013",4]]}}}],"schema":"https://github.com/citation-style-language/schema/raw/master/csl-citation.json"} </w:instrText>
      </w:r>
      <w:r>
        <w:fldChar w:fldCharType="separate"/>
      </w:r>
      <w:r w:rsidR="004A1963" w:rsidRPr="004A1963">
        <w:rPr>
          <w:rFonts w:ascii="Calibri" w:hAnsi="Calibri"/>
        </w:rPr>
        <w:t>(326)</w:t>
      </w:r>
      <w:r>
        <w:fldChar w:fldCharType="end"/>
      </w:r>
      <w:r>
        <w:t xml:space="preserve">. Secondly, enhancers can be transcribed to produce enhancer RNA (eRNA) which positively correlates with the levels of mRNA from nearby genes; however it is not currently known how this eRNA functions </w:t>
      </w:r>
      <w:r>
        <w:fldChar w:fldCharType="begin"/>
      </w:r>
      <w:r w:rsidR="000A209C">
        <w:instrText xml:space="preserve"> ADDIN ZOTERO_ITEM CSL_CITATION {"citationID":"yltoAv0l","properties":{"formattedCitation":"(329,331,332)","plainCitation":"(329,331,332)","noteIndex":0},"citationItems":[{"id":1679,"uris":["http://zotero.org/users/952979/items/RH4IKDX8"],"uri":["http://zotero.org/users/952979/items/RH4IKDX8"],"itemData":{"id":1679,"type":"article-journal","title":"Enhancer function: new insights into the regulation of tissue-specific gene expression","container-title":"Nature Reviews. Genetics","page":"283-293","volume":"12","issue":"4","source":"PubMed","abstract":"Enhancer function underlies regulatory processes by which cells establish patterns of gene expression. Recent results suggest that many enhancers are specified by particular chromatin marks in pluripotent cells, which may be modified later in development to alter patterns of gene expression and cell differentiation choices. These marks may contribute to the repertoire of epigenetic mechanisms responsible for cellular memory and determine the timing of transcription factor accessibility to the enhancer. Mechanistically, cohesin and non-coding RNAs are emerging as crucial players responsible for facilitating enhancer-promoter interactions at some genes. Surprisingly, these interactions may be required not only to facilitate initiation of transcription but also to activate the release of RNA polymerase II (RNAPII) from promoter-proximal pausing.","DOI":"10.1038/nrg2957","ISSN":"1471-0064","note":"PMID: 21358745\nPMCID: PMC3175006","shortTitle":"Enhancer function","journalAbbreviation":"Nat. Rev. Genet.","language":"eng","author":[{"family":"Ong","given":"Chin-Tong"},{"family":"Corces","given":"Victor G."}],"issued":{"date-parts":[["2011",4]]}}},{"id":1668,"uris":["http://zotero.org/users/952979/items/K3ZD6DFR"],"uri":["http://zotero.org/users/952979/items/K3ZD6DFR"],"itemData":{"id":1668,"type":"article-journal","title":"Enhancers as non-coding RNA transcription units: recent insights and future perspectives","container-title":"Nature Reviews Genetics","page":"207-223","volume":"17","issue":"4","source":"www.nature.com","abstract":"Networks of regulatory enhancers dictate distinct cell identities and cellular responses to diverse signals by instructing precise spatiotemporal patterns of gene expression. However, 35 years after their discovery, enhancer functions and mechanisms remain incompletely understood. Intriguingly, recent evidence suggests that many, if not all, functional enhancers are themselves transcription units, generating non-coding enhancer RNAs. This observation provides a fundamental insight into the inter-regulation between enhancers and promoters, which can both act as transcription units; it also raises crucial questions regarding the potential biological roles of the enhancer transcription process and non-coding enhancer RNAs. Here, we review research progress in this field and discuss several important, unresolved questions regarding the roles and mechanisms of enhancers in gene regulation.","DOI":"10.1038/nrg.2016.4","ISSN":"1471-0064","shortTitle":"Enhancers as non-coding RNA transcription units","language":"en","author":[{"family":"Li","given":"Wenbo"},{"family":"Notani","given":"Dimple"},{"family":"Rosenfeld","given":"Michael G."}],"issued":{"date-parts":[["2016",4]]}}},{"id":1667,"uris":["http://zotero.org/users/952979/items/9W8PZW2Z"],"uri":["http://zotero.org/users/952979/items/9W8PZW2Z"],"itemData":{"id":1667,"type":"article-journal","title":"Enhancer RNAs: A Class of Long Noncoding RNAs Synthesized at Enhancers","container-title":"Cold Spring Harbor Perspectives in Biology","volume":"7","issue":"1","source":"PubMed Central","abstract":"Recent studies have revealed that active enhancers are transcribed, producing a class of noncoding RNAs called enhancer RNAs (eRNAs). eRNAs are distinct from long noncoding RNAs (lncRNAs), but these two species of noncoding RNAs may share a similar role in the activation of mRNA transcription. Emerging studies, showing that eRNAs function in controlling mRNA transcription, challenge the idea that enhancers are merely sites of transcription factor assembly. Instead, communication between promoters and enhancers can be bidirectional with promoters required to activate enhancer transcription. Reciprocally, eRNAs may then facilitate enhancer–promoter interaction or activate promoter-driven transcription., Enhancer RNAs (eRNAs) are relatively short (&lt;2 kb) noncoding RNAs that are involved in transcriptional regulation. They may play a central role in promoter–enhancer communication.","URL":"https://www.ncbi.nlm.nih.gov/pmc/articles/PMC4292161/","DOI":"10.1101/cshperspect.a018622","ISSN":"1943-0264","note":"PMID: 25561718\nPMCID: PMC4292161","shortTitle":"Enhancer RNAs","journalAbbreviation":"Cold Spring Harb Perspect Biol","author":[{"family":"Kim","given":"Tae-Kyung"},{"family":"Hemberg","given":"Martin"},{"family":"Gray","given":"Jesse M."}],"issued":{"date-parts":[["2015",1]]},"accessed":{"date-parts":[["2018",4,17]]}}}],"schema":"https://github.com/citation-style-language/schema/raw/master/csl-citation.json"} </w:instrText>
      </w:r>
      <w:r>
        <w:fldChar w:fldCharType="separate"/>
      </w:r>
      <w:r w:rsidR="004A1963" w:rsidRPr="004A1963">
        <w:rPr>
          <w:rFonts w:ascii="Calibri" w:hAnsi="Calibri"/>
        </w:rPr>
        <w:t>(329,331,332)</w:t>
      </w:r>
      <w:r>
        <w:fldChar w:fldCharType="end"/>
      </w:r>
      <w:r>
        <w:t xml:space="preserve">. Recent evidence has disputed the notion that enhancers act on single genes by demonstrating that a single enhancer could activate two different reporter genes simultaneously and to the same level of amplification </w:t>
      </w:r>
      <w:r>
        <w:fldChar w:fldCharType="begin"/>
      </w:r>
      <w:r w:rsidR="000A209C">
        <w:instrText xml:space="preserve"> ADDIN ZOTERO_ITEM CSL_CITATION {"citationID":"FWTyD9SR","properties":{"formattedCitation":"(333)","plainCitation":"(333)","noteIndex":0},"citationItems":[{"id":1639,"uris":["http://zotero.org/users/952979/items/YFB93NEK"],"uri":["http://zotero.org/users/952979/items/YFB93NEK"],"itemData":{"id":1639,"type":"article-journal","title":"Enhancer Control of Transcriptional Bursting","container-title":"Cell","page":"358-368","volume":"166","issue":"2","source":"ScienceDirect","abstract":"Summary\nTranscription is episodic, consisting of a series of discontinuous bursts. Using live-imaging methods and quantitative analysis, we examine transcriptional bursting in living Drosophila embryos. Different developmental enhancers positioned downstream of synthetic reporter genes produce transcriptional bursts with similar amplitudes and duration but generate very different bursting frequencies, with strong enhancers producing more bursts than weak enhancers. Insertion of an insulator reduces the number of bursts and the corresponding level of gene expression, suggesting that enhancer regulation of bursting frequency is a key parameter of gene control in development. We also show that linked reporter genes exhibit coordinated bursting profiles when regulated by a shared enhancer, challenging conventional models of enhancer-promoter looping.","DOI":"10.1016/j.cell.2016.05.025","ISSN":"0092-8674","journalAbbreviation":"Cell","author":[{"family":"Fukaya","given":"Takashi"},{"family":"Lim","given":"Bomyi"},{"family":"Levine","given":"Michael"}],"issued":{"date-parts":[["2016",7,14]]}}}],"schema":"https://github.com/citation-style-language/schema/raw/master/csl-citation.json"} </w:instrText>
      </w:r>
      <w:r>
        <w:fldChar w:fldCharType="separate"/>
      </w:r>
      <w:r w:rsidR="004A1963" w:rsidRPr="004A1963">
        <w:rPr>
          <w:rFonts w:ascii="Calibri" w:hAnsi="Calibri"/>
        </w:rPr>
        <w:t>(333)</w:t>
      </w:r>
      <w:r>
        <w:fldChar w:fldCharType="end"/>
      </w:r>
      <w:r>
        <w:t xml:space="preserve">. This work further suggested that the enhancer needed to be located near to the reporter genes being controlled. </w:t>
      </w:r>
    </w:p>
    <w:p w14:paraId="08F6E92F" w14:textId="77777777" w:rsidR="004B5501" w:rsidRDefault="004B5501" w:rsidP="004B5501">
      <w:pPr>
        <w:pStyle w:val="Thesisnormal"/>
      </w:pPr>
    </w:p>
    <w:p w14:paraId="035C60DB" w14:textId="01AB4B0F" w:rsidR="004B5501" w:rsidRDefault="004B5501" w:rsidP="004B5501">
      <w:pPr>
        <w:pStyle w:val="Thesisnormal"/>
      </w:pPr>
      <w:r>
        <w:lastRenderedPageBreak/>
        <w:t xml:space="preserve">Enhancer activity can be specific to certain cell types or environmental conditions </w:t>
      </w:r>
      <w:r>
        <w:fldChar w:fldCharType="begin"/>
      </w:r>
      <w:r w:rsidR="000A209C">
        <w:instrText xml:space="preserve"> ADDIN ZOTERO_ITEM CSL_CITATION {"citationID":"a2fhi0ilk2f","properties":{"formattedCitation":"(326)","plainCitation":"(326)","noteIndex":0},"citationItems":[{"id":1680,"uris":["http://zotero.org/users/952979/items/R2GSCW6N"],"uri":["http://zotero.org/users/952979/items/R2GSCW6N"],"itemData":{"id":1680,"type":"article-journal","title":"Enhancers: five essential questions","container-title":"Nature reviews. Genetics","page":"288-295","volume":"14","issue":"4","source":"PubMed Central","abstract":"It is estimated that the human genome contains hundreds of thousands of enhancers, so understanding these gene-regulatory elements is a crucial goal. Several fundamental questions need to be addressed about enhancers, such as how do we identify them all, how do they work, and how do they contribute to disease and evolution? Five prominent researchers in this field look at how much we know already and what needs to be done to answer these questions.","DOI":"10.1038/nrg3458","ISSN":"1471-0056","note":"PMID: 23503198\nPMCID: PMC4445073","shortTitle":"Enhancers","journalAbbreviation":"Nat Rev Genet","author":[{"family":"Pennacchio","given":"Len A."},{"family":"Bickmore","given":"Wendy"},{"family":"Dean","given":"Ann"},{"family":"Nobrega","given":"Marcelo A."},{"family":"Bejerano","given":"Gill"}],"issued":{"date-parts":[["2013",4]]}}}],"schema":"https://github.com/citation-style-language/schema/raw/master/csl-citation.json"} </w:instrText>
      </w:r>
      <w:r>
        <w:fldChar w:fldCharType="separate"/>
      </w:r>
      <w:r w:rsidR="004A1963" w:rsidRPr="004A1963">
        <w:rPr>
          <w:rFonts w:ascii="Calibri" w:hAnsi="Calibri"/>
        </w:rPr>
        <w:t>(326)</w:t>
      </w:r>
      <w:r>
        <w:fldChar w:fldCharType="end"/>
      </w:r>
      <w:r>
        <w:t xml:space="preserve">. It is known that the environment of different tissues is fundamental in dictating the identity of tissue resident macrophages </w:t>
      </w:r>
      <w:r>
        <w:fldChar w:fldCharType="begin"/>
      </w:r>
      <w:r w:rsidR="000A209C">
        <w:instrText xml:space="preserve"> ADDIN ZOTERO_ITEM CSL_CITATION {"citationID":"ac0fmoot0m","properties":{"formattedCitation":"(109)","plainCitation":"(109)","noteIndex":0},"citationItems":[{"id":1669,"uris":["http://zotero.org/users/952979/items/RXQM7F4A"],"uri":["http://zotero.org/users/952979/items/RXQM7F4A"],"itemData":{"id":1669,"type":"article-journal","title":"The role of the local environment and epigenetics in shaping macrophage identity and their effect on tissue homeostasis","container-title":"Nature Immunology","page":"18-25","volume":"17","issue":"1","source":"www.nature.com","abstract":"Macrophages provide a critical systemic network cells of the innate immune system. Emerging data suggest that in addition, they have important tissue-specific functions that range from clearance of surfactant from the lungs to neuronal pruning and establishment of gut homeostasis. The differentiation and tissue-specific activation of macrophages require precise regulation of gene expression, a process governed by epigenetic mechanisms such as DNA methylation, histone modification and chromatin structure. We argue that epigenetic regulation of macrophages is determined by lineage- and tissue-specific transcription factors controlled by the built-in programming of myeloid development in combination with signaling from the tissue environment. Perturbation of epigenetic mechanisms of tissue macrophage identity can affect normal macrophage tissue function and contribute to pathologies ranging from obesity and autoimmunity to neurodegenerative diseases.","DOI":"10.1038/ni.3325","ISSN":"1529-2916","language":"en","author":[{"family":"Amit","given":"Ido"},{"family":"Winter","given":"Deborah R."},{"family":"Jung","given":"Steffen"}],"issued":{"date-parts":[["2016",1]]}}}],"schema":"https://github.com/citation-style-language/schema/raw/master/csl-citation.json"} </w:instrText>
      </w:r>
      <w:r>
        <w:fldChar w:fldCharType="separate"/>
      </w:r>
      <w:r w:rsidR="004A1963" w:rsidRPr="004A1963">
        <w:rPr>
          <w:rFonts w:ascii="Calibri" w:hAnsi="Calibri"/>
        </w:rPr>
        <w:t>(109)</w:t>
      </w:r>
      <w:r>
        <w:fldChar w:fldCharType="end"/>
      </w:r>
      <w:r>
        <w:t xml:space="preserve">. Recently, enhancers have been implicated in macrophage polarisation </w:t>
      </w:r>
      <w:r>
        <w:fldChar w:fldCharType="begin"/>
      </w:r>
      <w:r w:rsidR="000A209C">
        <w:instrText xml:space="preserve"> ADDIN ZOTERO_ITEM CSL_CITATION {"citationID":"4vcjn3QY","properties":{"formattedCitation":"(113,334,335)","plainCitation":"(113,334,335)","noteIndex":0},"citationItems":[{"id":1675,"uris":["http://zotero.org/users/952979/items/BSPBKZ6Q"],"uri":["http://zotero.org/users/952979/items/BSPBKZ6Q"],"itemData":{"id":1675,"type":"article-journal","title":"Environment drives selection and function of enhancers controlling tissue-specific macrophage identities","container-title":"Cell","page":"1327-1340","volume":"159","issue":"6","source":"PubMed Central","abstract":"Macrophages reside in essentially all tissues of the body and play key roles in innate and adaptive immune responses. Distinct populations of tissue macrophages also acquire context-specific functions that are important for normal tissue homeostasis. To investigate mechanisms responsible for tissue-specific functions, we analyzed the transcriptomes and enhancer landscapes of brain microglia and resident macrophages of the peritoneal cavity. In addition, we exploited natural genetic variation as a genome-wide ‘mutagenesis’ strategy to identify DNA recognition motifs for transcription factors that promote common or subset-specific binding of the macrophage lineage-determining factor PU.1. We find that distinct tissue environments drive divergent programs of gene expression by differentially activating a common enhancer repertoire and by inducing the expression of divergent secondary transcription factors that collaborate with PU.1 to establish tissue–specific enhancers. These findings provide insights into molecular mechanisms by which tissue environment influences macrophage phenotypes that are likely to be broadly applicable to other cell types.","DOI":"10.1016/j.cell.2014.11.023","ISSN":"0092-8674","note":"PMID: 25480297\nPMCID: PMC4364385","journalAbbreviation":"Cell","author":[{"family":"Gosselin","given":"David"},{"family":"Link","given":"Verena"},{"family":"Romanoski","given":"Casey E."},{"family":"Fonseca","given":"Gregory J."},{"family":"Eichenfield","given":"Dawn Z."},{"family":"Spann","given":"Nathaneal J."},{"family":"Stender","given":"Joshua D."},{"family":"Chun","given":"Hyun B."},{"family":"Garner","given":"Hannah"},{"family":"Geissmann","given":"Frederic"},{"family":"Glass","given":"Christopher K."}],"issued":{"date-parts":[["2014",12,4]]}}},{"id":1676,"uris":["http://zotero.org/users/952979/items/J87BMZK6"],"uri":["http://zotero.org/users/952979/items/J87BMZK6"],"itemData":{"id":1676,"type":"article-journal","title":"Genome-wide profiling of transcribed enhancers during macrophage activation","container-title":"Epigenetics &amp; Chromatin","volume":"10","source":"PubMed Central","abstract":"Background\nMacrophages are sentinel cells essential for tissue homeostasis and host defence. Owing to their plasticity, macrophages acquire a range of functional phenotypes in response to microenvironmental stimuli, of which M(IFN-γ) and M(IL-4/IL-13) are well known for their opposing pro- and anti-inflammatory roles. Enhancers have emerged as regulatory DNA elements crucial for transcriptional activation of gene expression.\n\nResults\nUsing cap analysis of gene expression and epigenetic data, we identify on large-scale transcribed enhancers in bone marrow-derived mouse macrophages, their time kinetics, and target protein-coding genes. We observe an increase in target gene expression, concomitant with increasing numbers of associated enhancers, and find that genes associated with many enhancers show a shift towards stronger enrichment for macrophage-specific biological processes. We infer enhancers that drive transcriptional responses of genes upon M(IFN-γ) and M(IL-4/IL-13) macrophage activation and demonstrate stimuli specificity of regulatory associations. Finally, we show that enhancer regions are enriched for binding sites of inflammation-related transcription factors, suggesting a link between stimuli response and enhancer transcriptional control.\n\nConclusions\nOur study provides new insights into genome-wide enhancer-mediated transcriptional control of macrophage genes, including those implicated in macrophage activation, and offers a detailed genome-wide catalogue of transcribed enhancers in bone marrow-derived mouse macrophages.\n\nElectronic supplementary material\nThe online version of this article (doi:10.1186/s13072-017-0158-9) contains supplementary material, which is available to authorized users.","URL":"https://www.ncbi.nlm.nih.gov/pmc/articles/PMC5654053/","DOI":"10.1186/s13072-017-0158-9","ISSN":"1756-8935","note":"PMID: 29061167\nPMCID: PMC5654053","journalAbbreviation":"Epigenetics Chromatin","author":[{"family":"Denisenko","given":"Elena"},{"family":"Guler","given":"Reto"},{"family":"Mhlanga","given":"Musa M."},{"family":"Suzuki","given":"Harukazu"},{"family":"Brombacher","given":"Frank"},{"family":"Schmeier","given":"Sebastian"}],"issued":{"date-parts":[["2017",10,23]]}}},{"id":1272,"uris":["http://zotero.org/users/952979/items/C82N8NXA"],"uri":["http://zotero.org/users/952979/items/C82N8NXA"],"itemData":{"id":1272,"type":"article-journal","title":"Molecular control of activation and priming in macrophages","container-title":"Nature Immunology","page":"26-33","volume":"17","issue":"1","source":"www.nature.com","abstract":"In tissues, macrophages are exposed to metabolic, homeostatic and immunoregulatory signals of local or systemic origin that influence their basal functions and responses to danger signals. Signal-transduction pathways regulated by extracellular signals are coupled to distinct sets of broadly expressed stimulus-regulated transcription factors whose ability to elicit gene-expression changes is influenced by the accessibility of their binding sites in the macrophage genome. In turn, accessibility of macrophage-specific transcriptional regulatory elements (enhancers and promoters) is specified by transcription factors that determine the macrophage lineage or impose their tissue-specific properties. Here we review recent findings that advance the understanding of mechanisms underlying priming and signal-dependent activation of macrophages and discuss the effect of genetic variation on these processes.\nView full text","DOI":"10.1038/ni.3306","ISSN":"1529-2908","journalAbbreviation":"Nat Immunol","language":"en","author":[{"family":"Glass","given":"Christopher K."},{"family":"Natoli","given":"Gioacchino"}],"issued":{"date-parts":[["2016",1]]}}}],"schema":"https://github.com/citation-style-language/schema/raw/master/csl-citation.json"} </w:instrText>
      </w:r>
      <w:r>
        <w:fldChar w:fldCharType="separate"/>
      </w:r>
      <w:r w:rsidR="004A1963" w:rsidRPr="004A1963">
        <w:rPr>
          <w:rFonts w:ascii="Calibri" w:hAnsi="Calibri"/>
        </w:rPr>
        <w:t>(113,334,335)</w:t>
      </w:r>
      <w:r>
        <w:fldChar w:fldCharType="end"/>
      </w:r>
      <w:r>
        <w:t xml:space="preserve">. These studies demonstrated that signalling from the local environment can influence the enhancer landscape within the tissue resident macrophage populations. </w:t>
      </w:r>
    </w:p>
    <w:p w14:paraId="09FC6E8E" w14:textId="77777777" w:rsidR="004B5501" w:rsidRPr="0050023C" w:rsidRDefault="004B5501" w:rsidP="004B5501">
      <w:pPr>
        <w:pStyle w:val="Thesisnormal"/>
      </w:pPr>
    </w:p>
    <w:p w14:paraId="3429EB85" w14:textId="77777777" w:rsidR="004B5501" w:rsidRDefault="004B5501" w:rsidP="004B5501">
      <w:pPr>
        <w:pStyle w:val="Heading2"/>
        <w:spacing w:line="360" w:lineRule="auto"/>
      </w:pPr>
      <w:bookmarkStart w:id="139" w:name="_Toc4589316"/>
      <w:r>
        <w:t>3.2 Results</w:t>
      </w:r>
      <w:bookmarkEnd w:id="139"/>
    </w:p>
    <w:p w14:paraId="473D0E0E" w14:textId="77777777" w:rsidR="004B5501" w:rsidRPr="001128C6" w:rsidRDefault="004B5501" w:rsidP="004B5501">
      <w:pPr>
        <w:pStyle w:val="Thesisnormal"/>
      </w:pPr>
    </w:p>
    <w:p w14:paraId="0C510688" w14:textId="1CD0673C" w:rsidR="004B5501" w:rsidRPr="00014546" w:rsidRDefault="004B5501" w:rsidP="004B5501">
      <w:pPr>
        <w:pStyle w:val="Thesisnormal"/>
      </w:pPr>
      <w:r w:rsidRPr="00CD4B00">
        <w:rPr>
          <w:i/>
        </w:rPr>
        <w:t>Drosophila</w:t>
      </w:r>
      <w:r>
        <w:t xml:space="preserve"> is a well-established model organism for performing large scale screening </w:t>
      </w:r>
      <w:r>
        <w:fldChar w:fldCharType="begin"/>
      </w:r>
      <w:r w:rsidR="000A209C">
        <w:instrText xml:space="preserve"> ADDIN ZOTERO_ITEM CSL_CITATION {"citationID":"GaktK4Qi","properties":{"formattedCitation":"(336\\uc0\\u8211{}338)","plainCitation":"(336–338)","noteIndex":0},"citationItems":[{"id":1671,"uris":["http://zotero.org/users/952979/items/XWAPJDG6"],"uri":["http://zotero.org/users/952979/items/XWAPJDG6"],"itemData":{"id":1671,"type":"article-journal","title":"A Large-Scale Behavioral Screen to Identify Neurons Controlling Motor Programs in the Drosophila Brain","container-title":"G3: Genes, Genomes, Genetics","page":"1629-1637","volume":"3","issue":"10","source":"www.g3journal.org","abstract":"Drosophila is increasingly used for understanding the neural basis of behavior through genetically targeted manipulation of specific neurons. The primary approach in this regard has relied on the suppression of neuronal activity. Here, we report the results of a novel approach to find and characterize neural circuits by expressing neuronal activators to stimulate subsets of neurons to induce behavior. Classical electrophysiological studies demonstrated that stimulation of command neurons could activate neural circuits to trigger fixed action patterns. Our method was designed to find such command neurons for diverse behaviors by screening flies in which random subsets of brain cells were activated. We took advantage of the large collection of Gal4 lines from the NP project and crossed 835 Gal4 strains with relatively limited Gal4 expression in the brain to flies carrying a UAS transgene encoding TRPM8, a cold-sensitive ion channel. Low temperatures opened the TRPM8 channel in Gal4-expressing cells, leading to their excitation, and in many cases induced overt behavioral changes in adult flies. Paralysis was reproducibly observed in the progeny of crosses with 84 lines, whereas more specific behaviors were induced with 24 other lines. Stimulation performed using the heat-activated channel, TrpA1, resulted in clearer and more robust behaviors, including flight, feeding, and egg-laying. Through follow-up studies starting from this screen, we expect to find key components of the neural circuits underlying specific behaviors, thus providing a new avenue for their functional analysis.","DOI":"10.1534/g3.113.006205","ISSN":"2160-1836","note":"PMID: 23934998","language":"en","author":[{"family":"Flood","given":"Thomas F."},{"family":"Gorczyca","given":"Michael"},{"family":"White","given":"Benjamin H."},{"family":"Ito","given":"Kei"},{"family":"Yoshihara","given":"Motojiro"}],"issued":{"date-parts":[["2013",10,1]]}}},{"id":1637,"uris":["http://zotero.org/users/952979/items/4AK9TQBQ"],"uri":["http://zotero.org/users/952979/items/4AK9TQBQ"],"itemData":{"id":1637,"type":"article-journal","title":"RNA Interference (RNAi) Screening in Drosophila","container-title":"Genetics","page":"853-874","volume":"208","issue":"3","source":"www.genetics.org","abstract":"In the last decade, RNA interference (RNAi), a cellular mechanism that uses RNA-guided degradation of messenger RNA transcripts, has had an important impact on identifying and characterizing gene function. First discovered in Caenorhabditis elegans, RNAi can be used to silence the expression of genes through introduction of exogenous double-stranded RNA into cells. In Drosophila, RNAi has been applied in cultured cells or in vivo to perturb the function of single genes or to systematically probe gene function on a genome-wide scale. In this review, we will describe the use of RNAi to study gene function in Drosophila with a particular focus on high-throughput screening methods applied in cultured cells. We will discuss available reagent libraries and cell lines, methodological approaches for cell-based assays, and computational methods for the analysis of high-throughput screens. Furthermore, we will review the generation and use of genome-scale RNAi libraries for tissue-specific knockdown analysis in vivo and discuss the differences and similarities with the use of genome-engineering methods such as CRISPR/Cas9 for functional analysis.","DOI":"10.1534/genetics.117.300077","ISSN":"0016-6731, 1943-2631","note":"PMID: 29487145","language":"en","author":[{"family":"Heigwer","given":"Florian"},{"family":"Port","given":"Fillip"},{"family":"Boutros","given":"Michael"}],"issued":{"date-parts":[["2018",3,1]]}}},{"id":1670,"uris":["http://zotero.org/users/952979/items/PCVDXX67"],"uri":["http://zotero.org/users/952979/items/PCVDXX67"],"itemData":{"id":1670,"type":"article-journal","title":"An in vivo large-scale chemical screening platform using Drosophila for anti-cancer drug discovery","container-title":"Disease Models &amp; Mechanisms","page":"521-529","volume":"6","issue":"2","source":"PubMed","abstract":"Anti-cancer drug development involves enormous expenditure and risk. For rapid and economical identification of novel, bioavailable anti-tumour chemicals, the use of appropriate in vivo tumour models suitable for large-scale screening is key. Using a Drosophila Ras-driven tumour model, we demonstrate that tumour overgrowth can be curtailed by feeding larvae with chemicals that have the in vivo pharmacokinetics essential for drug development and known efficacy against human tumour cells. We then develop an in vivo 96-well plate chemical screening platform to carry out large-scale chemical screening with the tumour model. In a proof-of-principle pilot screen of 2000 compounds, we identify the glutamine analogue, acivicin, a chemical with known activity against human tumour cells, as a potent and specific inhibitor of Drosophila tumour formation. RNAi-mediated knockdown of candidate acivicin target genes implicates an enzyme involved in pyrimidine biosynthesis, CTP synthase, as a possible crucial target of acivicin-mediated inhibition. Thus, the pilot screen has revealed that Drosophila tumours are glutamine-dependent, which is an emerging feature of many human cancers, and has validated the platform as a powerful and economical tool for in vivo chemical screening. The platform can also be adapted for use with other disease models, thus offering widespread applications in drug development.","DOI":"10.1242/dmm.009985","ISSN":"1754-8411","note":"PMID: 22996645\nPMCID: PMC3597034","journalAbbreviation":"Dis Model Mech","language":"eng","author":[{"family":"Willoughby","given":"Lee F."},{"family":"Schlosser","given":"Tanja"},{"family":"Manning","given":"Samuel A."},{"family":"Parisot","given":"John P."},{"family":"Street","given":"Ian P."},{"family":"Richardson","given":"Helena E."},{"family":"Humbert","given":"Patrick O."},{"family":"Brumby","given":"Anthony M."}],"issued":{"date-parts":[["2013",3]]}}}],"schema":"https://github.com/citation-style-language/schema/raw/master/csl-citation.json"} </w:instrText>
      </w:r>
      <w:r>
        <w:fldChar w:fldCharType="separate"/>
      </w:r>
      <w:r w:rsidR="004A1963" w:rsidRPr="004A1963">
        <w:rPr>
          <w:rFonts w:ascii="Calibri" w:hAnsi="Calibri" w:cs="Times New Roman"/>
        </w:rPr>
        <w:t>(336–338)</w:t>
      </w:r>
      <w:r>
        <w:fldChar w:fldCharType="end"/>
      </w:r>
      <w:r>
        <w:t xml:space="preserve">. A recent large scale analysis of developmental enhancers in </w:t>
      </w:r>
      <w:r>
        <w:rPr>
          <w:i/>
        </w:rPr>
        <w:t>D</w:t>
      </w:r>
      <w:r w:rsidRPr="00CD4B00">
        <w:rPr>
          <w:i/>
        </w:rPr>
        <w:t>rosophila</w:t>
      </w:r>
      <w:r>
        <w:t xml:space="preserve"> characterised over 7000 enhancers from the </w:t>
      </w:r>
      <w:r w:rsidRPr="00E223B9">
        <w:t>Vienna Tilling array</w:t>
      </w:r>
      <w:r>
        <w:t xml:space="preserve"> (VT) </w:t>
      </w:r>
      <w:r>
        <w:fldChar w:fldCharType="begin"/>
      </w:r>
      <w:r w:rsidR="000A209C">
        <w:instrText xml:space="preserve"> ADDIN ZOTERO_ITEM CSL_CITATION {"citationID":"a1bhgtpvlp4","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The authors introduced enhancer regions upstream of GAL4 and then inserted this construct into the same genomic location in </w:t>
      </w:r>
      <w:r w:rsidRPr="00CD4B00">
        <w:rPr>
          <w:i/>
        </w:rPr>
        <w:t>Drosophila</w:t>
      </w:r>
      <w:r>
        <w:t xml:space="preserve">. Following this, they performed </w:t>
      </w:r>
      <w:r w:rsidRPr="00CD4B00">
        <w:rPr>
          <w:i/>
        </w:rPr>
        <w:t>in situ</w:t>
      </w:r>
      <w:r>
        <w:t xml:space="preserve"> hybridisation for GAL4. They then characterised the GAL4 expression pattern, identifying developmental stages and cell or tissue specificity. The authors found that approximately half of the characterised enhancers were active. Querying the associated database for this study revealed 67 lines annotated as being expressed in hemocytes or macrophages. In reviewing the images for these 67 enhancers to determine lines that were expressed in only a subset of hemocytes, we identified 21 enhancer lines that warranted further investigation </w:t>
      </w:r>
      <w:r w:rsidRPr="009A31E2">
        <w:t>(</w:t>
      </w:r>
      <w:r>
        <w:t>table 3.1)</w:t>
      </w:r>
      <w:r w:rsidRPr="0089057E">
        <w:t xml:space="preserve">. </w:t>
      </w:r>
      <w:r w:rsidRPr="004362F9">
        <w:t>Figure 3.1 shows the original</w:t>
      </w:r>
      <w:r>
        <w:t xml:space="preserve"> </w:t>
      </w:r>
      <w:r>
        <w:rPr>
          <w:i/>
        </w:rPr>
        <w:t>in situ</w:t>
      </w:r>
      <w:r>
        <w:t xml:space="preserve"> images for some </w:t>
      </w:r>
      <w:r w:rsidRPr="004362F9">
        <w:t xml:space="preserve">of the lines </w:t>
      </w:r>
      <w:r>
        <w:t xml:space="preserve">subsequently </w:t>
      </w:r>
      <w:r w:rsidRPr="004362F9">
        <w:t>investigated, with an example showing a non-hemocyte expression pattern (Fig 3.1 A) and an example where the enhancer is expressed in all hemocytes (Fig 3.1 B).</w:t>
      </w:r>
      <w:r>
        <w:t xml:space="preserve">  </w:t>
      </w:r>
    </w:p>
    <w:p w14:paraId="1B7441E9" w14:textId="77777777" w:rsidR="004B5501" w:rsidRDefault="004B5501" w:rsidP="004B5501">
      <w:pPr>
        <w:pStyle w:val="Thesisnormal"/>
      </w:pPr>
    </w:p>
    <w:p w14:paraId="56114B74" w14:textId="77777777" w:rsidR="004B5501" w:rsidRDefault="004B5501" w:rsidP="004B5501">
      <w:pPr>
        <w:pStyle w:val="Thesisnormal"/>
      </w:pPr>
    </w:p>
    <w:p w14:paraId="708889BD" w14:textId="77777777" w:rsidR="004B5501" w:rsidRDefault="004B5501" w:rsidP="004B5501">
      <w:pPr>
        <w:pStyle w:val="Thesisnormal"/>
      </w:pPr>
    </w:p>
    <w:p w14:paraId="41190761" w14:textId="77777777" w:rsidR="004B5501" w:rsidRDefault="004B5501" w:rsidP="004B5501">
      <w:pPr>
        <w:pStyle w:val="Thesisnormal"/>
      </w:pPr>
    </w:p>
    <w:p w14:paraId="783CE77B" w14:textId="77777777" w:rsidR="004B5501" w:rsidRDefault="004B5501" w:rsidP="004B5501">
      <w:pPr>
        <w:pStyle w:val="Thesisnormal"/>
      </w:pPr>
    </w:p>
    <w:p w14:paraId="53895251" w14:textId="77777777" w:rsidR="004B5501" w:rsidRDefault="004B5501" w:rsidP="004B5501">
      <w:pPr>
        <w:pStyle w:val="Thesisnormal"/>
      </w:pPr>
    </w:p>
    <w:p w14:paraId="2074F912" w14:textId="77777777" w:rsidR="004B5501" w:rsidRDefault="004B5501" w:rsidP="004B5501">
      <w:pPr>
        <w:pStyle w:val="Thesisnormal"/>
      </w:pPr>
    </w:p>
    <w:p w14:paraId="5627D859" w14:textId="77777777" w:rsidR="004B5501" w:rsidRDefault="004B5501" w:rsidP="004B5501">
      <w:pPr>
        <w:pStyle w:val="Thesisnormal"/>
      </w:pPr>
    </w:p>
    <w:tbl>
      <w:tblPr>
        <w:tblW w:w="0" w:type="auto"/>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2119"/>
        <w:gridCol w:w="3538"/>
        <w:gridCol w:w="2214"/>
      </w:tblGrid>
      <w:tr w:rsidR="004B5501" w14:paraId="75A4AE28" w14:textId="77777777" w:rsidTr="00381103">
        <w:tc>
          <w:tcPr>
            <w:tcW w:w="8971" w:type="dxa"/>
            <w:gridSpan w:val="4"/>
            <w:vAlign w:val="center"/>
          </w:tcPr>
          <w:p w14:paraId="0F9F8457" w14:textId="77777777" w:rsidR="004B5501" w:rsidRDefault="004B5501" w:rsidP="000A0B44">
            <w:pPr>
              <w:jc w:val="center"/>
            </w:pPr>
            <w:r w:rsidRPr="009A1E66">
              <w:rPr>
                <w:b/>
                <w:u w:val="single"/>
              </w:rPr>
              <w:lastRenderedPageBreak/>
              <w:t>Table 3.1 Enhancer lines investigated in this study</w:t>
            </w:r>
          </w:p>
        </w:tc>
      </w:tr>
      <w:tr w:rsidR="004B5501" w14:paraId="65DD704C" w14:textId="77777777" w:rsidTr="00381103">
        <w:tc>
          <w:tcPr>
            <w:tcW w:w="1096" w:type="dxa"/>
            <w:vAlign w:val="center"/>
          </w:tcPr>
          <w:p w14:paraId="49BA2958" w14:textId="77777777" w:rsidR="004B5501" w:rsidRPr="00B437A0" w:rsidRDefault="004B5501" w:rsidP="000A0B44">
            <w:pPr>
              <w:jc w:val="center"/>
              <w:rPr>
                <w:b/>
                <w:u w:val="single"/>
              </w:rPr>
            </w:pPr>
            <w:r w:rsidRPr="00B437A0">
              <w:rPr>
                <w:b/>
                <w:u w:val="single"/>
              </w:rPr>
              <w:t>VT enhancer line</w:t>
            </w:r>
          </w:p>
        </w:tc>
        <w:tc>
          <w:tcPr>
            <w:tcW w:w="2119" w:type="dxa"/>
            <w:vAlign w:val="center"/>
          </w:tcPr>
          <w:p w14:paraId="05D0F5B4" w14:textId="77777777" w:rsidR="004B5501" w:rsidRPr="00B437A0" w:rsidRDefault="004B5501" w:rsidP="000A0B44">
            <w:pPr>
              <w:jc w:val="center"/>
              <w:rPr>
                <w:b/>
                <w:u w:val="single"/>
              </w:rPr>
            </w:pPr>
            <w:r w:rsidRPr="00B437A0">
              <w:rPr>
                <w:b/>
                <w:u w:val="single"/>
              </w:rPr>
              <w:t>Nearest gene(s)</w:t>
            </w:r>
          </w:p>
        </w:tc>
        <w:tc>
          <w:tcPr>
            <w:tcW w:w="3541" w:type="dxa"/>
            <w:vAlign w:val="center"/>
          </w:tcPr>
          <w:p w14:paraId="3C6EC0F9" w14:textId="77777777" w:rsidR="004B5501" w:rsidRPr="00B437A0" w:rsidRDefault="004B5501" w:rsidP="000A0B44">
            <w:pPr>
              <w:jc w:val="center"/>
              <w:rPr>
                <w:b/>
                <w:u w:val="single"/>
              </w:rPr>
            </w:pPr>
            <w:r w:rsidRPr="00B437A0">
              <w:rPr>
                <w:b/>
                <w:u w:val="single"/>
              </w:rPr>
              <w:t xml:space="preserve">Kvon </w:t>
            </w:r>
            <w:r w:rsidRPr="00B437A0">
              <w:rPr>
                <w:b/>
                <w:i/>
                <w:u w:val="single"/>
              </w:rPr>
              <w:t>et al</w:t>
            </w:r>
            <w:r w:rsidRPr="00B437A0">
              <w:rPr>
                <w:b/>
                <w:u w:val="single"/>
              </w:rPr>
              <w:t xml:space="preserve"> annotations for stages 12-15</w:t>
            </w:r>
          </w:p>
        </w:tc>
        <w:tc>
          <w:tcPr>
            <w:tcW w:w="2215" w:type="dxa"/>
            <w:vAlign w:val="center"/>
          </w:tcPr>
          <w:p w14:paraId="7FEDEE57" w14:textId="77777777" w:rsidR="004B5501" w:rsidRPr="00B437A0" w:rsidRDefault="004B5501" w:rsidP="000A0B44">
            <w:pPr>
              <w:jc w:val="center"/>
              <w:rPr>
                <w:b/>
                <w:u w:val="single"/>
              </w:rPr>
            </w:pPr>
            <w:r w:rsidRPr="00B437A0">
              <w:rPr>
                <w:b/>
                <w:u w:val="single"/>
              </w:rPr>
              <w:t>Observations in this thesis</w:t>
            </w:r>
          </w:p>
        </w:tc>
      </w:tr>
      <w:tr w:rsidR="004B5501" w14:paraId="14D605CB" w14:textId="77777777" w:rsidTr="00381103">
        <w:tc>
          <w:tcPr>
            <w:tcW w:w="1096" w:type="dxa"/>
            <w:vAlign w:val="center"/>
          </w:tcPr>
          <w:p w14:paraId="7B29F4A3" w14:textId="77777777" w:rsidR="004B5501" w:rsidRDefault="004B5501" w:rsidP="000A0B44">
            <w:pPr>
              <w:jc w:val="center"/>
            </w:pPr>
            <w:r>
              <w:t>16254</w:t>
            </w:r>
          </w:p>
        </w:tc>
        <w:tc>
          <w:tcPr>
            <w:tcW w:w="2119" w:type="dxa"/>
            <w:vAlign w:val="center"/>
          </w:tcPr>
          <w:p w14:paraId="139B1A09" w14:textId="77777777" w:rsidR="004B5501" w:rsidRDefault="004B5501" w:rsidP="000A0B44">
            <w:pPr>
              <w:jc w:val="center"/>
            </w:pPr>
            <w:r w:rsidRPr="00DB1454">
              <w:t>CG12464</w:t>
            </w:r>
            <w:r>
              <w:t xml:space="preserve">, </w:t>
            </w:r>
            <w:r w:rsidRPr="00DB1454">
              <w:t>CG34236</w:t>
            </w:r>
            <w:r>
              <w:t>, CG43058, fas, S-Lap5</w:t>
            </w:r>
          </w:p>
        </w:tc>
        <w:tc>
          <w:tcPr>
            <w:tcW w:w="3541" w:type="dxa"/>
            <w:vAlign w:val="center"/>
          </w:tcPr>
          <w:p w14:paraId="404298D2" w14:textId="77777777" w:rsidR="004B5501" w:rsidRDefault="004B5501" w:rsidP="000A0B44">
            <w:pPr>
              <w:jc w:val="center"/>
            </w:pPr>
            <w:r>
              <w:t>Head subset, hemocyte</w:t>
            </w:r>
          </w:p>
        </w:tc>
        <w:tc>
          <w:tcPr>
            <w:tcW w:w="2215" w:type="dxa"/>
            <w:vAlign w:val="center"/>
          </w:tcPr>
          <w:p w14:paraId="55ED8A0D" w14:textId="77777777" w:rsidR="004B5501" w:rsidRDefault="004B5501" w:rsidP="000A0B44">
            <w:pPr>
              <w:jc w:val="center"/>
            </w:pPr>
            <w:r>
              <w:t>All hemocytes</w:t>
            </w:r>
          </w:p>
        </w:tc>
      </w:tr>
      <w:tr w:rsidR="004B5501" w14:paraId="1299DF14" w14:textId="77777777" w:rsidTr="00381103">
        <w:tc>
          <w:tcPr>
            <w:tcW w:w="1096" w:type="dxa"/>
            <w:vAlign w:val="center"/>
          </w:tcPr>
          <w:p w14:paraId="71A8F3E4" w14:textId="77777777" w:rsidR="004B5501" w:rsidRDefault="004B5501" w:rsidP="000A0B44">
            <w:pPr>
              <w:jc w:val="center"/>
            </w:pPr>
            <w:r>
              <w:t>17123</w:t>
            </w:r>
          </w:p>
        </w:tc>
        <w:tc>
          <w:tcPr>
            <w:tcW w:w="2119" w:type="dxa"/>
            <w:vAlign w:val="center"/>
          </w:tcPr>
          <w:p w14:paraId="79A1660A" w14:textId="77777777" w:rsidR="004B5501" w:rsidRDefault="004B5501" w:rsidP="000A0B44">
            <w:pPr>
              <w:jc w:val="center"/>
            </w:pPr>
            <w:r w:rsidRPr="00DB1454">
              <w:t>unc-5</w:t>
            </w:r>
            <w:r>
              <w:t xml:space="preserve">, </w:t>
            </w:r>
            <w:r w:rsidRPr="00DB1454">
              <w:t>Hr51</w:t>
            </w:r>
            <w:r>
              <w:t xml:space="preserve">, </w:t>
            </w:r>
            <w:r w:rsidRPr="00DB1454">
              <w:t>Pms2</w:t>
            </w:r>
            <w:r>
              <w:t>, CR44458, CR44459</w:t>
            </w:r>
          </w:p>
        </w:tc>
        <w:tc>
          <w:tcPr>
            <w:tcW w:w="3541" w:type="dxa"/>
            <w:vAlign w:val="center"/>
          </w:tcPr>
          <w:p w14:paraId="3FD48358" w14:textId="77777777" w:rsidR="004B5501" w:rsidRDefault="004B5501" w:rsidP="000A0B44">
            <w:pPr>
              <w:jc w:val="center"/>
            </w:pPr>
            <w:r>
              <w:t>Dorsal vessel specific anlage, lateral epidermis subset, dorsal vessel, trunk epidermis subset, dorsal epidermis subset, midgut broad, brain subset, hemocyte, macrophage</w:t>
            </w:r>
          </w:p>
        </w:tc>
        <w:tc>
          <w:tcPr>
            <w:tcW w:w="2215" w:type="dxa"/>
            <w:vAlign w:val="center"/>
          </w:tcPr>
          <w:p w14:paraId="56BFAE98" w14:textId="77777777" w:rsidR="004B5501" w:rsidRDefault="004B5501" w:rsidP="000A0B44">
            <w:pPr>
              <w:jc w:val="center"/>
            </w:pPr>
            <w:r>
              <w:t>Subpopulation of hemocytes</w:t>
            </w:r>
          </w:p>
        </w:tc>
      </w:tr>
      <w:tr w:rsidR="004B5501" w14:paraId="4DA708E1" w14:textId="77777777" w:rsidTr="00381103">
        <w:tc>
          <w:tcPr>
            <w:tcW w:w="1096" w:type="dxa"/>
            <w:vAlign w:val="center"/>
          </w:tcPr>
          <w:p w14:paraId="340FBE49" w14:textId="77777777" w:rsidR="004B5501" w:rsidRPr="0030674D" w:rsidRDefault="004B5501" w:rsidP="000A0B44">
            <w:pPr>
              <w:jc w:val="center"/>
              <w:rPr>
                <w:b/>
              </w:rPr>
            </w:pPr>
            <w:r w:rsidRPr="0030674D">
              <w:rPr>
                <w:b/>
              </w:rPr>
              <w:t>17559</w:t>
            </w:r>
          </w:p>
        </w:tc>
        <w:tc>
          <w:tcPr>
            <w:tcW w:w="2119" w:type="dxa"/>
            <w:vAlign w:val="center"/>
          </w:tcPr>
          <w:p w14:paraId="5B03BCF3" w14:textId="77777777" w:rsidR="004B5501" w:rsidRDefault="004B5501" w:rsidP="000A0B44">
            <w:pPr>
              <w:jc w:val="center"/>
            </w:pPr>
            <w:r w:rsidRPr="00DB1454">
              <w:t>Lis-1</w:t>
            </w:r>
            <w:r>
              <w:t xml:space="preserve">, </w:t>
            </w:r>
            <w:r w:rsidRPr="00DB1454">
              <w:t>CG8441</w:t>
            </w:r>
            <w:r>
              <w:t xml:space="preserve">, </w:t>
            </w:r>
            <w:r w:rsidRPr="00DB1454">
              <w:t>Ptp52F</w:t>
            </w:r>
            <w:r>
              <w:t>, c</w:t>
            </w:r>
            <w:r w:rsidRPr="00DB1454">
              <w:t>lu</w:t>
            </w:r>
            <w:r>
              <w:t xml:space="preserve">, </w:t>
            </w:r>
            <w:r w:rsidRPr="00DB1454">
              <w:t>CG8435</w:t>
            </w:r>
          </w:p>
        </w:tc>
        <w:tc>
          <w:tcPr>
            <w:tcW w:w="3541" w:type="dxa"/>
            <w:vAlign w:val="center"/>
          </w:tcPr>
          <w:p w14:paraId="3974AC97" w14:textId="77777777" w:rsidR="004B5501" w:rsidRDefault="004B5501" w:rsidP="000A0B44">
            <w:pPr>
              <w:jc w:val="center"/>
            </w:pPr>
            <w:r>
              <w:t>Ventral midline, hemocyte, macrophage</w:t>
            </w:r>
          </w:p>
        </w:tc>
        <w:tc>
          <w:tcPr>
            <w:tcW w:w="2215" w:type="dxa"/>
            <w:vAlign w:val="center"/>
          </w:tcPr>
          <w:p w14:paraId="4C0DEF6D" w14:textId="77777777" w:rsidR="004B5501" w:rsidRDefault="004B5501" w:rsidP="000A0B44">
            <w:pPr>
              <w:jc w:val="center"/>
            </w:pPr>
            <w:r>
              <w:t>Subpopulation of hemocytes</w:t>
            </w:r>
          </w:p>
        </w:tc>
      </w:tr>
      <w:tr w:rsidR="004B5501" w14:paraId="513DF0A5" w14:textId="77777777" w:rsidTr="00381103">
        <w:tc>
          <w:tcPr>
            <w:tcW w:w="1096" w:type="dxa"/>
            <w:vAlign w:val="center"/>
          </w:tcPr>
          <w:p w14:paraId="1C0C893D" w14:textId="77777777" w:rsidR="004B5501" w:rsidRDefault="004B5501" w:rsidP="000A0B44">
            <w:pPr>
              <w:jc w:val="center"/>
            </w:pPr>
            <w:r>
              <w:t>17874</w:t>
            </w:r>
          </w:p>
        </w:tc>
        <w:tc>
          <w:tcPr>
            <w:tcW w:w="2119" w:type="dxa"/>
            <w:vAlign w:val="center"/>
          </w:tcPr>
          <w:p w14:paraId="27F9B969" w14:textId="77777777" w:rsidR="004B5501" w:rsidRDefault="004B5501" w:rsidP="000A0B44">
            <w:pPr>
              <w:jc w:val="center"/>
            </w:pPr>
            <w:r w:rsidRPr="00DB1454">
              <w:t>CG5522</w:t>
            </w:r>
            <w:r>
              <w:t>, r</w:t>
            </w:r>
            <w:r w:rsidRPr="00DB1454">
              <w:t>esilin</w:t>
            </w:r>
            <w:r>
              <w:t>, Vkor, CG15919, CG15615</w:t>
            </w:r>
          </w:p>
        </w:tc>
        <w:tc>
          <w:tcPr>
            <w:tcW w:w="3541" w:type="dxa"/>
            <w:vAlign w:val="center"/>
          </w:tcPr>
          <w:p w14:paraId="324AB93A" w14:textId="77777777" w:rsidR="004B5501" w:rsidRDefault="004B5501" w:rsidP="000A0B44">
            <w:pPr>
              <w:jc w:val="center"/>
            </w:pPr>
            <w:r>
              <w:t>Yolk, hemocyte, macrophage, plasmatocyte anlage, hindgut</w:t>
            </w:r>
          </w:p>
        </w:tc>
        <w:tc>
          <w:tcPr>
            <w:tcW w:w="2215" w:type="dxa"/>
            <w:vAlign w:val="center"/>
          </w:tcPr>
          <w:p w14:paraId="77B0B5DE" w14:textId="77777777" w:rsidR="004B5501" w:rsidRDefault="004B5501" w:rsidP="000A0B44">
            <w:pPr>
              <w:jc w:val="center"/>
            </w:pPr>
            <w:r>
              <w:t>Subpopulation of hemocytes</w:t>
            </w:r>
          </w:p>
        </w:tc>
      </w:tr>
      <w:tr w:rsidR="004B5501" w14:paraId="6B33814D" w14:textId="77777777" w:rsidTr="00381103">
        <w:tc>
          <w:tcPr>
            <w:tcW w:w="1096" w:type="dxa"/>
            <w:vAlign w:val="center"/>
          </w:tcPr>
          <w:p w14:paraId="5045D277" w14:textId="77777777" w:rsidR="004B5501" w:rsidRDefault="004B5501" w:rsidP="000A0B44">
            <w:pPr>
              <w:jc w:val="center"/>
            </w:pPr>
            <w:r>
              <w:t>26778</w:t>
            </w:r>
          </w:p>
        </w:tc>
        <w:tc>
          <w:tcPr>
            <w:tcW w:w="2119" w:type="dxa"/>
            <w:vAlign w:val="center"/>
          </w:tcPr>
          <w:p w14:paraId="21A807FB" w14:textId="77777777" w:rsidR="004B5501" w:rsidRDefault="004B5501" w:rsidP="000A0B44">
            <w:pPr>
              <w:jc w:val="center"/>
            </w:pPr>
            <w:r>
              <w:t>Prat2, CG14820, tow, CG10077, CG9948</w:t>
            </w:r>
          </w:p>
        </w:tc>
        <w:tc>
          <w:tcPr>
            <w:tcW w:w="3541" w:type="dxa"/>
            <w:vAlign w:val="center"/>
          </w:tcPr>
          <w:p w14:paraId="4646FF7A" w14:textId="77777777" w:rsidR="004B5501" w:rsidRDefault="004B5501" w:rsidP="000A0B44">
            <w:pPr>
              <w:jc w:val="center"/>
            </w:pPr>
            <w:r>
              <w:t>Ventral nerve cord subset, brain subset, macrophage</w:t>
            </w:r>
          </w:p>
        </w:tc>
        <w:tc>
          <w:tcPr>
            <w:tcW w:w="2215" w:type="dxa"/>
            <w:vAlign w:val="center"/>
          </w:tcPr>
          <w:p w14:paraId="2CC3B640" w14:textId="77777777" w:rsidR="004B5501" w:rsidRDefault="004B5501" w:rsidP="000A0B44">
            <w:pPr>
              <w:jc w:val="center"/>
            </w:pPr>
            <w:r>
              <w:t>No hemocytes</w:t>
            </w:r>
          </w:p>
        </w:tc>
      </w:tr>
      <w:tr w:rsidR="004B5501" w14:paraId="0EE6DAEC" w14:textId="77777777" w:rsidTr="00381103">
        <w:tc>
          <w:tcPr>
            <w:tcW w:w="1096" w:type="dxa"/>
            <w:vAlign w:val="center"/>
          </w:tcPr>
          <w:p w14:paraId="31F44ED3" w14:textId="77777777" w:rsidR="004B5501" w:rsidRDefault="004B5501" w:rsidP="000A0B44">
            <w:pPr>
              <w:jc w:val="center"/>
            </w:pPr>
            <w:r>
              <w:t>31562</w:t>
            </w:r>
          </w:p>
        </w:tc>
        <w:tc>
          <w:tcPr>
            <w:tcW w:w="2119" w:type="dxa"/>
            <w:vAlign w:val="center"/>
          </w:tcPr>
          <w:p w14:paraId="0480C534" w14:textId="77777777" w:rsidR="004B5501" w:rsidRDefault="004B5501" w:rsidP="000A0B44">
            <w:pPr>
              <w:jc w:val="center"/>
            </w:pPr>
            <w:r>
              <w:t>Mbs, th, CR43951, CG33258, CG5895</w:t>
            </w:r>
          </w:p>
        </w:tc>
        <w:tc>
          <w:tcPr>
            <w:tcW w:w="3541" w:type="dxa"/>
            <w:vAlign w:val="center"/>
          </w:tcPr>
          <w:p w14:paraId="5B1A197B" w14:textId="77777777" w:rsidR="004B5501" w:rsidRDefault="004B5501" w:rsidP="000A0B44">
            <w:pPr>
              <w:jc w:val="center"/>
            </w:pPr>
            <w:r>
              <w:t>Plasmatocytes anlage, head mesoderm primordium, hemocyte, macrophage</w:t>
            </w:r>
          </w:p>
        </w:tc>
        <w:tc>
          <w:tcPr>
            <w:tcW w:w="2215" w:type="dxa"/>
            <w:vAlign w:val="center"/>
          </w:tcPr>
          <w:p w14:paraId="1350695D" w14:textId="77777777" w:rsidR="004B5501" w:rsidRDefault="004B5501" w:rsidP="000A0B44">
            <w:pPr>
              <w:jc w:val="center"/>
            </w:pPr>
            <w:r>
              <w:t>Developmental pattern in hemocytes</w:t>
            </w:r>
          </w:p>
        </w:tc>
      </w:tr>
      <w:tr w:rsidR="004B5501" w14:paraId="3015A2BD" w14:textId="77777777" w:rsidTr="00381103">
        <w:tc>
          <w:tcPr>
            <w:tcW w:w="1096" w:type="dxa"/>
            <w:vAlign w:val="center"/>
          </w:tcPr>
          <w:p w14:paraId="496943CF" w14:textId="77777777" w:rsidR="004B5501" w:rsidRDefault="004B5501" w:rsidP="000A0B44">
            <w:pPr>
              <w:jc w:val="center"/>
            </w:pPr>
            <w:r>
              <w:t>3229</w:t>
            </w:r>
          </w:p>
        </w:tc>
        <w:tc>
          <w:tcPr>
            <w:tcW w:w="2119" w:type="dxa"/>
            <w:vAlign w:val="center"/>
          </w:tcPr>
          <w:p w14:paraId="665B3F41" w14:textId="77777777" w:rsidR="004B5501" w:rsidRDefault="004B5501" w:rsidP="000A0B44">
            <w:pPr>
              <w:jc w:val="center"/>
            </w:pPr>
            <w:r>
              <w:t>CG52368, CG42369, CG42370, CG9507, CG13982</w:t>
            </w:r>
          </w:p>
        </w:tc>
        <w:tc>
          <w:tcPr>
            <w:tcW w:w="3541" w:type="dxa"/>
            <w:vAlign w:val="center"/>
          </w:tcPr>
          <w:p w14:paraId="55967F66" w14:textId="77777777" w:rsidR="004B5501" w:rsidRDefault="004B5501" w:rsidP="000A0B44">
            <w:pPr>
              <w:jc w:val="center"/>
            </w:pPr>
            <w:r>
              <w:t>Head subset, hemocyte, macrophage</w:t>
            </w:r>
          </w:p>
        </w:tc>
        <w:tc>
          <w:tcPr>
            <w:tcW w:w="2215" w:type="dxa"/>
            <w:vAlign w:val="center"/>
          </w:tcPr>
          <w:p w14:paraId="09A23D48" w14:textId="77777777" w:rsidR="004B5501" w:rsidRDefault="004B5501" w:rsidP="000A0B44">
            <w:pPr>
              <w:jc w:val="center"/>
            </w:pPr>
            <w:r>
              <w:t>Subpopulation of hemocytes</w:t>
            </w:r>
          </w:p>
        </w:tc>
      </w:tr>
      <w:tr w:rsidR="004B5501" w14:paraId="771C99EB" w14:textId="77777777" w:rsidTr="00381103">
        <w:tc>
          <w:tcPr>
            <w:tcW w:w="1096" w:type="dxa"/>
            <w:vAlign w:val="center"/>
          </w:tcPr>
          <w:p w14:paraId="4910ED40" w14:textId="77777777" w:rsidR="004B5501" w:rsidRPr="0030674D" w:rsidRDefault="004B5501" w:rsidP="000A0B44">
            <w:pPr>
              <w:jc w:val="center"/>
              <w:rPr>
                <w:b/>
              </w:rPr>
            </w:pPr>
            <w:r w:rsidRPr="0030674D">
              <w:rPr>
                <w:b/>
              </w:rPr>
              <w:t>32897</w:t>
            </w:r>
          </w:p>
        </w:tc>
        <w:tc>
          <w:tcPr>
            <w:tcW w:w="2119" w:type="dxa"/>
            <w:vAlign w:val="center"/>
          </w:tcPr>
          <w:p w14:paraId="296A79C2" w14:textId="77777777" w:rsidR="004B5501" w:rsidRDefault="004B5501" w:rsidP="000A0B44">
            <w:pPr>
              <w:jc w:val="center"/>
            </w:pPr>
            <w:r>
              <w:t>MYPT-75D, bora, not, tRNA:CR32200, CG4174</w:t>
            </w:r>
          </w:p>
        </w:tc>
        <w:tc>
          <w:tcPr>
            <w:tcW w:w="3541" w:type="dxa"/>
            <w:vAlign w:val="center"/>
          </w:tcPr>
          <w:p w14:paraId="74CDC238" w14:textId="77777777" w:rsidR="004B5501" w:rsidRDefault="004B5501" w:rsidP="000A0B44">
            <w:pPr>
              <w:jc w:val="center"/>
            </w:pPr>
            <w:r>
              <w:t>Proventriculus, macrophage</w:t>
            </w:r>
          </w:p>
        </w:tc>
        <w:tc>
          <w:tcPr>
            <w:tcW w:w="2215" w:type="dxa"/>
            <w:vAlign w:val="center"/>
          </w:tcPr>
          <w:p w14:paraId="14A0C7C5" w14:textId="77777777" w:rsidR="004B5501" w:rsidRDefault="004B5501" w:rsidP="000A0B44">
            <w:pPr>
              <w:jc w:val="center"/>
            </w:pPr>
            <w:r>
              <w:t>Subpopulation of hemocytes</w:t>
            </w:r>
          </w:p>
        </w:tc>
      </w:tr>
      <w:tr w:rsidR="004B5501" w14:paraId="3976F804" w14:textId="77777777" w:rsidTr="00381103">
        <w:tc>
          <w:tcPr>
            <w:tcW w:w="1096" w:type="dxa"/>
            <w:vAlign w:val="center"/>
          </w:tcPr>
          <w:p w14:paraId="1F49C5E8" w14:textId="77777777" w:rsidR="004B5501" w:rsidRDefault="004B5501" w:rsidP="000A0B44">
            <w:pPr>
              <w:jc w:val="center"/>
            </w:pPr>
            <w:r>
              <w:t>54827</w:t>
            </w:r>
          </w:p>
        </w:tc>
        <w:tc>
          <w:tcPr>
            <w:tcW w:w="2119" w:type="dxa"/>
            <w:vAlign w:val="center"/>
          </w:tcPr>
          <w:p w14:paraId="6C3A20BB" w14:textId="77777777" w:rsidR="004B5501" w:rsidRDefault="004B5501" w:rsidP="000A0B44">
            <w:pPr>
              <w:jc w:val="center"/>
            </w:pPr>
            <w:r>
              <w:t>CG32816, l(1)sc, pcl, sc, CR44753</w:t>
            </w:r>
          </w:p>
        </w:tc>
        <w:tc>
          <w:tcPr>
            <w:tcW w:w="3541" w:type="dxa"/>
            <w:vAlign w:val="center"/>
          </w:tcPr>
          <w:p w14:paraId="0D06A2C4" w14:textId="77777777" w:rsidR="004B5501" w:rsidRDefault="004B5501" w:rsidP="000A0B44">
            <w:pPr>
              <w:jc w:val="center"/>
            </w:pPr>
            <w:r>
              <w:t>Plasmatocytes anlage, head mesoderm primordium, hemocyte, macrophage</w:t>
            </w:r>
          </w:p>
        </w:tc>
        <w:tc>
          <w:tcPr>
            <w:tcW w:w="2215" w:type="dxa"/>
            <w:vAlign w:val="center"/>
          </w:tcPr>
          <w:p w14:paraId="529F045B" w14:textId="77777777" w:rsidR="004B5501" w:rsidRDefault="004B5501" w:rsidP="000A0B44">
            <w:pPr>
              <w:jc w:val="center"/>
            </w:pPr>
            <w:r>
              <w:t>All hemocytes</w:t>
            </w:r>
          </w:p>
        </w:tc>
      </w:tr>
      <w:tr w:rsidR="004B5501" w14:paraId="69A8B632" w14:textId="77777777" w:rsidTr="00381103">
        <w:tc>
          <w:tcPr>
            <w:tcW w:w="1096" w:type="dxa"/>
            <w:vAlign w:val="center"/>
          </w:tcPr>
          <w:p w14:paraId="24158CF1" w14:textId="77777777" w:rsidR="004B5501" w:rsidRDefault="004B5501" w:rsidP="000A0B44">
            <w:pPr>
              <w:jc w:val="center"/>
            </w:pPr>
            <w:r>
              <w:t>55849</w:t>
            </w:r>
          </w:p>
        </w:tc>
        <w:tc>
          <w:tcPr>
            <w:tcW w:w="2119" w:type="dxa"/>
            <w:vAlign w:val="center"/>
          </w:tcPr>
          <w:p w14:paraId="69CCCB12" w14:textId="77777777" w:rsidR="004B5501" w:rsidRDefault="004B5501" w:rsidP="000A0B44">
            <w:pPr>
              <w:jc w:val="center"/>
            </w:pPr>
            <w:r>
              <w:t>trol, mir-4955, Pdfr, Vha36-3, CG13759</w:t>
            </w:r>
          </w:p>
        </w:tc>
        <w:tc>
          <w:tcPr>
            <w:tcW w:w="3541" w:type="dxa"/>
            <w:vAlign w:val="center"/>
          </w:tcPr>
          <w:p w14:paraId="7097635A" w14:textId="77777777" w:rsidR="004B5501" w:rsidRDefault="004B5501" w:rsidP="000A0B44">
            <w:pPr>
              <w:jc w:val="center"/>
            </w:pPr>
            <w:r>
              <w:t>Trunk mesoderm primordium, midgut broad, hindgut, hemocyte, macrophage, visceral muscle broad</w:t>
            </w:r>
          </w:p>
        </w:tc>
        <w:tc>
          <w:tcPr>
            <w:tcW w:w="2215" w:type="dxa"/>
            <w:vAlign w:val="center"/>
          </w:tcPr>
          <w:p w14:paraId="7ACB7086" w14:textId="77777777" w:rsidR="004B5501" w:rsidRDefault="004B5501" w:rsidP="000A0B44">
            <w:pPr>
              <w:jc w:val="center"/>
            </w:pPr>
            <w:r>
              <w:t>Subpopulation of hemocytes</w:t>
            </w:r>
          </w:p>
        </w:tc>
      </w:tr>
      <w:tr w:rsidR="004B5501" w14:paraId="6B21CFEF" w14:textId="77777777" w:rsidTr="00381103">
        <w:tc>
          <w:tcPr>
            <w:tcW w:w="1096" w:type="dxa"/>
            <w:vAlign w:val="center"/>
          </w:tcPr>
          <w:p w14:paraId="08627D33" w14:textId="77777777" w:rsidR="004B5501" w:rsidRPr="0030674D" w:rsidRDefault="004B5501" w:rsidP="000A0B44">
            <w:pPr>
              <w:jc w:val="center"/>
              <w:rPr>
                <w:b/>
              </w:rPr>
            </w:pPr>
            <w:r w:rsidRPr="0030674D">
              <w:rPr>
                <w:b/>
              </w:rPr>
              <w:t>57089</w:t>
            </w:r>
          </w:p>
        </w:tc>
        <w:tc>
          <w:tcPr>
            <w:tcW w:w="2119" w:type="dxa"/>
            <w:vAlign w:val="center"/>
          </w:tcPr>
          <w:p w14:paraId="4569C99F" w14:textId="77777777" w:rsidR="004B5501" w:rsidRDefault="004B5501" w:rsidP="000A0B44">
            <w:pPr>
              <w:jc w:val="center"/>
            </w:pPr>
            <w:r>
              <w:t>ovo, CG32767, CR44833, rg, Rpn13R</w:t>
            </w:r>
          </w:p>
        </w:tc>
        <w:tc>
          <w:tcPr>
            <w:tcW w:w="3541" w:type="dxa"/>
            <w:vAlign w:val="center"/>
          </w:tcPr>
          <w:p w14:paraId="0668A62B" w14:textId="77777777" w:rsidR="004B5501" w:rsidRDefault="004B5501" w:rsidP="000A0B44">
            <w:pPr>
              <w:jc w:val="center"/>
            </w:pPr>
            <w:r>
              <w:t>Hemocyte, macrophage</w:t>
            </w:r>
          </w:p>
        </w:tc>
        <w:tc>
          <w:tcPr>
            <w:tcW w:w="2215" w:type="dxa"/>
            <w:vAlign w:val="center"/>
          </w:tcPr>
          <w:p w14:paraId="77BB6515" w14:textId="77777777" w:rsidR="004B5501" w:rsidRDefault="004B5501" w:rsidP="000A0B44">
            <w:pPr>
              <w:jc w:val="center"/>
            </w:pPr>
            <w:r>
              <w:t>Subpopulation of hemocytes</w:t>
            </w:r>
          </w:p>
        </w:tc>
      </w:tr>
      <w:tr w:rsidR="004B5501" w14:paraId="04676061" w14:textId="77777777" w:rsidTr="00381103">
        <w:tc>
          <w:tcPr>
            <w:tcW w:w="1096" w:type="dxa"/>
            <w:vAlign w:val="center"/>
          </w:tcPr>
          <w:p w14:paraId="0B330707" w14:textId="77777777" w:rsidR="004B5501" w:rsidRPr="0030674D" w:rsidRDefault="004B5501" w:rsidP="000A0B44">
            <w:pPr>
              <w:jc w:val="center"/>
              <w:rPr>
                <w:b/>
              </w:rPr>
            </w:pPr>
            <w:r w:rsidRPr="0030674D">
              <w:rPr>
                <w:b/>
              </w:rPr>
              <w:t>62766</w:t>
            </w:r>
          </w:p>
        </w:tc>
        <w:tc>
          <w:tcPr>
            <w:tcW w:w="2119" w:type="dxa"/>
            <w:vAlign w:val="center"/>
          </w:tcPr>
          <w:p w14:paraId="3FA14D1E" w14:textId="77777777" w:rsidR="004B5501" w:rsidRDefault="004B5501" w:rsidP="000A0B44">
            <w:pPr>
              <w:jc w:val="center"/>
            </w:pPr>
            <w:r>
              <w:t>para, Cnx14D, CG9903, CG9902, Arp2</w:t>
            </w:r>
          </w:p>
        </w:tc>
        <w:tc>
          <w:tcPr>
            <w:tcW w:w="3541" w:type="dxa"/>
            <w:vAlign w:val="center"/>
          </w:tcPr>
          <w:p w14:paraId="2A184CDE" w14:textId="77777777" w:rsidR="004B5501" w:rsidRDefault="004B5501" w:rsidP="000A0B44">
            <w:pPr>
              <w:jc w:val="center"/>
            </w:pPr>
            <w:r>
              <w:t>Amnioserosa, macrophage</w:t>
            </w:r>
          </w:p>
        </w:tc>
        <w:tc>
          <w:tcPr>
            <w:tcW w:w="2215" w:type="dxa"/>
            <w:vAlign w:val="center"/>
          </w:tcPr>
          <w:p w14:paraId="0149B9BE" w14:textId="77777777" w:rsidR="004B5501" w:rsidRDefault="004B5501" w:rsidP="000A0B44">
            <w:pPr>
              <w:jc w:val="center"/>
            </w:pPr>
            <w:r>
              <w:t>Subpopulation of hemocytes</w:t>
            </w:r>
          </w:p>
        </w:tc>
      </w:tr>
      <w:tr w:rsidR="004B5501" w14:paraId="3C9FBD9B" w14:textId="77777777" w:rsidTr="00381103">
        <w:tc>
          <w:tcPr>
            <w:tcW w:w="1096" w:type="dxa"/>
            <w:vAlign w:val="center"/>
          </w:tcPr>
          <w:p w14:paraId="0CE91F1E" w14:textId="77777777" w:rsidR="004B5501" w:rsidRDefault="004B5501" w:rsidP="000A0B44">
            <w:pPr>
              <w:jc w:val="center"/>
            </w:pPr>
            <w:r>
              <w:lastRenderedPageBreak/>
              <w:t>26324</w:t>
            </w:r>
          </w:p>
        </w:tc>
        <w:tc>
          <w:tcPr>
            <w:tcW w:w="2119" w:type="dxa"/>
            <w:vAlign w:val="center"/>
          </w:tcPr>
          <w:p w14:paraId="665B7182" w14:textId="77777777" w:rsidR="004B5501" w:rsidRDefault="004B5501" w:rsidP="000A0B44">
            <w:pPr>
              <w:jc w:val="center"/>
            </w:pPr>
            <w:r>
              <w:t>CG10479, CG32406, alphaKap4, CG33933, Rcc1</w:t>
            </w:r>
          </w:p>
        </w:tc>
        <w:tc>
          <w:tcPr>
            <w:tcW w:w="3541" w:type="dxa"/>
            <w:vAlign w:val="center"/>
          </w:tcPr>
          <w:p w14:paraId="5D1E7E38" w14:textId="77777777" w:rsidR="004B5501" w:rsidRDefault="004B5501" w:rsidP="000A0B44">
            <w:pPr>
              <w:jc w:val="center"/>
            </w:pPr>
            <w:r>
              <w:t>Brain primordium broad, ventral epidermis primordium subset, ventral nerve cord subset, brain subset, head epidermis lateral subset, antenna-maxillary-labial complex, hemocyte, macrophage</w:t>
            </w:r>
          </w:p>
        </w:tc>
        <w:tc>
          <w:tcPr>
            <w:tcW w:w="2215" w:type="dxa"/>
            <w:vAlign w:val="center"/>
          </w:tcPr>
          <w:p w14:paraId="75DD0F45" w14:textId="77777777" w:rsidR="004B5501" w:rsidRDefault="004B5501" w:rsidP="000A0B44">
            <w:pPr>
              <w:jc w:val="center"/>
            </w:pPr>
            <w:r>
              <w:t>Subpopulation of hemocytes</w:t>
            </w:r>
          </w:p>
        </w:tc>
      </w:tr>
      <w:tr w:rsidR="004B5501" w14:paraId="177A6670" w14:textId="77777777" w:rsidTr="00381103">
        <w:tc>
          <w:tcPr>
            <w:tcW w:w="1096" w:type="dxa"/>
            <w:vAlign w:val="center"/>
          </w:tcPr>
          <w:p w14:paraId="5739C0BE" w14:textId="77777777" w:rsidR="004B5501" w:rsidRDefault="004B5501" w:rsidP="000A0B44">
            <w:pPr>
              <w:jc w:val="center"/>
            </w:pPr>
            <w:r>
              <w:t>2664</w:t>
            </w:r>
          </w:p>
        </w:tc>
        <w:tc>
          <w:tcPr>
            <w:tcW w:w="2119" w:type="dxa"/>
            <w:vAlign w:val="center"/>
          </w:tcPr>
          <w:p w14:paraId="5DA42644" w14:textId="77777777" w:rsidR="004B5501" w:rsidRDefault="004B5501" w:rsidP="000A0B44">
            <w:pPr>
              <w:jc w:val="center"/>
            </w:pPr>
            <w:r>
              <w:t>vri, CR44743, CR44743, Bub1, Bsg25D</w:t>
            </w:r>
          </w:p>
        </w:tc>
        <w:tc>
          <w:tcPr>
            <w:tcW w:w="3541" w:type="dxa"/>
            <w:vAlign w:val="center"/>
          </w:tcPr>
          <w:p w14:paraId="7D5CF875" w14:textId="77777777" w:rsidR="004B5501" w:rsidRDefault="004B5501" w:rsidP="000A0B44">
            <w:pPr>
              <w:jc w:val="center"/>
            </w:pPr>
            <w:r>
              <w:t>Head subset, hemocyte</w:t>
            </w:r>
          </w:p>
        </w:tc>
        <w:tc>
          <w:tcPr>
            <w:tcW w:w="2215" w:type="dxa"/>
            <w:vAlign w:val="center"/>
          </w:tcPr>
          <w:p w14:paraId="72B4A713" w14:textId="77777777" w:rsidR="004B5501" w:rsidRDefault="004B5501" w:rsidP="000A0B44">
            <w:pPr>
              <w:jc w:val="center"/>
            </w:pPr>
            <w:r>
              <w:t>Developmental pattern in hemocytes</w:t>
            </w:r>
          </w:p>
        </w:tc>
      </w:tr>
      <w:tr w:rsidR="004B5501" w14:paraId="40976E6B" w14:textId="77777777" w:rsidTr="00381103">
        <w:tc>
          <w:tcPr>
            <w:tcW w:w="1096" w:type="dxa"/>
            <w:vAlign w:val="center"/>
          </w:tcPr>
          <w:p w14:paraId="4DB884C5" w14:textId="77777777" w:rsidR="004B5501" w:rsidRDefault="004B5501" w:rsidP="000A0B44">
            <w:pPr>
              <w:jc w:val="center"/>
            </w:pPr>
            <w:r>
              <w:t>27014</w:t>
            </w:r>
          </w:p>
        </w:tc>
        <w:tc>
          <w:tcPr>
            <w:tcW w:w="2119" w:type="dxa"/>
            <w:vAlign w:val="center"/>
          </w:tcPr>
          <w:p w14:paraId="3ACA483E" w14:textId="77777777" w:rsidR="004B5501" w:rsidRDefault="004B5501" w:rsidP="000A0B44">
            <w:pPr>
              <w:jc w:val="center"/>
            </w:pPr>
            <w:r>
              <w:t>unc-13-4A, CG8607, RhoGEF4, CG8605, CG8602</w:t>
            </w:r>
          </w:p>
        </w:tc>
        <w:tc>
          <w:tcPr>
            <w:tcW w:w="3541" w:type="dxa"/>
            <w:vAlign w:val="center"/>
          </w:tcPr>
          <w:p w14:paraId="7D4241B8" w14:textId="77777777" w:rsidR="004B5501" w:rsidRDefault="004B5501" w:rsidP="000A0B44">
            <w:pPr>
              <w:jc w:val="center"/>
            </w:pPr>
            <w:r>
              <w:t>Hemocyte, macrophage</w:t>
            </w:r>
          </w:p>
        </w:tc>
        <w:tc>
          <w:tcPr>
            <w:tcW w:w="2215" w:type="dxa"/>
            <w:vAlign w:val="center"/>
          </w:tcPr>
          <w:p w14:paraId="71E02FD2" w14:textId="77777777" w:rsidR="004B5501" w:rsidRDefault="004B5501" w:rsidP="000A0B44">
            <w:pPr>
              <w:jc w:val="center"/>
            </w:pPr>
            <w:r>
              <w:t>No hemocytes</w:t>
            </w:r>
          </w:p>
        </w:tc>
      </w:tr>
      <w:tr w:rsidR="004B5501" w14:paraId="0D601054" w14:textId="77777777" w:rsidTr="00381103">
        <w:tc>
          <w:tcPr>
            <w:tcW w:w="1096" w:type="dxa"/>
            <w:vAlign w:val="center"/>
          </w:tcPr>
          <w:p w14:paraId="0C73E4B4" w14:textId="77777777" w:rsidR="004B5501" w:rsidRDefault="004B5501" w:rsidP="000A0B44">
            <w:pPr>
              <w:jc w:val="center"/>
            </w:pPr>
            <w:r>
              <w:t>44964</w:t>
            </w:r>
          </w:p>
        </w:tc>
        <w:tc>
          <w:tcPr>
            <w:tcW w:w="2119" w:type="dxa"/>
            <w:vAlign w:val="center"/>
          </w:tcPr>
          <w:p w14:paraId="55197B19" w14:textId="77777777" w:rsidR="004B5501" w:rsidRDefault="004B5501" w:rsidP="000A0B44">
            <w:pPr>
              <w:jc w:val="center"/>
            </w:pPr>
            <w:r>
              <w:t>CG31191, CG5630, snoRNA:CG31191-a, CR44106, Atpalpha</w:t>
            </w:r>
          </w:p>
        </w:tc>
        <w:tc>
          <w:tcPr>
            <w:tcW w:w="3541" w:type="dxa"/>
            <w:vAlign w:val="center"/>
          </w:tcPr>
          <w:p w14:paraId="4D944047" w14:textId="77777777" w:rsidR="004B5501" w:rsidRDefault="004B5501" w:rsidP="000A0B44">
            <w:pPr>
              <w:jc w:val="center"/>
            </w:pPr>
            <w:r>
              <w:t>Hemocyte, macrophage, yolk</w:t>
            </w:r>
          </w:p>
        </w:tc>
        <w:tc>
          <w:tcPr>
            <w:tcW w:w="2215" w:type="dxa"/>
            <w:vAlign w:val="center"/>
          </w:tcPr>
          <w:p w14:paraId="4B72C799" w14:textId="77777777" w:rsidR="004B5501" w:rsidRDefault="004B5501" w:rsidP="000A0B44">
            <w:pPr>
              <w:jc w:val="center"/>
            </w:pPr>
            <w:r>
              <w:t>No hemocytes</w:t>
            </w:r>
          </w:p>
        </w:tc>
      </w:tr>
      <w:tr w:rsidR="004B5501" w14:paraId="530D019C" w14:textId="77777777" w:rsidTr="00381103">
        <w:tc>
          <w:tcPr>
            <w:tcW w:w="1096" w:type="dxa"/>
            <w:vAlign w:val="center"/>
          </w:tcPr>
          <w:p w14:paraId="395F0E87" w14:textId="77777777" w:rsidR="004B5501" w:rsidRDefault="004B5501" w:rsidP="000A0B44">
            <w:pPr>
              <w:jc w:val="center"/>
            </w:pPr>
            <w:r>
              <w:t>42371</w:t>
            </w:r>
          </w:p>
        </w:tc>
        <w:tc>
          <w:tcPr>
            <w:tcW w:w="2119" w:type="dxa"/>
            <w:vAlign w:val="center"/>
          </w:tcPr>
          <w:p w14:paraId="0EBD2ABC" w14:textId="77777777" w:rsidR="004B5501" w:rsidRDefault="004B5501" w:rsidP="000A0B44">
            <w:pPr>
              <w:jc w:val="center"/>
            </w:pPr>
            <w:r>
              <w:t>pnr, GATAe, CG10264, CG10407, ird5</w:t>
            </w:r>
          </w:p>
        </w:tc>
        <w:tc>
          <w:tcPr>
            <w:tcW w:w="3541" w:type="dxa"/>
            <w:vAlign w:val="center"/>
          </w:tcPr>
          <w:p w14:paraId="0A1D3209" w14:textId="77777777" w:rsidR="004B5501" w:rsidRDefault="004B5501" w:rsidP="000A0B44">
            <w:pPr>
              <w:jc w:val="center"/>
            </w:pPr>
            <w:r>
              <w:t>Ventral midline, amnioserosa, plasmatocytes anlage, head mesoderm primordium, hemocyte, macrophage</w:t>
            </w:r>
          </w:p>
        </w:tc>
        <w:tc>
          <w:tcPr>
            <w:tcW w:w="2215" w:type="dxa"/>
            <w:vAlign w:val="center"/>
          </w:tcPr>
          <w:p w14:paraId="1D153E8A" w14:textId="77777777" w:rsidR="004B5501" w:rsidRDefault="004B5501" w:rsidP="000A0B44">
            <w:pPr>
              <w:jc w:val="center"/>
            </w:pPr>
            <w:r>
              <w:t>Subpopulation of hemocytes</w:t>
            </w:r>
          </w:p>
        </w:tc>
      </w:tr>
      <w:tr w:rsidR="004B5501" w14:paraId="6509A0F6" w14:textId="77777777" w:rsidTr="00381103">
        <w:tc>
          <w:tcPr>
            <w:tcW w:w="1096" w:type="dxa"/>
            <w:vAlign w:val="center"/>
          </w:tcPr>
          <w:p w14:paraId="35039078" w14:textId="77777777" w:rsidR="004B5501" w:rsidRDefault="004B5501" w:rsidP="000A0B44">
            <w:pPr>
              <w:jc w:val="center"/>
            </w:pPr>
            <w:r>
              <w:t>41692</w:t>
            </w:r>
          </w:p>
        </w:tc>
        <w:tc>
          <w:tcPr>
            <w:tcW w:w="2119" w:type="dxa"/>
            <w:vAlign w:val="center"/>
          </w:tcPr>
          <w:p w14:paraId="64CA1A6B" w14:textId="77777777" w:rsidR="004B5501" w:rsidRDefault="004B5501" w:rsidP="000A0B44">
            <w:pPr>
              <w:jc w:val="center"/>
            </w:pPr>
            <w:r>
              <w:t>Meltrin, kibra, CG3509, Rad17, Hexim</w:t>
            </w:r>
          </w:p>
        </w:tc>
        <w:tc>
          <w:tcPr>
            <w:tcW w:w="3541" w:type="dxa"/>
            <w:vAlign w:val="center"/>
          </w:tcPr>
          <w:p w14:paraId="38645802" w14:textId="77777777" w:rsidR="004B5501" w:rsidRDefault="004B5501" w:rsidP="000A0B44">
            <w:pPr>
              <w:jc w:val="center"/>
            </w:pPr>
            <w:r>
              <w:t>Hemocyte, macrophage</w:t>
            </w:r>
          </w:p>
        </w:tc>
        <w:tc>
          <w:tcPr>
            <w:tcW w:w="2215" w:type="dxa"/>
            <w:vAlign w:val="center"/>
          </w:tcPr>
          <w:p w14:paraId="7C911618" w14:textId="77777777" w:rsidR="004B5501" w:rsidRDefault="004B5501" w:rsidP="000A0B44">
            <w:pPr>
              <w:jc w:val="center"/>
            </w:pPr>
            <w:r>
              <w:t>Developmental pattern in hemocytes</w:t>
            </w:r>
          </w:p>
        </w:tc>
      </w:tr>
      <w:tr w:rsidR="004B5501" w14:paraId="5EA1DA52" w14:textId="77777777" w:rsidTr="00381103">
        <w:tc>
          <w:tcPr>
            <w:tcW w:w="1096" w:type="dxa"/>
            <w:vAlign w:val="center"/>
          </w:tcPr>
          <w:p w14:paraId="3D70DC27" w14:textId="77777777" w:rsidR="004B5501" w:rsidRDefault="004B5501" w:rsidP="000A0B44">
            <w:pPr>
              <w:jc w:val="center"/>
            </w:pPr>
            <w:r>
              <w:t>45961</w:t>
            </w:r>
          </w:p>
        </w:tc>
        <w:tc>
          <w:tcPr>
            <w:tcW w:w="2119" w:type="dxa"/>
            <w:vAlign w:val="center"/>
          </w:tcPr>
          <w:p w14:paraId="2DBA9564" w14:textId="77777777" w:rsidR="004B5501" w:rsidRDefault="004B5501" w:rsidP="000A0B44">
            <w:pPr>
              <w:jc w:val="center"/>
            </w:pPr>
            <w:r>
              <w:t>CG4704, CR43846, CR44350, CG13840, CG7031</w:t>
            </w:r>
          </w:p>
        </w:tc>
        <w:tc>
          <w:tcPr>
            <w:tcW w:w="3541" w:type="dxa"/>
            <w:vAlign w:val="center"/>
          </w:tcPr>
          <w:p w14:paraId="6A01F345" w14:textId="77777777" w:rsidR="004B5501" w:rsidRDefault="004B5501" w:rsidP="000A0B44">
            <w:pPr>
              <w:jc w:val="center"/>
            </w:pPr>
            <w:r>
              <w:t>Ventral nerve cord subset, brain subset, brain broad, hemocyte, macrophage</w:t>
            </w:r>
          </w:p>
        </w:tc>
        <w:tc>
          <w:tcPr>
            <w:tcW w:w="2215" w:type="dxa"/>
            <w:vAlign w:val="center"/>
          </w:tcPr>
          <w:p w14:paraId="67DE8504" w14:textId="77777777" w:rsidR="004B5501" w:rsidRDefault="004B5501" w:rsidP="000A0B44">
            <w:pPr>
              <w:jc w:val="center"/>
            </w:pPr>
            <w:r>
              <w:t>No hemocytes</w:t>
            </w:r>
          </w:p>
        </w:tc>
      </w:tr>
      <w:tr w:rsidR="004B5501" w14:paraId="6423113A" w14:textId="77777777" w:rsidTr="00381103">
        <w:tc>
          <w:tcPr>
            <w:tcW w:w="1096" w:type="dxa"/>
            <w:vAlign w:val="center"/>
          </w:tcPr>
          <w:p w14:paraId="02415CE6" w14:textId="77777777" w:rsidR="004B5501" w:rsidRPr="00093BFF" w:rsidRDefault="004B5501" w:rsidP="000A0B44">
            <w:pPr>
              <w:jc w:val="center"/>
              <w:rPr>
                <w:b/>
              </w:rPr>
            </w:pPr>
            <w:r w:rsidRPr="00093BFF">
              <w:rPr>
                <w:b/>
              </w:rPr>
              <w:t>40039</w:t>
            </w:r>
          </w:p>
        </w:tc>
        <w:tc>
          <w:tcPr>
            <w:tcW w:w="2119" w:type="dxa"/>
            <w:vAlign w:val="center"/>
          </w:tcPr>
          <w:p w14:paraId="2095A69E" w14:textId="77777777" w:rsidR="004B5501" w:rsidRDefault="004B5501" w:rsidP="000A0B44">
            <w:pPr>
              <w:jc w:val="center"/>
            </w:pPr>
            <w:r>
              <w:t>dpr5, dpr4, CR45056, CG14708, CG10898</w:t>
            </w:r>
          </w:p>
        </w:tc>
        <w:tc>
          <w:tcPr>
            <w:tcW w:w="3541" w:type="dxa"/>
            <w:vAlign w:val="center"/>
          </w:tcPr>
          <w:p w14:paraId="2825C4AF" w14:textId="77777777" w:rsidR="004B5501" w:rsidRDefault="004B5501" w:rsidP="000A0B44">
            <w:pPr>
              <w:jc w:val="center"/>
            </w:pPr>
            <w:r>
              <w:t>Ventral nerve cord subset, dorsal vessel, brain subset, hemocyte</w:t>
            </w:r>
          </w:p>
        </w:tc>
        <w:tc>
          <w:tcPr>
            <w:tcW w:w="2215" w:type="dxa"/>
            <w:vAlign w:val="center"/>
          </w:tcPr>
          <w:p w14:paraId="4BF72A6A" w14:textId="77777777" w:rsidR="004B5501" w:rsidRDefault="004B5501" w:rsidP="000A0B44">
            <w:pPr>
              <w:jc w:val="center"/>
            </w:pPr>
            <w:r>
              <w:t>Subpopulation of hemocytes</w:t>
            </w:r>
          </w:p>
        </w:tc>
      </w:tr>
      <w:tr w:rsidR="004B5501" w14:paraId="02B2A5D4" w14:textId="77777777" w:rsidTr="00381103">
        <w:tc>
          <w:tcPr>
            <w:tcW w:w="1096" w:type="dxa"/>
            <w:vAlign w:val="center"/>
          </w:tcPr>
          <w:p w14:paraId="3058CD6A" w14:textId="77777777" w:rsidR="004B5501" w:rsidRDefault="004B5501" w:rsidP="000A0B44">
            <w:pPr>
              <w:jc w:val="center"/>
            </w:pPr>
            <w:r>
              <w:t>4305</w:t>
            </w:r>
          </w:p>
        </w:tc>
        <w:tc>
          <w:tcPr>
            <w:tcW w:w="2119" w:type="dxa"/>
            <w:vAlign w:val="center"/>
          </w:tcPr>
          <w:p w14:paraId="59CD3233" w14:textId="77777777" w:rsidR="004B5501" w:rsidRDefault="004B5501" w:rsidP="000A0B44">
            <w:pPr>
              <w:jc w:val="center"/>
            </w:pPr>
            <w:r>
              <w:t xml:space="preserve">Sema-1a, tRNA:CR31603,  tRNA:CR31604, CG17834, </w:t>
            </w:r>
            <w:r w:rsidRPr="00093BFF">
              <w:t>tRNA:CR31895</w:t>
            </w:r>
          </w:p>
        </w:tc>
        <w:tc>
          <w:tcPr>
            <w:tcW w:w="3541" w:type="dxa"/>
            <w:vAlign w:val="center"/>
          </w:tcPr>
          <w:p w14:paraId="300BAE70" w14:textId="77777777" w:rsidR="004B5501" w:rsidRDefault="004B5501" w:rsidP="000A0B44">
            <w:pPr>
              <w:jc w:val="center"/>
            </w:pPr>
            <w:r>
              <w:t>Head subset, dorsal vessel, hemocyte, macrophage</w:t>
            </w:r>
          </w:p>
        </w:tc>
        <w:tc>
          <w:tcPr>
            <w:tcW w:w="2215" w:type="dxa"/>
            <w:vAlign w:val="center"/>
          </w:tcPr>
          <w:p w14:paraId="4B2FC558" w14:textId="77777777" w:rsidR="004B5501" w:rsidRDefault="004B5501" w:rsidP="000A0B44">
            <w:pPr>
              <w:jc w:val="center"/>
            </w:pPr>
            <w:r>
              <w:t>Developmental pattern in hemocytes</w:t>
            </w:r>
          </w:p>
        </w:tc>
      </w:tr>
    </w:tbl>
    <w:p w14:paraId="1A9055DD" w14:textId="77777777" w:rsidR="004B5501" w:rsidRDefault="004B5501" w:rsidP="004B5501">
      <w:r>
        <w:t xml:space="preserve">N.b. Bold indicates genes investigated in depth in this thesis. </w:t>
      </w:r>
    </w:p>
    <w:p w14:paraId="2E3ABA55" w14:textId="77777777" w:rsidR="004B5501" w:rsidRDefault="004B5501" w:rsidP="004B5501"/>
    <w:p w14:paraId="1E0B1E75" w14:textId="77777777" w:rsidR="004B5501" w:rsidRDefault="004B5501" w:rsidP="004B5501"/>
    <w:p w14:paraId="2B9C1E3C" w14:textId="77777777" w:rsidR="004B5501" w:rsidRDefault="004B5501" w:rsidP="004B5501"/>
    <w:p w14:paraId="1F40B253" w14:textId="77777777" w:rsidR="004B5501" w:rsidRDefault="004B5501" w:rsidP="004B5501">
      <w:pPr>
        <w:rPr>
          <w:noProof/>
          <w:lang w:eastAsia="en-GB"/>
        </w:rPr>
      </w:pPr>
    </w:p>
    <w:p w14:paraId="1005DB6B" w14:textId="77777777" w:rsidR="004B5501" w:rsidRDefault="004B5501" w:rsidP="004B5501">
      <w:pPr>
        <w:rPr>
          <w:noProof/>
          <w:lang w:eastAsia="en-GB"/>
        </w:rPr>
      </w:pPr>
    </w:p>
    <w:p w14:paraId="4BBF535D" w14:textId="77777777" w:rsidR="004B5501" w:rsidRDefault="004B5501" w:rsidP="004B5501">
      <w:r>
        <w:rPr>
          <w:noProof/>
          <w:lang w:eastAsia="en-GB"/>
        </w:rPr>
        <w:lastRenderedPageBreak/>
        <w:drawing>
          <wp:inline distT="0" distB="0" distL="0" distR="0" wp14:anchorId="7F71EB20" wp14:editId="50563A30">
            <wp:extent cx="5911098" cy="2505075"/>
            <wp:effectExtent l="0" t="0" r="0" b="0"/>
            <wp:docPr id="60" name="Picture 60" descr="D:\Dropbox\PhD\Writing\Thesis\Chapter 3 Identification of hemocyte subpopulations\Figures\Fig 1 - Stark lab data\Fig - Stark lab da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3 Identification of hemocyte subpopulations\Figures\Fig 1 - Stark lab data\Fig - Stark lab data.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927" r="3757" b="64358"/>
                    <a:stretch/>
                  </pic:blipFill>
                  <pic:spPr bwMode="auto">
                    <a:xfrm>
                      <a:off x="0" y="0"/>
                      <a:ext cx="5914065" cy="2506333"/>
                    </a:xfrm>
                    <a:prstGeom prst="rect">
                      <a:avLst/>
                    </a:prstGeom>
                    <a:noFill/>
                    <a:ln>
                      <a:noFill/>
                    </a:ln>
                    <a:extLst>
                      <a:ext uri="{53640926-AAD7-44D8-BBD7-CCE9431645EC}">
                        <a14:shadowObscured xmlns:a14="http://schemas.microsoft.com/office/drawing/2010/main"/>
                      </a:ext>
                    </a:extLst>
                  </pic:spPr>
                </pic:pic>
              </a:graphicData>
            </a:graphic>
          </wp:inline>
        </w:drawing>
      </w:r>
    </w:p>
    <w:p w14:paraId="05EDF92B" w14:textId="77777777" w:rsidR="004B5501" w:rsidRPr="00AF4E25" w:rsidRDefault="004B5501" w:rsidP="004B5501">
      <w:pPr>
        <w:pStyle w:val="NoSpacing"/>
        <w:rPr>
          <w:b/>
        </w:rPr>
      </w:pPr>
      <w:r w:rsidRPr="00AF4E25">
        <w:rPr>
          <w:b/>
        </w:rPr>
        <w:t xml:space="preserve">Figure 3.1. </w:t>
      </w:r>
      <w:r w:rsidRPr="00AF4E25">
        <w:rPr>
          <w:b/>
          <w:i/>
        </w:rPr>
        <w:t xml:space="preserve">In situ </w:t>
      </w:r>
      <w:r w:rsidRPr="00AF4E25">
        <w:rPr>
          <w:b/>
        </w:rPr>
        <w:t xml:space="preserve">data reveals potential hemocyte subpopulations. </w:t>
      </w:r>
    </w:p>
    <w:p w14:paraId="157CAD0E" w14:textId="1DA8821E" w:rsidR="004B5501" w:rsidRPr="00794026" w:rsidRDefault="004B5501" w:rsidP="004B5501">
      <w:pPr>
        <w:pStyle w:val="NoSpacing"/>
      </w:pPr>
      <w:r>
        <w:t xml:space="preserve">Data from a large </w:t>
      </w:r>
      <w:r>
        <w:rPr>
          <w:i/>
        </w:rPr>
        <w:t xml:space="preserve">in situ </w:t>
      </w:r>
      <w:r>
        <w:t xml:space="preserve">screen of enhancer candidates revealed that different enhancers had different expression patterns, some of which appeared to be within a subpopulation(s) of hemocytes. (A) demonstrates ventral nerve cord (VNC) staining (VT063185). (B) shows an example of staining in all hemocytes (VT054827). (C-F) show examples of enhancer activity in hemocyte subsets that we have examined functionally (C, VT32897, D, VT57089, E, VT17559, F, VT62766).  Anterior is left, ventral side up, all stage 15. </w:t>
      </w:r>
      <w:r w:rsidRPr="00794026">
        <w:t xml:space="preserve">Adapted from Kvon </w:t>
      </w:r>
      <w:r w:rsidRPr="00794026">
        <w:rPr>
          <w:i/>
        </w:rPr>
        <w:t>et al</w:t>
      </w:r>
      <w:r w:rsidRPr="00794026">
        <w:t xml:space="preserve"> </w:t>
      </w:r>
      <w:r>
        <w:fldChar w:fldCharType="begin"/>
      </w:r>
      <w:r w:rsidR="000A209C">
        <w:instrText xml:space="preserve"> ADDIN ZOTERO_ITEM CSL_CITATION {"citationID":"xlkdFDCw","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w:t>
      </w:r>
    </w:p>
    <w:p w14:paraId="6B07C208" w14:textId="77777777" w:rsidR="004B5501" w:rsidRDefault="004B5501" w:rsidP="004B5501">
      <w:pPr>
        <w:pStyle w:val="Thesisnormal"/>
      </w:pPr>
    </w:p>
    <w:p w14:paraId="23ABA5D8" w14:textId="77777777" w:rsidR="004B5501" w:rsidRDefault="004B5501" w:rsidP="004B5501">
      <w:pPr>
        <w:pStyle w:val="Thesisnormal"/>
      </w:pPr>
    </w:p>
    <w:p w14:paraId="0B06098B" w14:textId="77777777" w:rsidR="004B5501" w:rsidRPr="008B044B" w:rsidRDefault="004B5501" w:rsidP="004B5501">
      <w:pPr>
        <w:pStyle w:val="Heading3"/>
        <w:spacing w:line="360" w:lineRule="auto"/>
      </w:pPr>
      <w:bookmarkStart w:id="140" w:name="_Toc4589317"/>
      <w:r>
        <w:t xml:space="preserve">3.2.1 Enhancer elements are differentially expressed throughout </w:t>
      </w:r>
      <w:r>
        <w:rPr>
          <w:i/>
        </w:rPr>
        <w:t>Drosophila</w:t>
      </w:r>
      <w:r>
        <w:t xml:space="preserve"> embryonic development</w:t>
      </w:r>
      <w:bookmarkEnd w:id="140"/>
    </w:p>
    <w:p w14:paraId="01A8C436" w14:textId="77777777" w:rsidR="004B5501" w:rsidRDefault="004B5501" w:rsidP="004B5501">
      <w:pPr>
        <w:pStyle w:val="Thesisnormal"/>
      </w:pPr>
    </w:p>
    <w:p w14:paraId="427BED43" w14:textId="3FD590D4" w:rsidR="004B5501" w:rsidRDefault="004B5501" w:rsidP="004B5501">
      <w:pPr>
        <w:pStyle w:val="Thesisnormal"/>
      </w:pPr>
      <w:r>
        <w:t xml:space="preserve">Reviewing the original Stark lab data, we identified 21 VT-enhancer lines that appeared to have expression within a subpopulation of hemocytes </w:t>
      </w:r>
      <w:r>
        <w:fldChar w:fldCharType="begin"/>
      </w:r>
      <w:r w:rsidR="000A209C">
        <w:instrText xml:space="preserve"> ADDIN ZOTERO_ITEM CSL_CITATION {"citationID":"a3gviijk8h","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w:t>
      </w:r>
      <w:r w:rsidRPr="00043C01">
        <w:t xml:space="preserve"> </w:t>
      </w:r>
      <w:r>
        <w:t xml:space="preserve">To validate the expression of different enhancers within hemocytes, we required a fly line with a UAS-fluorescent construct and a pan-hemocyte label. We used </w:t>
      </w:r>
      <w:r w:rsidRPr="002365D7">
        <w:rPr>
          <w:i/>
        </w:rPr>
        <w:t>UAS-TdTomato</w:t>
      </w:r>
      <w:r>
        <w:t xml:space="preserve"> as a reporter of enhancer activity and </w:t>
      </w:r>
      <w:r>
        <w:rPr>
          <w:i/>
        </w:rPr>
        <w:t xml:space="preserve">SrpGMA </w:t>
      </w:r>
      <w:r>
        <w:t>(GFP fused to the actin-binding domain of moesin under the control of a se</w:t>
      </w:r>
      <w:r>
        <w:rPr>
          <w:i/>
        </w:rPr>
        <w:t>rpent</w:t>
      </w:r>
      <w:r>
        <w:t xml:space="preserve"> promoter) to label all hemocytes in the embryo </w:t>
      </w:r>
      <w:r>
        <w:fldChar w:fldCharType="begin"/>
      </w:r>
      <w:r w:rsidR="000A209C">
        <w:instrText xml:space="preserve"> ADDIN ZOTERO_ITEM CSL_CITATION {"citationID":"3zCDCvYq","properties":{"formattedCitation":"(224)","plainCitation":"(224)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schema":"https://github.com/citation-style-language/schema/raw/master/csl-citation.json"} </w:instrText>
      </w:r>
      <w:r>
        <w:fldChar w:fldCharType="separate"/>
      </w:r>
      <w:r w:rsidR="004A1963" w:rsidRPr="004A1963">
        <w:rPr>
          <w:rFonts w:ascii="Calibri" w:hAnsi="Calibri"/>
        </w:rPr>
        <w:t>(224)</w:t>
      </w:r>
      <w:r>
        <w:fldChar w:fldCharType="end"/>
      </w:r>
      <w:r>
        <w:t xml:space="preserve"> </w:t>
      </w:r>
      <w:r w:rsidRPr="004362F9">
        <w:t xml:space="preserve">(Fig 3.2). </w:t>
      </w:r>
      <w:r>
        <w:t>To investigate the enhancer lines in more detail, w</w:t>
      </w:r>
      <w:r w:rsidRPr="004362F9">
        <w:t xml:space="preserve">e </w:t>
      </w:r>
      <w:r>
        <w:t xml:space="preserve">profiled expression across development at stages 12-15 on the ventral and dorsal sides of the embryo. </w:t>
      </w:r>
      <w:r w:rsidRPr="004362F9">
        <w:t xml:space="preserve">Our positive control, </w:t>
      </w:r>
      <w:r w:rsidRPr="004362F9">
        <w:rPr>
          <w:i/>
        </w:rPr>
        <w:t>serpent</w:t>
      </w:r>
      <w:r w:rsidRPr="004362F9">
        <w:t xml:space="preserve"> (</w:t>
      </w:r>
      <w:r w:rsidRPr="004362F9">
        <w:rPr>
          <w:i/>
        </w:rPr>
        <w:t>srp</w:t>
      </w:r>
      <w:r>
        <w:rPr>
          <w:i/>
        </w:rPr>
        <w:t>-GAL4</w:t>
      </w:r>
      <w:r w:rsidRPr="004362F9">
        <w:t>), specifically labelled the majority of hemocytes throughout the four stages that we observed</w:t>
      </w:r>
      <w:r>
        <w:t>, as quantified by eye</w:t>
      </w:r>
      <w:r w:rsidRPr="004362F9">
        <w:t xml:space="preserve"> (Fig 3.2 A</w:t>
      </w:r>
      <w:r>
        <w:t xml:space="preserve"> &amp; B</w:t>
      </w:r>
      <w:r w:rsidRPr="004362F9">
        <w:t xml:space="preserve">). In contrast, our negative control did not label any cells throughout the observed stages, confirming that the </w:t>
      </w:r>
      <w:r w:rsidRPr="00514E86">
        <w:rPr>
          <w:i/>
        </w:rPr>
        <w:t>UAS-tdTomato</w:t>
      </w:r>
      <w:r w:rsidRPr="004362F9">
        <w:t xml:space="preserve"> was only expressed in the presence of </w:t>
      </w:r>
      <w:r w:rsidRPr="004362F9">
        <w:rPr>
          <w:i/>
        </w:rPr>
        <w:t>GAL4</w:t>
      </w:r>
      <w:r w:rsidRPr="004362F9">
        <w:t xml:space="preserve"> (Fig 3.2 </w:t>
      </w:r>
      <w:r>
        <w:t>A</w:t>
      </w:r>
      <w:r w:rsidRPr="004362F9">
        <w:t>).</w:t>
      </w:r>
      <w:r>
        <w:t xml:space="preserve"> </w:t>
      </w:r>
    </w:p>
    <w:p w14:paraId="2749EC2C" w14:textId="77777777" w:rsidR="004B5501" w:rsidRDefault="004B5501" w:rsidP="004B5501">
      <w:pPr>
        <w:pStyle w:val="Thesisnormal"/>
      </w:pPr>
      <w:r>
        <w:rPr>
          <w:noProof/>
          <w:lang w:eastAsia="en-GB"/>
        </w:rPr>
        <w:lastRenderedPageBreak/>
        <w:drawing>
          <wp:inline distT="0" distB="0" distL="0" distR="0" wp14:anchorId="17031E2E" wp14:editId="6DA97CE9">
            <wp:extent cx="5791200" cy="3926413"/>
            <wp:effectExtent l="0" t="0" r="0" b="0"/>
            <wp:docPr id="61" name="Picture 61" descr="D:\Dropbox\PhD\Writing\Thesis\Chapter 3 Identification of hemocyte subpopulations\Figures\Fig 2 - tdTom controls\TdTom controls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3 Identification of hemocyte subpopulations\Figures\Fig 2 - tdTom controls\TdTom controls figure.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2267"/>
                    <a:stretch/>
                  </pic:blipFill>
                  <pic:spPr bwMode="auto">
                    <a:xfrm>
                      <a:off x="0" y="0"/>
                      <a:ext cx="5798693" cy="3931493"/>
                    </a:xfrm>
                    <a:prstGeom prst="rect">
                      <a:avLst/>
                    </a:prstGeom>
                    <a:noFill/>
                    <a:ln>
                      <a:noFill/>
                    </a:ln>
                    <a:extLst>
                      <a:ext uri="{53640926-AAD7-44D8-BBD7-CCE9431645EC}">
                        <a14:shadowObscured xmlns:a14="http://schemas.microsoft.com/office/drawing/2010/main"/>
                      </a:ext>
                    </a:extLst>
                  </pic:spPr>
                </pic:pic>
              </a:graphicData>
            </a:graphic>
          </wp:inline>
        </w:drawing>
      </w:r>
    </w:p>
    <w:p w14:paraId="59F62834" w14:textId="77777777" w:rsidR="004B5501" w:rsidRPr="00514E86" w:rsidRDefault="004B5501" w:rsidP="004B5501">
      <w:pPr>
        <w:pStyle w:val="NoSpacing"/>
        <w:rPr>
          <w:b/>
        </w:rPr>
      </w:pPr>
      <w:r w:rsidRPr="00514E86">
        <w:rPr>
          <w:b/>
        </w:rPr>
        <w:t xml:space="preserve">Figure 3.2. The </w:t>
      </w:r>
      <w:r w:rsidRPr="00514E86">
        <w:rPr>
          <w:b/>
          <w:i/>
        </w:rPr>
        <w:t>GAL4-UAS</w:t>
      </w:r>
      <w:r w:rsidRPr="00514E86">
        <w:rPr>
          <w:b/>
          <w:i/>
        </w:rPr>
        <w:softHyphen/>
        <w:t xml:space="preserve"> </w:t>
      </w:r>
      <w:r w:rsidRPr="00514E86">
        <w:rPr>
          <w:b/>
        </w:rPr>
        <w:t xml:space="preserve">expression system is effective for visualising hemocytes </w:t>
      </w:r>
    </w:p>
    <w:p w14:paraId="53713306" w14:textId="77777777" w:rsidR="004B5501" w:rsidRDefault="004B5501" w:rsidP="004B5501">
      <w:pPr>
        <w:pStyle w:val="NoSpacing"/>
      </w:pPr>
      <w:r>
        <w:t>(A) Representative images of hemocytes from a positive control (</w:t>
      </w:r>
      <w:r>
        <w:rPr>
          <w:i/>
        </w:rPr>
        <w:t>w;UAS-tdTomato/Srp-GAL4;SrpGMA/SrpGMA</w:t>
      </w:r>
      <w:r>
        <w:t>) and negative control (</w:t>
      </w:r>
      <w:r>
        <w:rPr>
          <w:i/>
        </w:rPr>
        <w:t>w;UAS-tdTom/+;SrpGMA/SrpGMA</w:t>
      </w:r>
      <w:r>
        <w:t>) where hemocytes (</w:t>
      </w:r>
      <w:r>
        <w:rPr>
          <w:i/>
        </w:rPr>
        <w:t>SrpGMA</w:t>
      </w:r>
      <w:r>
        <w:t xml:space="preserve">) are labelled in green. Expression of the UAS is labelled as red. Scale bar represents 10µm. (B) Scatterplot of positive control demonstrating that </w:t>
      </w:r>
      <w:r w:rsidRPr="00514E86">
        <w:rPr>
          <w:i/>
        </w:rPr>
        <w:t>UAS-tdTom</w:t>
      </w:r>
      <w:r>
        <w:t xml:space="preserve"> labels the majority of hemocytes that are co-labelled with </w:t>
      </w:r>
      <w:r w:rsidRPr="00514E86">
        <w:rPr>
          <w:i/>
        </w:rPr>
        <w:t>SrpGMA</w:t>
      </w:r>
      <w:r>
        <w:t xml:space="preserve"> across developmental stages. Lines and error bars represent mean ± SD, One-way ANOVA with Dunnett’s multiple comparisons test, n=6 embryos. </w:t>
      </w:r>
    </w:p>
    <w:p w14:paraId="38BF48BE" w14:textId="77777777" w:rsidR="004B5501" w:rsidRDefault="004B5501" w:rsidP="004B5501">
      <w:pPr>
        <w:pStyle w:val="Thesisnormal"/>
      </w:pPr>
    </w:p>
    <w:p w14:paraId="1D567984" w14:textId="77777777" w:rsidR="004B5501" w:rsidRDefault="004B5501" w:rsidP="004B5501">
      <w:pPr>
        <w:pStyle w:val="Thesisnormal"/>
      </w:pPr>
    </w:p>
    <w:p w14:paraId="1980844A" w14:textId="513AF209" w:rsidR="004B5501" w:rsidRPr="00DA2EF4" w:rsidRDefault="004B5501" w:rsidP="004B5501">
      <w:pPr>
        <w:pStyle w:val="Thesisnormal"/>
        <w:rPr>
          <w:highlight w:val="yellow"/>
        </w:rPr>
      </w:pPr>
      <w:r>
        <w:t xml:space="preserve">Having confirmed that </w:t>
      </w:r>
      <w:r w:rsidRPr="00573136">
        <w:rPr>
          <w:i/>
        </w:rPr>
        <w:t>Srp-GAL4,UAS-tdTomato</w:t>
      </w:r>
      <w:r>
        <w:t xml:space="preserve"> and </w:t>
      </w:r>
      <w:r w:rsidRPr="00573136">
        <w:rPr>
          <w:i/>
        </w:rPr>
        <w:t>SrpGMA</w:t>
      </w:r>
      <w:r>
        <w:t xml:space="preserve">-labelled hemocytes overlapped, we next investigated the VT enhancer lines. We observed 4 main categories of enhancer expression throughout development of the embryo stages studied (Fig 3.3). </w:t>
      </w:r>
      <w:r w:rsidRPr="009B101C">
        <w:t>VT16254</w:t>
      </w:r>
      <w:r>
        <w:t xml:space="preserve"> demonstrates an enhancer that was active in the majority of hemocytes throughout development, similar to that seen with the positive control (</w:t>
      </w:r>
      <w:r w:rsidRPr="00DA2EF4">
        <w:t xml:space="preserve">Fig 3.3 A &amp; </w:t>
      </w:r>
      <w:r>
        <w:t>C</w:t>
      </w:r>
      <w:r w:rsidRPr="00DA2EF4">
        <w:t xml:space="preserve">). In contrast, VT44964 </w:t>
      </w:r>
      <w:r>
        <w:t xml:space="preserve">driven </w:t>
      </w:r>
      <w:r w:rsidR="00D9245F">
        <w:t>tdTomato</w:t>
      </w:r>
      <w:r>
        <w:t xml:space="preserve"> does not</w:t>
      </w:r>
      <w:r w:rsidRPr="00DA2EF4">
        <w:t xml:space="preserve"> appear to be </w:t>
      </w:r>
      <w:r>
        <w:t>expressed</w:t>
      </w:r>
      <w:r w:rsidRPr="00DA2EF4">
        <w:t xml:space="preserve"> in hemocytes, representing an enhancer that is not </w:t>
      </w:r>
      <w:r>
        <w:t>active</w:t>
      </w:r>
      <w:r w:rsidRPr="00DA2EF4">
        <w:t xml:space="preserve"> throughout any of the observed development stages</w:t>
      </w:r>
      <w:r>
        <w:t>, or that is below the limits of detection using this approach</w:t>
      </w:r>
      <w:r w:rsidRPr="00DA2EF4">
        <w:t xml:space="preserve"> (Fig 3.3 </w:t>
      </w:r>
      <w:r>
        <w:t xml:space="preserve">A &amp; D). In addition, as can be seen in the stage 14 image, this enhancer is active in other tissues (Kvon </w:t>
      </w:r>
      <w:r>
        <w:rPr>
          <w:i/>
        </w:rPr>
        <w:t>et al</w:t>
      </w:r>
      <w:r>
        <w:t xml:space="preserve"> annotated this line as having yolk expression at stage 14 </w:t>
      </w:r>
      <w:r>
        <w:fldChar w:fldCharType="begin"/>
      </w:r>
      <w:r w:rsidR="000A209C">
        <w:instrText xml:space="preserve"> ADDIN ZOTERO_ITEM CSL_CITATION {"citationID":"pHvBCJnm","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confirming that the enhancer was active at this </w:t>
      </w:r>
      <w:r>
        <w:lastRenderedPageBreak/>
        <w:t xml:space="preserve">stage, but not in hemocytes. </w:t>
      </w:r>
      <w:bookmarkStart w:id="141" w:name="_Hlk4570981"/>
      <w:r>
        <w:t>We also observed situati</w:t>
      </w:r>
      <w:r w:rsidR="002354B9">
        <w:t>o</w:t>
      </w:r>
      <w:r>
        <w:t xml:space="preserve">ns in which expression appears developmentally regulated, </w:t>
      </w:r>
      <w:bookmarkEnd w:id="141"/>
      <w:r>
        <w:t>wherein the enhancer line appeared to be active in more hemocytes as the embryo progressed through development. An example of this is VT41962, where the enhancer expression increases from approximately 5% at stage 13 to 50% at stage 14, finally reaching 85% by stage 15 of development (</w:t>
      </w:r>
      <w:r w:rsidRPr="00DA2EF4">
        <w:t>Fig 3.3 A</w:t>
      </w:r>
      <w:r>
        <w:t xml:space="preserve"> &amp; E</w:t>
      </w:r>
      <w:r w:rsidRPr="00DA2EF4">
        <w:t xml:space="preserve">). </w:t>
      </w:r>
      <w:r>
        <w:t xml:space="preserve">Lastly, </w:t>
      </w:r>
      <w:r w:rsidRPr="00DA2EF4">
        <w:t xml:space="preserve">VT17559 illustrates an example of an enhancer </w:t>
      </w:r>
      <w:r>
        <w:t xml:space="preserve">driving </w:t>
      </w:r>
      <w:r w:rsidRPr="00DA2EF4">
        <w:t>express</w:t>
      </w:r>
      <w:r>
        <w:t>ion in/marking</w:t>
      </w:r>
      <w:r w:rsidRPr="00DA2EF4">
        <w:t xml:space="preserve"> a s</w:t>
      </w:r>
      <w:r>
        <w:t>ubpopulation</w:t>
      </w:r>
      <w:r w:rsidRPr="00DA2EF4">
        <w:t xml:space="preserve"> of hemocytes (Fig 3.3 A &amp; </w:t>
      </w:r>
      <w:r>
        <w:t xml:space="preserve">F). </w:t>
      </w:r>
      <w:r w:rsidRPr="00DA2EF4">
        <w:t xml:space="preserve">In this expression pattern, the enhancer </w:t>
      </w:r>
      <w:r w:rsidRPr="00A427CF">
        <w:t>is active</w:t>
      </w:r>
      <w:r w:rsidRPr="00DA2EF4">
        <w:t xml:space="preserve"> in approximately 10% of hemocytes, peaking at 40% expression by stage 15. </w:t>
      </w:r>
      <w:r>
        <w:t xml:space="preserve">From the original 21 enhancer lines, we observed 2 lines that were expressed in all hemocytes, 4 lines that were not expressed in hemocytes, 4 lines that had a </w:t>
      </w:r>
      <w:r w:rsidRPr="00DA2EF4">
        <w:t>developmental expression pattern and 11 lines that app</w:t>
      </w:r>
      <w:r>
        <w:t>eared to be expressed in a subpopulation</w:t>
      </w:r>
      <w:r w:rsidRPr="00DA2EF4">
        <w:t xml:space="preserve"> of hemocytes (Fig 3.3 </w:t>
      </w:r>
      <w:r>
        <w:t>G</w:t>
      </w:r>
      <w:r w:rsidRPr="00DA2EF4">
        <w:t>).</w:t>
      </w:r>
      <w:r>
        <w:t xml:space="preserve"> </w:t>
      </w:r>
    </w:p>
    <w:p w14:paraId="725FBB5C" w14:textId="77777777" w:rsidR="004B5501" w:rsidRDefault="004B5501" w:rsidP="004B5501">
      <w:pPr>
        <w:pStyle w:val="Thesisnormal"/>
      </w:pPr>
    </w:p>
    <w:p w14:paraId="5DA3A644" w14:textId="47CF5DA9" w:rsidR="004B5501" w:rsidRDefault="004B5501" w:rsidP="004B5501">
      <w:pPr>
        <w:pStyle w:val="Thesisnormal"/>
      </w:pPr>
      <w:bookmarkStart w:id="142" w:name="_Hlk4578525"/>
      <w:r>
        <w:t xml:space="preserve">We observed </w:t>
      </w:r>
      <w:r w:rsidRPr="00AD29E2">
        <w:rPr>
          <w:i/>
        </w:rPr>
        <w:t>enhancer-GAL4</w:t>
      </w:r>
      <w:r>
        <w:t xml:space="preserve"> driven expression of </w:t>
      </w:r>
      <w:r w:rsidR="00D9245F">
        <w:t>tdTomato</w:t>
      </w:r>
      <w:r>
        <w:t xml:space="preserve"> within hemocytes </w:t>
      </w:r>
      <w:bookmarkEnd w:id="142"/>
      <w:r>
        <w:t xml:space="preserve">in 17 VT lines (from the 21 initially screened) that Kvon </w:t>
      </w:r>
      <w:r>
        <w:rPr>
          <w:i/>
        </w:rPr>
        <w:t>et al</w:t>
      </w:r>
      <w:r>
        <w:t xml:space="preserve"> labelled as macrophage or hemocyte expression </w:t>
      </w:r>
      <w:r>
        <w:fldChar w:fldCharType="begin"/>
      </w:r>
      <w:r w:rsidR="000A209C">
        <w:instrText xml:space="preserve"> ADDIN ZOTERO_ITEM CSL_CITATION {"citationID":"zJopjcBs","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However, we also revealed 4 enhancer lines that did not drive </w:t>
      </w:r>
      <w:r w:rsidR="00D9245F">
        <w:t>tdTomato</w:t>
      </w:r>
      <w:r>
        <w:t xml:space="preserve"> expression in hemocytes, in contrast to the original screen, possibly due to the different approaches taken. As we have utilised a hemocyte-specific cell label (</w:t>
      </w:r>
      <w:r w:rsidRPr="00602938">
        <w:rPr>
          <w:i/>
        </w:rPr>
        <w:t>serpent</w:t>
      </w:r>
      <w:r>
        <w:t xml:space="preserve">) in addition to </w:t>
      </w:r>
      <w:r w:rsidRPr="00602938">
        <w:rPr>
          <w:i/>
        </w:rPr>
        <w:t>enhancer-GAL4</w:t>
      </w:r>
      <w:r>
        <w:t xml:space="preserve"> driven </w:t>
      </w:r>
      <w:r w:rsidR="00D9245F">
        <w:t>tdTomato</w:t>
      </w:r>
      <w:r>
        <w:t xml:space="preserve"> expression, we can be more confident of enhancer activity within hemocytes. Importantly, our data reveals the existence of differentially labelled hemocyte subpopulations as 11 of the enhancer lines screened were active in a subpopulation of hemocytes.</w:t>
      </w:r>
    </w:p>
    <w:p w14:paraId="6A2E63A1" w14:textId="77777777" w:rsidR="004B5501" w:rsidRDefault="004B5501" w:rsidP="004B5501">
      <w:pPr>
        <w:pStyle w:val="Thesisnormal"/>
      </w:pPr>
    </w:p>
    <w:p w14:paraId="10B10B08" w14:textId="77777777" w:rsidR="004B5501" w:rsidRDefault="004B5501" w:rsidP="004B5501">
      <w:pPr>
        <w:pStyle w:val="Thesisnormal"/>
      </w:pPr>
    </w:p>
    <w:p w14:paraId="7300E8D3" w14:textId="77777777" w:rsidR="004B5501" w:rsidRDefault="004B5501" w:rsidP="004B5501">
      <w:pPr>
        <w:pStyle w:val="Thesisnormal"/>
      </w:pPr>
    </w:p>
    <w:p w14:paraId="04F0EC54" w14:textId="77777777" w:rsidR="004B5501" w:rsidRDefault="004B5501" w:rsidP="004B5501">
      <w:pPr>
        <w:pStyle w:val="Thesisnormal"/>
      </w:pPr>
    </w:p>
    <w:p w14:paraId="29A707CB" w14:textId="77777777" w:rsidR="004B5501" w:rsidRDefault="004B5501" w:rsidP="004B5501">
      <w:pPr>
        <w:pStyle w:val="Thesisnormal"/>
      </w:pPr>
    </w:p>
    <w:p w14:paraId="07E2AFD8" w14:textId="77777777" w:rsidR="004B5501" w:rsidRDefault="004B5501" w:rsidP="004B5501">
      <w:pPr>
        <w:pStyle w:val="Thesisnormal"/>
        <w:rPr>
          <w:noProof/>
          <w:lang w:eastAsia="en-GB"/>
        </w:rPr>
      </w:pPr>
    </w:p>
    <w:p w14:paraId="1E80B4AF" w14:textId="77777777" w:rsidR="004B5501" w:rsidRDefault="004B5501" w:rsidP="004B5501">
      <w:pPr>
        <w:pStyle w:val="Thesisnormal"/>
        <w:rPr>
          <w:noProof/>
          <w:lang w:eastAsia="en-GB"/>
        </w:rPr>
      </w:pPr>
      <w:r>
        <w:rPr>
          <w:noProof/>
          <w:lang w:eastAsia="en-GB"/>
        </w:rPr>
        <w:drawing>
          <wp:anchor distT="0" distB="0" distL="114300" distR="114300" simplePos="0" relativeHeight="251672576" behindDoc="0" locked="0" layoutInCell="1" allowOverlap="1" wp14:anchorId="1A29EB4F" wp14:editId="5535087E">
            <wp:simplePos x="0" y="0"/>
            <wp:positionH relativeFrom="column">
              <wp:posOffset>-12700</wp:posOffset>
            </wp:positionH>
            <wp:positionV relativeFrom="paragraph">
              <wp:posOffset>3111500</wp:posOffset>
            </wp:positionV>
            <wp:extent cx="203017" cy="862965"/>
            <wp:effectExtent l="0" t="0" r="635" b="635"/>
            <wp:wrapNone/>
            <wp:docPr id="62" name="Picture 62" descr="D:\Dropbox\PhD\Writing\Thesis\Chapter 3 Identification of hemocyte subpopulations\Figures\Fig 2 tdTom subtype screen\Fig 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3 Identification of hemocyte subpopulations\Figures\Fig 2 tdTom subtype screen\Fig 3-2.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1" t="34477" r="96233" b="54913"/>
                    <a:stretch/>
                  </pic:blipFill>
                  <pic:spPr bwMode="auto">
                    <a:xfrm>
                      <a:off x="0" y="0"/>
                      <a:ext cx="203017" cy="86296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A04E6D" w14:textId="77777777" w:rsidR="004B5501" w:rsidRDefault="004B5501" w:rsidP="004B5501">
      <w:pPr>
        <w:pStyle w:val="Thesisnormal"/>
        <w:rPr>
          <w:noProof/>
          <w:lang w:eastAsia="en-GB"/>
        </w:rPr>
      </w:pPr>
    </w:p>
    <w:p w14:paraId="02ED95ED" w14:textId="77777777" w:rsidR="004B5501" w:rsidRDefault="004B5501" w:rsidP="004B5501">
      <w:pPr>
        <w:pStyle w:val="Thesisnormal"/>
      </w:pPr>
      <w:r>
        <w:rPr>
          <w:noProof/>
          <w:lang w:eastAsia="en-GB"/>
        </w:rPr>
        <w:lastRenderedPageBreak/>
        <w:drawing>
          <wp:inline distT="0" distB="0" distL="0" distR="0" wp14:anchorId="6E93BEF5" wp14:editId="3511C081">
            <wp:extent cx="5791200" cy="7946065"/>
            <wp:effectExtent l="0" t="0" r="0" b="0"/>
            <wp:docPr id="63" name="Picture 63" descr="D:\Dropbox\PhD\Writing\Thesis\Chapter 3 Identification of hemocyte subpopulations\Figures\Fig 2 tdTom subtype screen\Fig 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3 Identification of hemocyte subpopulations\Figures\Fig 2 tdTom subtype screen\Fig 3-2.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400"/>
                    <a:stretch/>
                  </pic:blipFill>
                  <pic:spPr bwMode="auto">
                    <a:xfrm>
                      <a:off x="0" y="0"/>
                      <a:ext cx="5792770" cy="7948219"/>
                    </a:xfrm>
                    <a:prstGeom prst="rect">
                      <a:avLst/>
                    </a:prstGeom>
                    <a:noFill/>
                    <a:ln>
                      <a:noFill/>
                    </a:ln>
                    <a:extLst>
                      <a:ext uri="{53640926-AAD7-44D8-BBD7-CCE9431645EC}">
                        <a14:shadowObscured xmlns:a14="http://schemas.microsoft.com/office/drawing/2010/main"/>
                      </a:ext>
                    </a:extLst>
                  </pic:spPr>
                </pic:pic>
              </a:graphicData>
            </a:graphic>
          </wp:inline>
        </w:drawing>
      </w:r>
    </w:p>
    <w:p w14:paraId="6F9D4EE8" w14:textId="77777777" w:rsidR="004B5501" w:rsidRDefault="004B5501" w:rsidP="004B5501">
      <w:pPr>
        <w:pStyle w:val="NoSpacing"/>
        <w:rPr>
          <w:b/>
        </w:rPr>
      </w:pPr>
      <w:r w:rsidRPr="0087091F">
        <w:rPr>
          <w:b/>
        </w:rPr>
        <w:t>Figure 3.3</w:t>
      </w:r>
      <w:r>
        <w:rPr>
          <w:b/>
        </w:rPr>
        <w:t>.</w:t>
      </w:r>
      <w:r w:rsidRPr="0087091F">
        <w:rPr>
          <w:b/>
        </w:rPr>
        <w:t xml:space="preserve"> Screening of enhancer lines reveals distinct expression patterns within hemocytes.</w:t>
      </w:r>
      <w:r>
        <w:rPr>
          <w:b/>
        </w:rPr>
        <w:t xml:space="preserve"> </w:t>
      </w:r>
    </w:p>
    <w:p w14:paraId="00E901C4" w14:textId="5481F8DF" w:rsidR="004B5501" w:rsidRDefault="004B5501" w:rsidP="004B5501">
      <w:pPr>
        <w:pStyle w:val="NoSpacing"/>
      </w:pPr>
      <w:r w:rsidRPr="00FD4E43">
        <w:t>(A</w:t>
      </w:r>
      <w:r>
        <w:t>) Representative stills of enhancer positive cells (red) in a background with all hemocytes labelled (green) across 4 developmental stages (</w:t>
      </w:r>
      <w:r>
        <w:rPr>
          <w:i/>
        </w:rPr>
        <w:t xml:space="preserve">w;UAS-tdTomato/SrpGMA;VT-GAL4/ </w:t>
      </w:r>
      <w:r>
        <w:rPr>
          <w:i/>
        </w:rPr>
        <w:lastRenderedPageBreak/>
        <w:t>SrpGMA</w:t>
      </w:r>
      <w:r>
        <w:t>). Stages 12 and 14 were mounted dorsally and stages 13 and 15 mounted ventrally. Scale bars represent 20µm. (B) Zoomed images of (A), scale bar represents 5μm. (C-F) Quantification of individual lines shown in (A), (</w:t>
      </w:r>
      <w:r w:rsidR="0054108A">
        <w:t>C</w:t>
      </w:r>
      <w:r>
        <w:t>) Scatterplot of VT16254, demonstrating enhancer expression in all hemocytes throughout development. (</w:t>
      </w:r>
      <w:r w:rsidR="0054108A">
        <w:t>D</w:t>
      </w:r>
      <w:r>
        <w:t>) Scatterplot of VT44964, demonstrating no enhancer expression in hemocytes throughout development. (</w:t>
      </w:r>
      <w:r w:rsidR="0054108A">
        <w:t>E</w:t>
      </w:r>
      <w:r>
        <w:t>) Scatterplot of VT41962, demonstrating a developmental pattern of enhancer expression in hemocytes. (</w:t>
      </w:r>
      <w:r w:rsidR="0054108A">
        <w:t>F</w:t>
      </w:r>
      <w:r>
        <w:t xml:space="preserve">) Scatterplot of VT17559, demonstrating enhancer expression in a subset of hemocytes. Asterisk represents Student’s t-test, *p&lt;0.5, **p&lt;0.01. Lines and error bars represent mean ± SD, Asterisk represents One-way ANOVA with Turkey’s multiple comparisons test, *p&lt;0.05, **p&lt;0.01, ***p&lt;0.001, n=3 embryos for each developmental stage. (G) Pie chart demonstrating the enhancer expression patterns observed in our screen of 22 VT enhancer lines. </w:t>
      </w:r>
    </w:p>
    <w:p w14:paraId="05F55A67" w14:textId="77777777" w:rsidR="004B5501" w:rsidRDefault="004B5501" w:rsidP="004B5501">
      <w:pPr>
        <w:pStyle w:val="Thesisnormal"/>
      </w:pPr>
    </w:p>
    <w:p w14:paraId="3099DC9D" w14:textId="77777777" w:rsidR="004B5501" w:rsidRDefault="004B5501" w:rsidP="004B5501">
      <w:pPr>
        <w:pStyle w:val="Thesisnormal"/>
      </w:pPr>
    </w:p>
    <w:p w14:paraId="19B1450B" w14:textId="77777777" w:rsidR="004B5501" w:rsidRPr="008B044B" w:rsidRDefault="004B5501" w:rsidP="004B5501">
      <w:pPr>
        <w:pStyle w:val="Heading3"/>
        <w:spacing w:line="360" w:lineRule="auto"/>
      </w:pPr>
      <w:bookmarkStart w:id="143" w:name="_Toc4589318"/>
      <w:r>
        <w:t>3.2.2 The existence of hemocyte subpopulations is confirmed by additional reporter lines</w:t>
      </w:r>
      <w:bookmarkEnd w:id="143"/>
    </w:p>
    <w:p w14:paraId="40B26E8E" w14:textId="77777777" w:rsidR="004B5501" w:rsidRDefault="004B5501" w:rsidP="004B5501">
      <w:pPr>
        <w:pStyle w:val="Thesisnormal"/>
      </w:pPr>
    </w:p>
    <w:p w14:paraId="18481E95" w14:textId="0FAFCBB9" w:rsidR="004B5501" w:rsidRDefault="004B5501" w:rsidP="004B5501">
      <w:pPr>
        <w:pStyle w:val="Thesisnormal"/>
      </w:pPr>
      <w:r>
        <w:t>In our initial screen, the positive control (</w:t>
      </w:r>
      <w:r w:rsidRPr="002365D7">
        <w:rPr>
          <w:i/>
        </w:rPr>
        <w:t>Srp-Gal4</w:t>
      </w:r>
      <w:r>
        <w:t xml:space="preserve">) did not mark 100% of hemocytes with tdTomato that could </w:t>
      </w:r>
      <w:r w:rsidRPr="009223BA">
        <w:rPr>
          <w:color w:val="000000" w:themeColor="text1"/>
        </w:rPr>
        <w:t xml:space="preserve">be labelled by a direct </w:t>
      </w:r>
      <w:r w:rsidRPr="00522DC4">
        <w:rPr>
          <w:i/>
          <w:color w:val="000000" w:themeColor="text1"/>
        </w:rPr>
        <w:t>Srp-GMA</w:t>
      </w:r>
      <w:r w:rsidRPr="009223BA">
        <w:rPr>
          <w:color w:val="000000" w:themeColor="text1"/>
        </w:rPr>
        <w:t xml:space="preserve"> transgenic construct.  To confirm that we were not observing a </w:t>
      </w:r>
      <w:r>
        <w:rPr>
          <w:color w:val="000000" w:themeColor="text1"/>
        </w:rPr>
        <w:t xml:space="preserve">delay in the </w:t>
      </w:r>
      <w:r w:rsidRPr="009223BA">
        <w:rPr>
          <w:color w:val="000000" w:themeColor="text1"/>
        </w:rPr>
        <w:t xml:space="preserve">maturation of tdTomato relative to GFP, we </w:t>
      </w:r>
      <w:r>
        <w:rPr>
          <w:color w:val="000000" w:themeColor="text1"/>
        </w:rPr>
        <w:t xml:space="preserve">utilised a </w:t>
      </w:r>
      <w:r>
        <w:rPr>
          <w:i/>
          <w:color w:val="000000" w:themeColor="text1"/>
        </w:rPr>
        <w:t>UAS-eGFP</w:t>
      </w:r>
      <w:r>
        <w:rPr>
          <w:color w:val="000000" w:themeColor="text1"/>
        </w:rPr>
        <w:t xml:space="preserve"> line (</w:t>
      </w:r>
      <w:r>
        <w:rPr>
          <w:i/>
          <w:color w:val="000000" w:themeColor="text1"/>
        </w:rPr>
        <w:t>w;UAS-eGFP;VT-GAL4</w:t>
      </w:r>
      <w:r w:rsidRPr="00522DC4">
        <w:rPr>
          <w:color w:val="000000" w:themeColor="text1"/>
        </w:rPr>
        <w:t>)</w:t>
      </w:r>
      <w:r w:rsidRPr="009223BA">
        <w:rPr>
          <w:color w:val="000000" w:themeColor="text1"/>
        </w:rPr>
        <w:t xml:space="preserve"> </w:t>
      </w:r>
      <w:r>
        <w:rPr>
          <w:color w:val="000000" w:themeColor="text1"/>
        </w:rPr>
        <w:t xml:space="preserve">and </w:t>
      </w:r>
      <w:r w:rsidRPr="009223BA">
        <w:rPr>
          <w:color w:val="000000" w:themeColor="text1"/>
        </w:rPr>
        <w:t>quantified the number of observable hem</w:t>
      </w:r>
      <w:r>
        <w:rPr>
          <w:color w:val="000000" w:themeColor="text1"/>
        </w:rPr>
        <w:t>ocytes by eye. We imaged approximately 30μm into the embryo from the ventral side (as with our imaging of the ventral side of stage 15 embryos in the initial screen, Fig 3.3). Our positive control labelled an average of 40 hemocytes in the area that we observed (Fig 3.4 Ai &amp; B1). In contrast, VT32897 labelled 10 hemocytes (Fig 3.4 Aii &amp; B2), VT57089 and VT17559 labelled 20 hemocytes (Fig 3.4 Aiii &amp; B3, Aiv and B4 respectively), VT62766 labelled slightly more hemocytes than the other lines at</w:t>
      </w:r>
      <w:r w:rsidR="003A42C0">
        <w:rPr>
          <w:color w:val="000000" w:themeColor="text1"/>
        </w:rPr>
        <w:t xml:space="preserve"> 22 hemocytes (Fig 3.4 Av &amp; B5).</w:t>
      </w:r>
      <w:r>
        <w:rPr>
          <w:color w:val="000000" w:themeColor="text1"/>
        </w:rPr>
        <w:t xml:space="preserve"> VT40039 labelled less than 10 hemocytes</w:t>
      </w:r>
      <w:r w:rsidR="003A42C0">
        <w:rPr>
          <w:color w:val="000000" w:themeColor="text1"/>
        </w:rPr>
        <w:t xml:space="preserve"> and was therefore not utilised in all functional assays due to technical difficulties</w:t>
      </w:r>
      <w:r>
        <w:rPr>
          <w:color w:val="000000" w:themeColor="text1"/>
        </w:rPr>
        <w:t xml:space="preserve"> (Fig 3.4 Avi &amp; B6). All 5 enhancers labelled significantly fewer hemocytes than the control (One-way ANOVA with Dunnett’s multiple comparisons test, p&lt;0.0001). This reporter also confirmed that enhancer expression is not limited to hemocytes with VT57089, VT17559 and VT62766 all labelling additional cells, possibly apoptotic cells. Importantly, we could distinguish hemocytes based on their morphology as shown by the blue and white arrows highlighting a hemocyte and an enhancer positive cell respectively (Fig 3.4 B5). </w:t>
      </w:r>
      <w:r>
        <w:t>This data confirms that the 5 enhancer lines we chose to investigate further all labelled subsets of hemocytes.</w:t>
      </w:r>
    </w:p>
    <w:p w14:paraId="21CA05F5" w14:textId="77777777" w:rsidR="004B5501" w:rsidRDefault="004B5501" w:rsidP="004B5501">
      <w:pPr>
        <w:pStyle w:val="Thesisnormal"/>
      </w:pPr>
    </w:p>
    <w:p w14:paraId="5E535AF3" w14:textId="77777777" w:rsidR="004B5501" w:rsidRDefault="004B5501" w:rsidP="004B5501">
      <w:pPr>
        <w:pStyle w:val="Thesisnormal"/>
      </w:pPr>
      <w:r>
        <w:rPr>
          <w:noProof/>
          <w:lang w:eastAsia="en-GB"/>
        </w:rPr>
        <w:lastRenderedPageBreak/>
        <w:drawing>
          <wp:inline distT="0" distB="0" distL="0" distR="0" wp14:anchorId="0512E650" wp14:editId="411A4F8C">
            <wp:extent cx="5743575" cy="7531378"/>
            <wp:effectExtent l="0" t="0" r="0" b="0"/>
            <wp:docPr id="64" name="Picture 64" descr="D:\Dropbox\PhD\writing\thesis\chapter 3 identification of hemocyte subpopulations\figures\egfp count fig\eGPF count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3 identification of hemocyte subpopulations\figures\egfp count fig\eGPF count fig.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33" b="6549"/>
                    <a:stretch/>
                  </pic:blipFill>
                  <pic:spPr bwMode="auto">
                    <a:xfrm>
                      <a:off x="0" y="0"/>
                      <a:ext cx="5746500" cy="7535213"/>
                    </a:xfrm>
                    <a:prstGeom prst="rect">
                      <a:avLst/>
                    </a:prstGeom>
                    <a:noFill/>
                    <a:ln>
                      <a:noFill/>
                    </a:ln>
                    <a:extLst>
                      <a:ext uri="{53640926-AAD7-44D8-BBD7-CCE9431645EC}">
                        <a14:shadowObscured xmlns:a14="http://schemas.microsoft.com/office/drawing/2010/main"/>
                      </a:ext>
                    </a:extLst>
                  </pic:spPr>
                </pic:pic>
              </a:graphicData>
            </a:graphic>
          </wp:inline>
        </w:drawing>
      </w:r>
    </w:p>
    <w:p w14:paraId="3ED4F90A" w14:textId="77777777" w:rsidR="004B5501" w:rsidRPr="0087091F" w:rsidRDefault="004B5501" w:rsidP="004B5501">
      <w:pPr>
        <w:pStyle w:val="NoSpacing"/>
        <w:rPr>
          <w:b/>
        </w:rPr>
      </w:pPr>
      <w:r>
        <w:rPr>
          <w:b/>
        </w:rPr>
        <w:t>Figure 3.4.</w:t>
      </w:r>
      <w:r w:rsidRPr="0087091F">
        <w:rPr>
          <w:b/>
        </w:rPr>
        <w:t xml:space="preserve"> </w:t>
      </w:r>
      <w:r>
        <w:rPr>
          <w:b/>
        </w:rPr>
        <w:t>Hemocyte subpopulations are confirmed with additional fluorescent reporters.</w:t>
      </w:r>
    </w:p>
    <w:p w14:paraId="0B62C988" w14:textId="77777777" w:rsidR="004B5501" w:rsidRDefault="004B5501" w:rsidP="004B5501">
      <w:pPr>
        <w:pStyle w:val="NoSpacing"/>
      </w:pPr>
      <w:r w:rsidRPr="00FD4E43">
        <w:t>(A</w:t>
      </w:r>
      <w:r>
        <w:t>i-vi) Representative stills of enhancer positive cells. (Ai) Representative still of positive control with all hemocytes labelled with GFP (</w:t>
      </w:r>
      <w:r>
        <w:rPr>
          <w:i/>
        </w:rPr>
        <w:t>w;Srp-GAL4,UAS-eGFP</w:t>
      </w:r>
      <w:r>
        <w:t>). (Aii) Representative still of VT32897-positive cells labelled with GFP (</w:t>
      </w:r>
      <w:r>
        <w:rPr>
          <w:i/>
        </w:rPr>
        <w:t>w;UAS-eGFP;VT32897-GAL4</w:t>
      </w:r>
      <w:r>
        <w:t>). (Aiii) Representative still of VT57089-positive cells labelled with GFP (</w:t>
      </w:r>
      <w:r>
        <w:rPr>
          <w:i/>
        </w:rPr>
        <w:t>w;UAS-eGFP;VT57089-GAL4</w:t>
      </w:r>
      <w:r>
        <w:t>). (Aiv) Representative still of VT17559-positive cells labelled with GFP (</w:t>
      </w:r>
      <w:r>
        <w:rPr>
          <w:i/>
        </w:rPr>
        <w:t>w;UAS-</w:t>
      </w:r>
      <w:r>
        <w:rPr>
          <w:i/>
        </w:rPr>
        <w:lastRenderedPageBreak/>
        <w:t>eGFP;VT17559-GAL4</w:t>
      </w:r>
      <w:r>
        <w:t>). (Av) Representative still of VT62766 positive cells labelled with GFP (</w:t>
      </w:r>
      <w:r>
        <w:rPr>
          <w:i/>
        </w:rPr>
        <w:t>w;UAS-eGFP;VT62766-GAL4</w:t>
      </w:r>
      <w:r>
        <w:t>). (Avi) Representative still of VT40039 positive cells labelled with GFP (</w:t>
      </w:r>
      <w:r>
        <w:rPr>
          <w:i/>
        </w:rPr>
        <w:t>w;UAS-eGFP;VT40039-GAL4</w:t>
      </w:r>
      <w:r>
        <w:t>). Scale bar represents 20µm. (B) Zoomed images of Ai-Avi, blue arrows indicate enhancer positive hemocytes while white arrows indicate enhancer positive cells that are not hemocytes but possibly apoptotic cells. Scale bars represent 2µm. (C) Scatterplot of quantification of genotypes shown in (A), demonstrating that enhancer lines label a subpopulation of hemocytes when compared to the positive control. Lines and error bars represent mean ± SD, Asterisk represents One-way ANOVA with Dunnett’s multiple comparisons test, ****p&lt;0.0001, n = 9 embryos.</w:t>
      </w:r>
    </w:p>
    <w:p w14:paraId="67DA122A" w14:textId="77777777" w:rsidR="004B5501" w:rsidRDefault="004B5501" w:rsidP="004B5501">
      <w:pPr>
        <w:pStyle w:val="Thesisnormal"/>
      </w:pPr>
    </w:p>
    <w:p w14:paraId="33F7B218" w14:textId="77777777" w:rsidR="004B5501" w:rsidRDefault="004B5501" w:rsidP="004B5501">
      <w:pPr>
        <w:pStyle w:val="Thesisnormal"/>
      </w:pPr>
    </w:p>
    <w:p w14:paraId="40781E95" w14:textId="6A66BB94" w:rsidR="004B5501" w:rsidRPr="008B044B" w:rsidRDefault="004B5501" w:rsidP="004B5501">
      <w:pPr>
        <w:pStyle w:val="Heading3"/>
        <w:spacing w:line="360" w:lineRule="auto"/>
      </w:pPr>
      <w:bookmarkStart w:id="144" w:name="_Toc4589319"/>
      <w:r>
        <w:t>3.2.</w:t>
      </w:r>
      <w:r w:rsidR="0054108A">
        <w:t>3</w:t>
      </w:r>
      <w:r>
        <w:t xml:space="preserve"> Hemocyte subpopulations persist throughout life course</w:t>
      </w:r>
      <w:bookmarkEnd w:id="144"/>
      <w:r>
        <w:t xml:space="preserve"> </w:t>
      </w:r>
    </w:p>
    <w:p w14:paraId="5B3A0821" w14:textId="77777777" w:rsidR="004B5501" w:rsidRDefault="004B5501" w:rsidP="004B5501">
      <w:pPr>
        <w:pStyle w:val="Thesisnormal"/>
      </w:pPr>
    </w:p>
    <w:p w14:paraId="5C56B733" w14:textId="0EBECC49" w:rsidR="004B5501" w:rsidRDefault="004B5501" w:rsidP="004B5501">
      <w:pPr>
        <w:pStyle w:val="Thesisnormal"/>
      </w:pPr>
      <w:r w:rsidRPr="005C2610">
        <w:t>Having established that subpopulations of hemocytes exist in the embryo, we wished to investigate if these persisted throughout the life of the fly.</w:t>
      </w:r>
      <w:r>
        <w:t xml:space="preserve"> Although it has been suggested that adult flies are capable of hematopoiesis </w:t>
      </w:r>
      <w:r>
        <w:fldChar w:fldCharType="begin"/>
      </w:r>
      <w:r w:rsidR="000A209C">
        <w:instrText xml:space="preserve"> ADDIN ZOTERO_ITEM CSL_CITATION {"citationID":"aqC4JCv2","properties":{"formattedCitation":"(279)","plainCitation":"(279)","noteIndex":0},"citationItems":[{"id":1265,"uris":["http://zotero.org/users/952979/items/ZGMUVFKX"],"uri":["http://zotero.org/users/952979/items/ZGMUVFKX"],"itemData":{"id":1265,"type":"article-journal","title":"Active Hematopoietic Hubs in Drosophila Adults Generate Hemocytes and Contribute to Immune Response","container-title":"Developmental Cell","page":"478-488","volume":"33","issue":"4","source":"ScienceDirect","abstract":"Summary\nBlood cell development in Drosophila shares significant similarities with vertebrate. The conservation ranges from biphasic mode of hematopoiesis to signaling molecules crucial for progenitor cell formation, maintenance, and differentiation. Primitive hematopoiesis in Drosophila ensues in embryonic head mesoderm, whereas definitive hematopoiesis happens in larval hematopoietic organ, the lymph gland. This organ, with the onset of pupation, ruptures to release hemocytes into circulation. It is believed that the adult lacks a hematopoietic organ and survives on the contribution of both embryonic and larval hematopoiesis. However, our studies revealed a surge of blood cell development in the dorsal abdominal hemocyte clusters of adult fly. These active hematopoietic hubs are capable of blood cell specification and can respond to bacterial challenges. The presence of progenitors and differentiated hemocytes embedded in a functional network of Laminin A and Pericardin within this hematopoietic hub projects it as a simple version of the vertebrate bone marrow.","DOI":"10.1016/j.devcel.2015.03.014","ISSN":"1534-5807","journalAbbreviation":"Developmental Cell","author":[{"family":"Ghosh","given":"Saikat"},{"family":"Singh","given":"Arashdeep"},{"family":"Mandal","given":"Sudip"},{"family":"Mandal","given":"Lolitika"}],"issued":{"date-parts":[["2015",5,26]]}}}],"schema":"https://github.com/citation-style-language/schema/raw/master/csl-citation.json"} </w:instrText>
      </w:r>
      <w:r>
        <w:fldChar w:fldCharType="separate"/>
      </w:r>
      <w:r w:rsidR="004A1963" w:rsidRPr="004A1963">
        <w:rPr>
          <w:rFonts w:ascii="Calibri" w:hAnsi="Calibri"/>
        </w:rPr>
        <w:t>(279)</w:t>
      </w:r>
      <w:r>
        <w:fldChar w:fldCharType="end"/>
      </w:r>
      <w:r>
        <w:t xml:space="preserve">, this remains to be conclusively proven. However, it is known that, despite the contribution of lymph gland-derived hemocytes </w:t>
      </w:r>
      <w:r>
        <w:fldChar w:fldCharType="begin"/>
      </w:r>
      <w:r w:rsidR="000A209C">
        <w:instrText xml:space="preserve"> ADDIN ZOTERO_ITEM CSL_CITATION {"citationID":"hdZ9ArCj","properties":{"formattedCitation":"(165)","plainCitation":"(165)","noteIndex":0},"citationItems":[{"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S."},{"family":"Brückner","given":"Katja"}],"issued":{"date-parts":[["2014",8]]}}}],"schema":"https://github.com/citation-style-language/schema/raw/master/csl-citation.json"} </w:instrText>
      </w:r>
      <w:r>
        <w:fldChar w:fldCharType="separate"/>
      </w:r>
      <w:r w:rsidR="004A1963" w:rsidRPr="004A1963">
        <w:rPr>
          <w:rFonts w:ascii="Calibri" w:hAnsi="Calibri"/>
        </w:rPr>
        <w:t>(165)</w:t>
      </w:r>
      <w:r>
        <w:fldChar w:fldCharType="end"/>
      </w:r>
      <w:r>
        <w:t xml:space="preserve">, embryonic hemocytes persist into adulthood </w:t>
      </w:r>
      <w:r>
        <w:fldChar w:fldCharType="begin"/>
      </w:r>
      <w:r w:rsidR="000A209C">
        <w:instrText xml:space="preserve"> ADDIN ZOTERO_ITEM CSL_CITATION {"citationID":"QrS7kIc5","properties":{"formattedCitation":"(165,166)","plainCitation":"(165,166)","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S."},{"family":"Brückner","given":"Katja"}],"issued":{"date-parts":[["2014",8]]}}}],"schema":"https://github.com/citation-style-language/schema/raw/master/csl-citation.json"} </w:instrText>
      </w:r>
      <w:r>
        <w:fldChar w:fldCharType="separate"/>
      </w:r>
      <w:r w:rsidR="004A1963" w:rsidRPr="004A1963">
        <w:rPr>
          <w:rFonts w:ascii="Calibri" w:hAnsi="Calibri"/>
        </w:rPr>
        <w:t>(165,166)</w:t>
      </w:r>
      <w:r>
        <w:fldChar w:fldCharType="end"/>
      </w:r>
      <w:r>
        <w:t xml:space="preserve">. We therefore utilised </w:t>
      </w:r>
      <w:r>
        <w:rPr>
          <w:color w:val="000000" w:themeColor="text1"/>
        </w:rPr>
        <w:t xml:space="preserve">the </w:t>
      </w:r>
      <w:r>
        <w:rPr>
          <w:i/>
          <w:color w:val="000000" w:themeColor="text1"/>
        </w:rPr>
        <w:t>UAS-eGFP</w:t>
      </w:r>
      <w:r>
        <w:rPr>
          <w:color w:val="000000" w:themeColor="text1"/>
        </w:rPr>
        <w:t xml:space="preserve"> line (</w:t>
      </w:r>
      <w:r>
        <w:rPr>
          <w:i/>
          <w:color w:val="000000" w:themeColor="text1"/>
        </w:rPr>
        <w:t>w;UAS-eGFP;VT-GAL4</w:t>
      </w:r>
      <w:r w:rsidRPr="00522DC4">
        <w:rPr>
          <w:color w:val="000000" w:themeColor="text1"/>
        </w:rPr>
        <w:t>)</w:t>
      </w:r>
      <w:r>
        <w:rPr>
          <w:color w:val="000000" w:themeColor="text1"/>
        </w:rPr>
        <w:t xml:space="preserve"> used previously to visualise enhancer activity in larvae and adults.</w:t>
      </w:r>
      <w:r w:rsidR="00EF1310">
        <w:rPr>
          <w:color w:val="000000" w:themeColor="text1"/>
        </w:rPr>
        <w:t xml:space="preserve"> Unfortunately, VT40039 labelled too few hemocytes to be reliably used in this assay.</w:t>
      </w:r>
      <w:r>
        <w:rPr>
          <w:color w:val="000000" w:themeColor="text1"/>
        </w:rPr>
        <w:t xml:space="preserve"> We imaged whole L3 larvae and could identify GFP-expression within hemocytes in our positive control (</w:t>
      </w:r>
      <w:r>
        <w:rPr>
          <w:i/>
        </w:rPr>
        <w:t>w;hml-GAL4,UAS-eGFP</w:t>
      </w:r>
      <w:r>
        <w:rPr>
          <w:color w:val="000000" w:themeColor="text1"/>
        </w:rPr>
        <w:t>, Fig 3.5 A). Our negative control did not label hemocytes, but did label pericardial nephrocytes (</w:t>
      </w:r>
      <w:r>
        <w:rPr>
          <w:i/>
        </w:rPr>
        <w:t>w;srp-GAL4,UAS-eGFP</w:t>
      </w:r>
      <w:r>
        <w:rPr>
          <w:color w:val="000000" w:themeColor="text1"/>
        </w:rPr>
        <w:t xml:space="preserve">, Fig 3.5 B), consistent with the literature </w:t>
      </w:r>
      <w:r>
        <w:rPr>
          <w:color w:val="000000" w:themeColor="text1"/>
        </w:rPr>
        <w:fldChar w:fldCharType="begin"/>
      </w:r>
      <w:r w:rsidR="000A209C">
        <w:rPr>
          <w:color w:val="000000" w:themeColor="text1"/>
        </w:rPr>
        <w:instrText xml:space="preserve"> ADDIN ZOTERO_ITEM CSL_CITATION {"citationID":"sE3d6Q6o","properties":{"formattedCitation":"(339)","plainCitation":"(339)","noteIndex":0},"citationItems":[{"id":1749,"uris":["http://zotero.org/users/952979/items/DYFUIVVB"],"uri":["http://zotero.org/users/952979/items/DYFUIVVB"],"itemData":{"id":1749,"type":"article-journal","title":"Hand is a direct target of Tinman and GATA factors during Drosophila cardiogenesis and hematopoiesis","container-title":"Development","page":"3525-3536","volume":"132","issue":"15","source":"dev.biologists.org.sheffield.idm.oclc.org","abstract":"Skip to Next Section\nThe existence of hemangioblasts, which serve as common progenitors for hematopoietic cells and cardioblasts, has suggested a molecular link between cardiogenesis and hematopoiesis in Drosophila. However, the molecular mediators that might link hematopoiesis and cardiogenesis remain unknown. Here, we show that the highly conserved basic helix-loop-helix (bHLH) transcription factor Hand is expressed in cardioblasts, pericardial nephrocytes and hematopoietic progenitors. The homeodomain protein Tinman and the GATA factors Pannier and Serpent directly activate Hand in these cell types through a minimal enhancer, which is necessary and sufficient to drive Hand expression in these different cell types. Hand is activated by Tinman and Pannier in cardioblasts and pericardial nephrocytes, and by Serpent in hematopoietic progenitors in the lymph gland. These findings place Hand at a nexus of the transcriptional networks that govern cardiogenesis and hematopoiesis, and indicate that the transcriptional pathways involved in development of the cardiovascular, excretory and hematopoietic systems may be more closely related than previously appreciated.","DOI":"10.1242/dev.01899","ISSN":"0950-1991, 1477-9129","note":"PMID: 15975941","language":"en","author":[{"family":"Han","given":"Zhe"},{"family":"Olson","given":"Eric N."}],"issued":{"date-parts":[["2005",8,1]]}}}],"schema":"https://github.com/citation-style-language/schema/raw/master/csl-citation.json"} </w:instrText>
      </w:r>
      <w:r>
        <w:rPr>
          <w:color w:val="000000" w:themeColor="text1"/>
        </w:rPr>
        <w:fldChar w:fldCharType="separate"/>
      </w:r>
      <w:r w:rsidR="004A1963" w:rsidRPr="004A1963">
        <w:rPr>
          <w:rFonts w:ascii="Calibri" w:hAnsi="Calibri"/>
        </w:rPr>
        <w:t>(339)</w:t>
      </w:r>
      <w:r>
        <w:rPr>
          <w:color w:val="000000" w:themeColor="text1"/>
        </w:rPr>
        <w:fldChar w:fldCharType="end"/>
      </w:r>
      <w:r>
        <w:rPr>
          <w:color w:val="000000" w:themeColor="text1"/>
        </w:rPr>
        <w:t>. VT32897 labelled both hemocytes and pericardial nephrocytes in addition to the salivary glands (</w:t>
      </w:r>
      <w:r>
        <w:rPr>
          <w:i/>
        </w:rPr>
        <w:t>w;UAS-eGFP;VT32897-GAL4</w:t>
      </w:r>
      <w:r>
        <w:t>, Fig 3.5 C</w:t>
      </w:r>
      <w:r>
        <w:rPr>
          <w:color w:val="000000" w:themeColor="text1"/>
        </w:rPr>
        <w:t>). VT57089 did not appear to be active in hemocytes at this stage of development. However, there was low-level expression in cells within the area of the salivary gland (</w:t>
      </w:r>
      <w:r>
        <w:rPr>
          <w:i/>
        </w:rPr>
        <w:t>w;UAS-eGFP;VT57089-GAL4</w:t>
      </w:r>
      <w:r>
        <w:t>, Fig 3.5 D)</w:t>
      </w:r>
      <w:r>
        <w:rPr>
          <w:color w:val="000000" w:themeColor="text1"/>
        </w:rPr>
        <w:t>. Similarly, VT17559 did not appear to be expressed within the larval stages but appeared to label cells lining the trachea (</w:t>
      </w:r>
      <w:r>
        <w:rPr>
          <w:i/>
        </w:rPr>
        <w:t>w;UAS-eGFP;VT17559-GAL4</w:t>
      </w:r>
      <w:r>
        <w:t>, Fig 3.5 D). Finally, VT62766 labelled pericardial nephrocytes, salivary gland cells and hemocytes (</w:t>
      </w:r>
      <w:r>
        <w:rPr>
          <w:i/>
        </w:rPr>
        <w:t>w;UAS-eGFP;VT62766-GAL4</w:t>
      </w:r>
      <w:r>
        <w:t xml:space="preserve">, Fig 3.5 E). Together, this data confirms that a VT32897 and VT62766 are active within hemocytes in L3 larvae. However, it was not possible to determine if VT57089 and VT17559 were active in hemocytes, despite their presence in other cells. Furthermore, this data provides evidence to refute the potential hypothesis that we are only observing subpopulations due to a </w:t>
      </w:r>
      <w:r>
        <w:lastRenderedPageBreak/>
        <w:t xml:space="preserve">threshold of fluorescence/time taken for GFP expression not being reached as, by this point in development, all cells should have been labelled, if this hypothesis had been true.  </w:t>
      </w:r>
    </w:p>
    <w:p w14:paraId="57C998C3" w14:textId="77777777" w:rsidR="00957E52" w:rsidRDefault="00957E52" w:rsidP="004B5501">
      <w:pPr>
        <w:pStyle w:val="Thesisnormal"/>
      </w:pPr>
    </w:p>
    <w:p w14:paraId="6BF65B76" w14:textId="77777777" w:rsidR="00957E52" w:rsidRDefault="00957E52" w:rsidP="004B5501">
      <w:pPr>
        <w:pStyle w:val="Thesisnormal"/>
      </w:pPr>
    </w:p>
    <w:p w14:paraId="05BEF7DF" w14:textId="77777777" w:rsidR="004B5501" w:rsidRDefault="004B5501" w:rsidP="004B5501">
      <w:pPr>
        <w:pStyle w:val="Thesisnormal"/>
      </w:pPr>
      <w:r>
        <w:rPr>
          <w:noProof/>
          <w:lang w:eastAsia="en-GB"/>
        </w:rPr>
        <w:drawing>
          <wp:inline distT="0" distB="0" distL="0" distR="0" wp14:anchorId="296A8873" wp14:editId="77016E67">
            <wp:extent cx="5990034" cy="4629150"/>
            <wp:effectExtent l="0" t="0" r="0" b="0"/>
            <wp:docPr id="65" name="Picture 65" descr="D:\Dropbox\PhD\Writing\Thesis\Chapter 3 Identification of hemocyte subpopulations\Figures\L3 images fig\Larave macro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3 Identification of hemocyte subpopulations\Figures\L3 images fig\Larave macro fig.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260" b="44332"/>
                    <a:stretch/>
                  </pic:blipFill>
                  <pic:spPr bwMode="auto">
                    <a:xfrm>
                      <a:off x="0" y="0"/>
                      <a:ext cx="5994273" cy="4632426"/>
                    </a:xfrm>
                    <a:prstGeom prst="rect">
                      <a:avLst/>
                    </a:prstGeom>
                    <a:noFill/>
                    <a:ln>
                      <a:noFill/>
                    </a:ln>
                    <a:extLst>
                      <a:ext uri="{53640926-AAD7-44D8-BBD7-CCE9431645EC}">
                        <a14:shadowObscured xmlns:a14="http://schemas.microsoft.com/office/drawing/2010/main"/>
                      </a:ext>
                    </a:extLst>
                  </pic:spPr>
                </pic:pic>
              </a:graphicData>
            </a:graphic>
          </wp:inline>
        </w:drawing>
      </w:r>
    </w:p>
    <w:p w14:paraId="0A37DF69" w14:textId="77777777" w:rsidR="004B5501" w:rsidRPr="0087091F" w:rsidRDefault="004B5501" w:rsidP="004B5501">
      <w:pPr>
        <w:pStyle w:val="NoSpacing"/>
        <w:rPr>
          <w:b/>
        </w:rPr>
      </w:pPr>
      <w:r>
        <w:rPr>
          <w:b/>
        </w:rPr>
        <w:t>Figure 3.5.</w:t>
      </w:r>
      <w:r w:rsidRPr="0087091F">
        <w:rPr>
          <w:b/>
        </w:rPr>
        <w:t xml:space="preserve"> </w:t>
      </w:r>
      <w:r>
        <w:rPr>
          <w:b/>
        </w:rPr>
        <w:t>Hemocyte subpopulations persist into larval stages.</w:t>
      </w:r>
    </w:p>
    <w:p w14:paraId="1C8277DE" w14:textId="77777777" w:rsidR="004B5501" w:rsidRDefault="004B5501" w:rsidP="004B5501">
      <w:pPr>
        <w:pStyle w:val="NoSpacing"/>
      </w:pPr>
      <w:r>
        <w:t>(A-F) Representative images of L3 larvae with labelled hemocytes and enhancer-positive cells. (A) Representative images of positive control with all hemocytes labelled with GFP (</w:t>
      </w:r>
      <w:r>
        <w:rPr>
          <w:i/>
        </w:rPr>
        <w:t>w;hml-GAL4,UAS-eGFP</w:t>
      </w:r>
      <w:r>
        <w:t>). (B) Representative images of negative control with all hemocytes labelled with GFP (</w:t>
      </w:r>
      <w:r>
        <w:rPr>
          <w:i/>
        </w:rPr>
        <w:t>w;srp-GAL4,UAS-eGFP</w:t>
      </w:r>
      <w:r>
        <w:t>). (C) Representative images of VT32897-positive cells labelled with GFP (</w:t>
      </w:r>
      <w:r>
        <w:rPr>
          <w:i/>
        </w:rPr>
        <w:t>w;UAS-eGFP;VT32897-GAL4</w:t>
      </w:r>
      <w:r>
        <w:t>). (D) Representative images of VT57089-positive cells labelled with GFP (</w:t>
      </w:r>
      <w:r>
        <w:rPr>
          <w:i/>
        </w:rPr>
        <w:t>w;UAS-eGFP;VT57089-GAL4</w:t>
      </w:r>
      <w:r>
        <w:t>). (E) Representative images of VT17559-positive cells labelled with GFP (</w:t>
      </w:r>
      <w:r>
        <w:rPr>
          <w:i/>
        </w:rPr>
        <w:t>w;UAS-eGFP;VT17559-GAL4</w:t>
      </w:r>
      <w:r>
        <w:t>). (F) Representative images of VT62766-positive cells labelled with GFP (</w:t>
      </w:r>
      <w:r>
        <w:rPr>
          <w:i/>
        </w:rPr>
        <w:t>w;UAS-eGFP;VT62766-GAL4</w:t>
      </w:r>
      <w:r>
        <w:t xml:space="preserve">). (V) = Ventral, (D) = Dorsal. Scale bars represent 500μm. (1-12) represent zoomed areas, with scale bars representing 200μm. Red asterisks indicate hemocytes; blue asterisks indicate enhancer-positive cells that do not have the morphology of hemocytes, suggesting that these are different cells. N=3 images for each genotype. </w:t>
      </w:r>
    </w:p>
    <w:p w14:paraId="543D4661" w14:textId="77777777" w:rsidR="004B5501" w:rsidRDefault="004B5501" w:rsidP="004B5501">
      <w:pPr>
        <w:pStyle w:val="NoSpacing"/>
      </w:pPr>
    </w:p>
    <w:p w14:paraId="4DC1E30F" w14:textId="77777777" w:rsidR="004B5501" w:rsidRDefault="004B5501" w:rsidP="004B5501">
      <w:pPr>
        <w:pStyle w:val="Thesisnormal"/>
      </w:pPr>
    </w:p>
    <w:p w14:paraId="3ECBEE11" w14:textId="6285FCC0" w:rsidR="004B5501" w:rsidRPr="002D09E2" w:rsidRDefault="004B5501" w:rsidP="004B5501">
      <w:pPr>
        <w:pStyle w:val="Thesisnormal"/>
      </w:pPr>
      <w:r>
        <w:lastRenderedPageBreak/>
        <w:t xml:space="preserve">Having demonstrated that our subpopulations were present within L3 larvae, we next imaged adults, to determine if our subpopulations could persist into early adult flies. We found that all enhancer lines were active in adults (Fig 3.6 A &amp; B). </w:t>
      </w:r>
      <w:bookmarkStart w:id="145" w:name="_Hlk4582271"/>
      <w:r w:rsidR="00D8717E">
        <w:t xml:space="preserve">We analysed both males and females as it is known that the immune response can differ between sexes </w:t>
      </w:r>
      <w:r w:rsidR="00D138C0">
        <w:fldChar w:fldCharType="begin"/>
      </w:r>
      <w:r w:rsidR="000A209C">
        <w:instrText xml:space="preserve"> ADDIN ZOTERO_ITEM CSL_CITATION {"citationID":"uBfri9cN","properties":{"formattedCitation":"(340)","plainCitation":"(340)","noteIndex":0},"citationItems":[{"id":1682,"uris":["http://zotero.org/users/952979/items/4XLBVGMJ"],"uri":["http://zotero.org/users/952979/items/4XLBVGMJ"],"itemData":{"id":1682,"type":"article-journal","title":"Sex differences in immune responses","container-title":"Nature Reviews Immunology","page":"626-638","volume":"16","issue":"10","source":"www.nature.com","abstract":"Males and females differ in their immunological responses to foreign and self-antigens and show distinctions in innate and adaptive immune responses. Certain immunological sex differences are present throughout life, whereas others are only apparent after puberty and before reproductive senescence, suggesting that both genes and hormones are involved. Furthermore, early environmental exposures influence the microbiome and have sex-dependent effects on immune function. Importantly, these sex-based immunological differences contribute to variations in the incidence of autoimmune diseases and malignancies, susceptibility to infectious diseases and responses to vaccines in males and females. Here, we discuss these differences and emphasize that sex is a biological variable that should be considered in immunological studies.","DOI":"10.1038/nri.2016.90","ISSN":"1474-1741","language":"en","author":[{"family":"Klein","given":"Sabra L."},{"family":"Flanagan","given":"Katie L."}],"issued":{"date-parts":[["2016",10]]}}}],"schema":"https://github.com/citation-style-language/schema/raw/master/csl-citation.json"} </w:instrText>
      </w:r>
      <w:r w:rsidR="00D138C0">
        <w:fldChar w:fldCharType="separate"/>
      </w:r>
      <w:r w:rsidR="004A1963" w:rsidRPr="004A1963">
        <w:rPr>
          <w:rFonts w:ascii="Calibri" w:hAnsi="Calibri"/>
        </w:rPr>
        <w:t>(340)</w:t>
      </w:r>
      <w:r w:rsidR="00D138C0">
        <w:fldChar w:fldCharType="end"/>
      </w:r>
      <w:r w:rsidR="00D8717E">
        <w:t xml:space="preserve">. However, we found no difference between males and females in the expression system used here (male data not shown). </w:t>
      </w:r>
      <w:bookmarkEnd w:id="145"/>
      <w:r>
        <w:t xml:space="preserve">Both hemocyte labels, </w:t>
      </w:r>
      <w:r w:rsidRPr="002D09E2">
        <w:rPr>
          <w:i/>
        </w:rPr>
        <w:t>hml</w:t>
      </w:r>
      <w:r>
        <w:t xml:space="preserve"> and </w:t>
      </w:r>
      <w:r w:rsidRPr="002D09E2">
        <w:rPr>
          <w:i/>
        </w:rPr>
        <w:t>srp</w:t>
      </w:r>
      <w:r>
        <w:rPr>
          <w:i/>
        </w:rPr>
        <w:t xml:space="preserve">, </w:t>
      </w:r>
      <w:r>
        <w:t>were expressed within hemocytes in adults (</w:t>
      </w:r>
      <w:r>
        <w:rPr>
          <w:i/>
        </w:rPr>
        <w:t>w;hml-GAL4,UAS-eGFP &amp; w;srp-GAL4,UAS-eGFP</w:t>
      </w:r>
      <w:r>
        <w:t xml:space="preserve">). Hemocytes are distributed throughout the body of the adult fly including in the thorax and abdomen. Additionally, hemocytes can be found in the head and legs, demonstrating thorough circulation. VT32897 can be seen to label a subpopulation of the adult hemocytes that appear to localise primarily near to top of the legs, with less distribution in the abdomen or head region (Fig 3.6 A9). Indeed, most labelled hemocytes appear on the dorsal side of the fly. This enhancer is also active in pericardial nephrocytes (Fig 3.6 A &amp; B7). In contrast, VT57089 appears to be more widely dispersed across the adult. VT57089-hemocytes can be observed along the abdomen and thorax (Fig 3.6 A &amp; B10). These hemocytes appear to be more prevalent on the ventral side of the fly. Similar to VT32897, VT17559 appear to label hemocytes and other tissues, such as the gut (Fig 3.6 A &amp; B13-14). Hemocytes can be observed primarily in the abdomen and dorsal side of the thorax (Fig 3.6 A &amp; B15). Of the 4 enhancer lines investigated in the adult, VT62766 appears to be active in the most hemocytes (Fig 3.6 A &amp; B16-18). These hemocytes appear distributed throughout the fly, appearing in the head, thorax and abdomen. Furthermore, this enhancer does not appear to be active in other tissues. </w:t>
      </w:r>
      <w:r w:rsidR="00D8717E">
        <w:t xml:space="preserve">Moreover, both male and female adults were analysed with no differences observed between the sexes (data for males not shown). </w:t>
      </w:r>
    </w:p>
    <w:p w14:paraId="3078D845" w14:textId="77777777" w:rsidR="004B5501" w:rsidRDefault="004B5501" w:rsidP="004B5501">
      <w:pPr>
        <w:pStyle w:val="Thesisnormal"/>
      </w:pPr>
    </w:p>
    <w:p w14:paraId="270D9D98" w14:textId="77777777" w:rsidR="004B5501" w:rsidRDefault="004B5501" w:rsidP="004B5501">
      <w:pPr>
        <w:pStyle w:val="Thesisnormal"/>
      </w:pPr>
      <w:r>
        <w:t xml:space="preserve">We have shown that at least 2 of our enhancers (VT32897 &amp; VT62766) are active in L3 larval hemocytes. Moreover, all 4 enhancers appear active in adult hemocytes, with varying patterns of distribution. Together, this demonstrates that our subpopulations appear to persist throughout the organismal life course, although further investigation is required to definitively confirm these labelled cells as hemocytes. </w:t>
      </w:r>
    </w:p>
    <w:p w14:paraId="5063917B" w14:textId="77777777" w:rsidR="004B5501" w:rsidRDefault="004B5501" w:rsidP="004B5501">
      <w:pPr>
        <w:pStyle w:val="Thesisnormal"/>
      </w:pPr>
    </w:p>
    <w:p w14:paraId="16D0FD8B" w14:textId="77777777" w:rsidR="004B5501" w:rsidRDefault="004B5501" w:rsidP="004B5501">
      <w:pPr>
        <w:pStyle w:val="Thesisnormal"/>
      </w:pPr>
    </w:p>
    <w:p w14:paraId="6A9B7983" w14:textId="77777777" w:rsidR="004B5501" w:rsidRDefault="004B5501" w:rsidP="004B5501">
      <w:pPr>
        <w:pStyle w:val="Thesisnormal"/>
      </w:pPr>
    </w:p>
    <w:p w14:paraId="760232DB" w14:textId="77777777" w:rsidR="004B5501" w:rsidRDefault="004B5501" w:rsidP="004B5501">
      <w:pPr>
        <w:pStyle w:val="Thesisnormal"/>
      </w:pPr>
      <w:r>
        <w:rPr>
          <w:noProof/>
          <w:lang w:eastAsia="en-GB"/>
        </w:rPr>
        <w:lastRenderedPageBreak/>
        <w:drawing>
          <wp:inline distT="0" distB="0" distL="0" distR="0" wp14:anchorId="0CF56254" wp14:editId="3CC9DC33">
            <wp:extent cx="5628513" cy="6772275"/>
            <wp:effectExtent l="0" t="0" r="0" b="0"/>
            <wp:docPr id="66" name="Picture 66" descr="D:\Dropbox\PhD\Writing\Thesis\Chapter 3 Identification of hemocyte subpopulations\Figures\adult images fig\Adult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PhD\Writing\Thesis\Chapter 3 Identification of hemocyte subpopulations\Figures\adult images fig\Adult figure.tif"/>
                    <pic:cNvPicPr>
                      <a:picLocks noChangeAspect="1" noChangeArrowheads="1"/>
                    </pic:cNvPicPr>
                  </pic:nvPicPr>
                  <pic:blipFill rotWithShape="1">
                    <a:blip r:embed="rId22">
                      <a:extLst>
                        <a:ext uri="{28A0092B-C50C-407E-A947-70E740481C1C}">
                          <a14:useLocalDpi xmlns:a14="http://schemas.microsoft.com/office/drawing/2010/main" val="0"/>
                        </a:ext>
                      </a:extLst>
                    </a:blip>
                    <a:srcRect l="15564" t="1133" r="18605" b="43101"/>
                    <a:stretch/>
                  </pic:blipFill>
                  <pic:spPr bwMode="auto">
                    <a:xfrm>
                      <a:off x="0" y="0"/>
                      <a:ext cx="5641772" cy="6788229"/>
                    </a:xfrm>
                    <a:prstGeom prst="rect">
                      <a:avLst/>
                    </a:prstGeom>
                    <a:noFill/>
                    <a:ln>
                      <a:noFill/>
                    </a:ln>
                    <a:extLst>
                      <a:ext uri="{53640926-AAD7-44D8-BBD7-CCE9431645EC}">
                        <a14:shadowObscured xmlns:a14="http://schemas.microsoft.com/office/drawing/2010/main"/>
                      </a:ext>
                    </a:extLst>
                  </pic:spPr>
                </pic:pic>
              </a:graphicData>
            </a:graphic>
          </wp:inline>
        </w:drawing>
      </w:r>
    </w:p>
    <w:p w14:paraId="4D65F22B" w14:textId="77777777" w:rsidR="004B5501" w:rsidRDefault="004B5501" w:rsidP="004B5501">
      <w:pPr>
        <w:pStyle w:val="Thesisnormal"/>
      </w:pPr>
    </w:p>
    <w:p w14:paraId="5B084A24" w14:textId="77777777" w:rsidR="004B5501" w:rsidRDefault="004B5501" w:rsidP="004B5501">
      <w:pPr>
        <w:pStyle w:val="Thesisnormal"/>
      </w:pPr>
    </w:p>
    <w:p w14:paraId="68111DD8" w14:textId="77777777" w:rsidR="004B5501" w:rsidRDefault="004B5501" w:rsidP="004B5501">
      <w:pPr>
        <w:pStyle w:val="Thesisnormal"/>
      </w:pPr>
    </w:p>
    <w:p w14:paraId="73B2CE58" w14:textId="77777777" w:rsidR="004B5501" w:rsidRDefault="004B5501" w:rsidP="004B5501">
      <w:pPr>
        <w:pStyle w:val="Thesisnormal"/>
      </w:pPr>
    </w:p>
    <w:p w14:paraId="2DA2EEDF" w14:textId="77777777" w:rsidR="004B5501" w:rsidRDefault="004B5501" w:rsidP="004B5501">
      <w:pPr>
        <w:pStyle w:val="Thesisnormal"/>
      </w:pPr>
    </w:p>
    <w:p w14:paraId="5EB29FE0" w14:textId="77777777" w:rsidR="004B5501" w:rsidRDefault="004B5501" w:rsidP="004B5501">
      <w:pPr>
        <w:pStyle w:val="Thesisnormal"/>
        <w:rPr>
          <w:noProof/>
          <w:lang w:eastAsia="en-GB"/>
        </w:rPr>
      </w:pPr>
    </w:p>
    <w:p w14:paraId="05AC3D6E" w14:textId="77777777" w:rsidR="004B5501" w:rsidRDefault="004B5501" w:rsidP="004B5501">
      <w:pPr>
        <w:pStyle w:val="Thesisnormal"/>
      </w:pPr>
      <w:r>
        <w:rPr>
          <w:noProof/>
          <w:lang w:eastAsia="en-GB"/>
        </w:rPr>
        <w:lastRenderedPageBreak/>
        <w:drawing>
          <wp:inline distT="0" distB="0" distL="0" distR="0" wp14:anchorId="27116666" wp14:editId="619210AC">
            <wp:extent cx="5803267" cy="5334000"/>
            <wp:effectExtent l="0" t="0" r="6985" b="0"/>
            <wp:docPr id="67" name="Picture 67" descr="D:\Dropbox\PhD\Writing\Thesis\Chapter 3 Identification of hemocyte subpopulations\Figures\adult images fig\Adult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3 Identification of hemocyte subpopulations\Figures\adult images fig\Adult figure.tif"/>
                    <pic:cNvPicPr>
                      <a:picLocks noChangeAspect="1" noChangeArrowheads="1"/>
                    </pic:cNvPicPr>
                  </pic:nvPicPr>
                  <pic:blipFill rotWithShape="1">
                    <a:blip r:embed="rId23">
                      <a:extLst>
                        <a:ext uri="{28A0092B-C50C-407E-A947-70E740481C1C}">
                          <a14:useLocalDpi xmlns:a14="http://schemas.microsoft.com/office/drawing/2010/main" val="0"/>
                        </a:ext>
                      </a:extLst>
                    </a:blip>
                    <a:srcRect l="14848" t="57053" r="18784"/>
                    <a:stretch/>
                  </pic:blipFill>
                  <pic:spPr bwMode="auto">
                    <a:xfrm>
                      <a:off x="0" y="0"/>
                      <a:ext cx="5809519" cy="5339746"/>
                    </a:xfrm>
                    <a:prstGeom prst="rect">
                      <a:avLst/>
                    </a:prstGeom>
                    <a:noFill/>
                    <a:ln>
                      <a:noFill/>
                    </a:ln>
                    <a:extLst>
                      <a:ext uri="{53640926-AAD7-44D8-BBD7-CCE9431645EC}">
                        <a14:shadowObscured xmlns:a14="http://schemas.microsoft.com/office/drawing/2010/main"/>
                      </a:ext>
                    </a:extLst>
                  </pic:spPr>
                </pic:pic>
              </a:graphicData>
            </a:graphic>
          </wp:inline>
        </w:drawing>
      </w:r>
    </w:p>
    <w:p w14:paraId="3BBD4B66" w14:textId="77777777" w:rsidR="004B5501" w:rsidRPr="0087091F" w:rsidRDefault="004B5501" w:rsidP="004B5501">
      <w:pPr>
        <w:pStyle w:val="NoSpacing"/>
        <w:rPr>
          <w:b/>
        </w:rPr>
      </w:pPr>
      <w:r>
        <w:rPr>
          <w:b/>
        </w:rPr>
        <w:t>Figure 3.6.</w:t>
      </w:r>
      <w:r w:rsidRPr="0087091F">
        <w:rPr>
          <w:b/>
        </w:rPr>
        <w:t xml:space="preserve"> </w:t>
      </w:r>
      <w:r>
        <w:rPr>
          <w:b/>
        </w:rPr>
        <w:t>Hemocyte subpopulations persist into adult flies.</w:t>
      </w:r>
    </w:p>
    <w:p w14:paraId="680268DC" w14:textId="77777777" w:rsidR="004B5501" w:rsidRDefault="004B5501" w:rsidP="004B5501">
      <w:pPr>
        <w:pStyle w:val="NoSpacing"/>
      </w:pPr>
      <w:r>
        <w:t>(A-B) Representative images of virgin female adults with labelled hemocytes and enhancer-positive cells. (A) Representative images of whole adults. Scale bars represent 500μm. (B) Zoomed images of adults (A). Scale bar represents 200μm. Hml, (</w:t>
      </w:r>
      <w:r>
        <w:rPr>
          <w:i/>
        </w:rPr>
        <w:t xml:space="preserve">w;hml-GAL4,UAS-eGFP), </w:t>
      </w:r>
      <w:r w:rsidRPr="00B2172A">
        <w:t>srp</w:t>
      </w:r>
      <w:r>
        <w:t xml:space="preserve"> (</w:t>
      </w:r>
      <w:r>
        <w:rPr>
          <w:i/>
        </w:rPr>
        <w:t>w;srp-GAL4,UAS-eGFP</w:t>
      </w:r>
      <w:r>
        <w:t>), VT32897 (</w:t>
      </w:r>
      <w:r>
        <w:rPr>
          <w:i/>
        </w:rPr>
        <w:t>w;UAS-eGFP;VT32897-GAL4</w:t>
      </w:r>
      <w:r>
        <w:t>), VT57089 (</w:t>
      </w:r>
      <w:r>
        <w:rPr>
          <w:i/>
        </w:rPr>
        <w:t>w;UAS-eGFP;VT57089-GAL4</w:t>
      </w:r>
      <w:r>
        <w:t>), VT17559 (</w:t>
      </w:r>
      <w:r>
        <w:rPr>
          <w:i/>
        </w:rPr>
        <w:t>w;UAS-eGFP;VT17559-GAL4</w:t>
      </w:r>
      <w:r>
        <w:t>), VT62766 (</w:t>
      </w:r>
      <w:r>
        <w:rPr>
          <w:i/>
        </w:rPr>
        <w:t>w;UAS-eGFP;VT62766-GAL4</w:t>
      </w:r>
      <w:r>
        <w:t xml:space="preserve">). N=6 adults for each genotype. </w:t>
      </w:r>
    </w:p>
    <w:p w14:paraId="3F7DB3D6" w14:textId="77777777" w:rsidR="004B5501" w:rsidRDefault="004B5501" w:rsidP="004B5501">
      <w:pPr>
        <w:pStyle w:val="Thesisnormal"/>
      </w:pPr>
    </w:p>
    <w:p w14:paraId="5468F281" w14:textId="77777777" w:rsidR="004B5501" w:rsidRDefault="004B5501" w:rsidP="004B5501">
      <w:pPr>
        <w:pStyle w:val="Thesisnormal"/>
      </w:pPr>
    </w:p>
    <w:p w14:paraId="592C2FEE" w14:textId="77777777" w:rsidR="004B5501" w:rsidRDefault="004B5501" w:rsidP="004B5501">
      <w:pPr>
        <w:pStyle w:val="Thesisnormal"/>
      </w:pPr>
    </w:p>
    <w:p w14:paraId="0F379AFA" w14:textId="77777777" w:rsidR="004B5501" w:rsidRDefault="004B5501" w:rsidP="004B5501">
      <w:pPr>
        <w:pStyle w:val="Thesisnormal"/>
      </w:pPr>
    </w:p>
    <w:p w14:paraId="6341104E" w14:textId="77777777" w:rsidR="004B5501" w:rsidRDefault="004B5501" w:rsidP="004B5501">
      <w:pPr>
        <w:pStyle w:val="Thesisnormal"/>
      </w:pPr>
    </w:p>
    <w:p w14:paraId="521B75F9" w14:textId="77777777" w:rsidR="004B5501" w:rsidRDefault="004B5501" w:rsidP="004B5501">
      <w:pPr>
        <w:pStyle w:val="Thesisnormal"/>
      </w:pPr>
    </w:p>
    <w:p w14:paraId="0289B20B" w14:textId="77777777" w:rsidR="004B5501" w:rsidRDefault="004B5501" w:rsidP="004B5501">
      <w:pPr>
        <w:pStyle w:val="Thesisnormal"/>
      </w:pPr>
    </w:p>
    <w:p w14:paraId="778008A4" w14:textId="77777777" w:rsidR="004B5501" w:rsidRDefault="004B5501" w:rsidP="004B5501">
      <w:pPr>
        <w:pStyle w:val="Heading3"/>
        <w:spacing w:line="360" w:lineRule="auto"/>
      </w:pPr>
      <w:bookmarkStart w:id="146" w:name="_Toc4589320"/>
      <w:r>
        <w:lastRenderedPageBreak/>
        <w:t>3.2.4 Hemocyte subpopulations share similar cellular morphologies</w:t>
      </w:r>
      <w:bookmarkEnd w:id="146"/>
    </w:p>
    <w:p w14:paraId="05D861B6" w14:textId="77777777" w:rsidR="004B5501" w:rsidRPr="00C1456C" w:rsidRDefault="004B5501" w:rsidP="004B5501"/>
    <w:p w14:paraId="59293D56" w14:textId="44B5CD77" w:rsidR="004B5501" w:rsidRDefault="004B5501" w:rsidP="004B5501">
      <w:pPr>
        <w:pStyle w:val="Thesisnormal"/>
      </w:pPr>
      <w:r>
        <w:t xml:space="preserve">It is known that macrophages exhibit distinct morphologies, depending on their activation state or the tissue in which they reside. For instance, M1 macrophages are smaller, more rounded and spindle-shaped than unpolarised macrophages. In contrast, M2 macrophages exhibit a larger, longer and more irregular shape, as observed </w:t>
      </w:r>
      <w:r w:rsidRPr="00336048">
        <w:rPr>
          <w:i/>
        </w:rPr>
        <w:t>in vitro</w:t>
      </w:r>
      <w:r>
        <w:t xml:space="preserve"> </w:t>
      </w:r>
      <w:r>
        <w:fldChar w:fldCharType="begin"/>
      </w:r>
      <w:r w:rsidR="000A209C">
        <w:instrText xml:space="preserve"> ADDIN ZOTERO_ITEM CSL_CITATION {"citationID":"hP0Y29BG","properties":{"formattedCitation":"(341\\uc0\\u8211{}343)","plainCitation":"(341–343)","noteIndex":0},"citationItems":[{"id":1542,"uris":["http://zotero.org/users/952979/items/9KFJGHMB"],"uri":["http://zotero.org/users/952979/items/9KFJGHMB"],"itemData":{"id":1542,"type":"article-journal","title":"Image based Machine Learning for identification of macrophage subsets","container-title":"Scientific Reports","page":"3521","volume":"7","issue":"1","source":"www.nature.com","abstract":"Macrophages play a crucial rule in orchestrating immune responses against pathogens and foreign materials. Macrophages have remarkable plasticity in response to environmental cues and are able to acquire a spectrum of activation status, best exemplified by pro-inflammatory (M1) and anti-inflammatory (M2) phenotypes at the two ends of the spectrum. Characterisation of M1 and M2 subsets is usually carried out by quantification of multiple cell surface markers, transcription factors and cytokine profiles. These approaches are time-consuming, require large numbers of cells and are resource intensive. In this study, we used machine learning algorithms to develop a simple and fast imaging-based approach that enables automated identification of different macrophage functional phenotypes using their cell size and morphology. Fluorescent microscopy was used to assess cell morphology of different cell types which were stained for nucleus and actin distribution using DAPI and phalloidin respectively. By only analysing their morphology we were able to identify M1 and M2 phenotypes effectively and could distinguish them from naïve macrophages and monocytes with an average accuracy of 90%. Thus we suggest high-content and automated image analysis can be used for fast phenotyping of functionally diverse cell populations with reasonable accuracy and without the need for using multiple markers.","DOI":"10.1038/s41598-017-03780-z","ISSN":"2045-2322","language":"En","author":[{"family":"Rostam","given":"Hassan M."},{"family":"Reynolds","given":"Paul M."},{"family":"Alexander","given":"Morgan R."},{"family":"Gadegaard","given":"Nikolaj"},{"family":"Ghaemmaghami","given":"Amir M."}],"issued":{"date-parts":[["2017",6,14]]}}},{"id":1540,"uris":["http://zotero.org/users/952979/items/9T8UHG6V"],"uri":["http://zotero.org/users/952979/items/9T8UHG6V"],"itemData":{"id":1540,"type":"article-journal","title":"Cell plasticity in wound healing: paracrine factors of M1/ M2 polarized macrophages influence the phenotypical state of dermal fibroblasts","container-title":"Cell Communication and Signaling","page":"29","volume":"11","source":"BioMed Central","abstract":"Macrophages and fibroblasts are two major players in tissue repair and fibrosis. Despite the relevance of macrophages and fibroblasts in tissue homeostasis, remarkably little is known whether macrophages are able to influence the properties of fibroblasts. Here we investigated the role of paracrine factors secreted by classically activated (M1) and alternatively activated (M2) human macrophages on human dermal fibroblasts (HDFs).","DOI":"10.1186/1478-811X-11-29","ISSN":"1478-811X","shortTitle":"Cell plasticity in wound healing","journalAbbreviation":"Cell Communication and Signaling","author":[{"family":"Ploeger","given":"Diana TA"},{"family":"Hosper","given":"Nynke A."},{"family":"Schipper","given":"Martin"},{"family":"Koerts","given":"Jasper A."},{"family":"Rond","given":"Saskia","non-dropping-particle":"de"},{"family":"Bank","given":"Ruud A."}],"issued":{"date-parts":[["2013",4,19]]}}},{"id":1541,"uris":["http://zotero.org/users/952979/items/W7629RQR"],"uri":["http://zotero.org/users/952979/items/W7629RQR"],"itemData":{"id":1541,"type":"article-journal","title":"Modulation of macrophage phenotype by cell shape","container-title":"Proceedings of the National Academy of Sciences of the United States of America","page":"17253-17258","volume":"110","issue":"43","source":"PubMed Central","abstract":"Macrophages are central regulators of the immune response during infection and wound healing, and their behavior is largely thought to be regulated by soluble factors in the microenvironment. Here, we find that adhesive cues are also critical for regulating the proinflammatory vs. prohealing state of these cells. We use engineered cell culture substrates to control cell shape and find that elongation of cells promotes a prohealing phenotype. Moreover, we identify key molecular pathways that are responsible for transducing physical cues to the biochemical cues that govern this response. Together, these studies suggest an important role for cell shape in regulating macrophage function., Phenotypic polarization of macrophages is regulated by a milieu of cues in the local tissue microenvironment. Although much is known about how soluble factors influence macrophage polarization, relatively little is known about how physical cues present in the extracellular environment might modulate proinflammatory (M1) vs. prohealing (M2) activation. Specifically, the role of cell shape has not been explored, even though it has been observed that macrophages adopt different geometries in vivo. We and others observed that macrophages polarized toward different phenotypes in vitro exhibit dramatic changes in cell shape: M2 cells exhibit an elongated shape compared with M1 cells. Using a micropatterning approach to control macrophage cell shape directly, we demonstrate here that elongation itself, without exogenous cytokines, leads to the expression of M2 phenotype markers and reduces the secretion of inflammatory cytokines. Moreover, elongation enhances the effects of M2-inducing cytokines IL-4 and IL-13 and protects cells from M1-inducing stimuli LPS and IFN-γ. In addition shape- but not cytokine-induced polarization is abrogated when actin and actin/myosin contractility are inhibited by pharmacological agents, suggesting a role for the cytoskeleton in the control of macrophage polarization by cell geometry. Our studies demonstrate that alterations in cell shape associated with changes in ECM architecture may provide integral cues to modulate macrophage phenotype polarization.","DOI":"10.1073/pnas.1308887110","ISSN":"0027-8424","note":"PMID: 24101477\nPMCID: PMC3808615","journalAbbreviation":"Proc Natl Acad Sci U S A","author":[{"family":"McWhorter","given":"Frances Y."},{"family":"Wang","given":"Tingting"},{"family":"Nguyen","given":"Phoebe"},{"family":"Chung","given":"Thanh"},{"family":"Liu","given":"Wendy F."}],"issued":{"date-parts":[["2013",10,22]]}}}],"schema":"https://github.com/citation-style-language/schema/raw/master/csl-citation.json"} </w:instrText>
      </w:r>
      <w:r>
        <w:fldChar w:fldCharType="separate"/>
      </w:r>
      <w:r w:rsidR="004A1963" w:rsidRPr="004A1963">
        <w:rPr>
          <w:rFonts w:ascii="Calibri" w:hAnsi="Calibri" w:cs="Times New Roman"/>
        </w:rPr>
        <w:t>(341–343)</w:t>
      </w:r>
      <w:r>
        <w:fldChar w:fldCharType="end"/>
      </w:r>
      <w:r>
        <w:t>. Utilising the same line that was used for the initial characterisation of the enhancer lines (</w:t>
      </w:r>
      <w:r w:rsidRPr="004362F9">
        <w:rPr>
          <w:i/>
        </w:rPr>
        <w:t>w;UAS-TdTomato/SrpGMA;VT-GAL4/SrpGMA</w:t>
      </w:r>
      <w:r>
        <w:t xml:space="preserve">), we imaged stage 15 embryos. Doing this for both enhancer-positive (+) and enhancer-negative (-) hemocytes allowed us to use the enhancer-negative hemocytes as an internal control (Fig 3.7 A). We then measured the cell area, roundness (an inverse calculation of the aspect ratio), circularity, and skewness (a measure of </w:t>
      </w:r>
      <w:r>
        <w:rPr>
          <w:rStyle w:val="st"/>
        </w:rPr>
        <w:t>symmetry in XY)</w:t>
      </w:r>
      <w:r>
        <w:t xml:space="preserve"> using the built-in measurements in ImageJ. If a hemocyte was more pro-inflammatory, akin to an M1 macrophage, it may be expected to have a more round and circular (circularity = 1) appearance. However, we found that there were no differences between enhancer-positive and enhancer-negative hemocytes for the total area of cells or for the roundness (Fig 3.7 B &amp; C). VT40039 enhancer positive hemocytes were less circular than enhancer negative hemocytes from the same embryo (Fig 3.7 D). Additionally, only one enhancer line, VT32897, displayed a significant difference in the skewness, suggesting that these cells may have a different cellular polarity than the general hemocyte population. VT32897-positive hemocytes were more skewed than enhancer-negative hemocytes (Fig 3.7 E). This shows that expression of multiple fluorophores does not affect cell morphology and that, in an unchallenged state, enhancer-positive hemocytes are not morphologically distinct from enhancer-negative hemocytes.</w:t>
      </w:r>
    </w:p>
    <w:p w14:paraId="1E22EB41" w14:textId="77777777" w:rsidR="004B5501" w:rsidRDefault="004B5501" w:rsidP="004B5501">
      <w:pPr>
        <w:pStyle w:val="Thesisnormal"/>
        <w:rPr>
          <w:noProof/>
          <w:lang w:eastAsia="en-GB"/>
        </w:rPr>
      </w:pPr>
    </w:p>
    <w:p w14:paraId="3CA7DC61" w14:textId="77777777" w:rsidR="004B5501" w:rsidRDefault="004B5501" w:rsidP="004B5501">
      <w:pPr>
        <w:pStyle w:val="Thesisnormal"/>
        <w:rPr>
          <w:noProof/>
          <w:lang w:eastAsia="en-GB"/>
        </w:rPr>
      </w:pPr>
    </w:p>
    <w:p w14:paraId="0EBE3ED2" w14:textId="77777777" w:rsidR="004B5501" w:rsidRDefault="004B5501" w:rsidP="004B5501">
      <w:pPr>
        <w:pStyle w:val="Thesisnormal"/>
        <w:rPr>
          <w:noProof/>
          <w:lang w:eastAsia="en-GB"/>
        </w:rPr>
      </w:pPr>
    </w:p>
    <w:p w14:paraId="337CC001" w14:textId="77777777" w:rsidR="004B5501" w:rsidRDefault="004B5501" w:rsidP="004B5501">
      <w:pPr>
        <w:pStyle w:val="Thesisnormal"/>
        <w:rPr>
          <w:noProof/>
          <w:lang w:eastAsia="en-GB"/>
        </w:rPr>
      </w:pPr>
    </w:p>
    <w:p w14:paraId="53DEA54D" w14:textId="77777777" w:rsidR="004B5501" w:rsidRDefault="004B5501" w:rsidP="004B5501">
      <w:pPr>
        <w:pStyle w:val="Thesisnormal"/>
        <w:rPr>
          <w:noProof/>
          <w:lang w:eastAsia="en-GB"/>
        </w:rPr>
      </w:pPr>
    </w:p>
    <w:p w14:paraId="1F786AFE" w14:textId="77777777" w:rsidR="004B5501" w:rsidRDefault="004B5501" w:rsidP="004B5501">
      <w:pPr>
        <w:pStyle w:val="Thesisnormal"/>
        <w:rPr>
          <w:noProof/>
          <w:lang w:eastAsia="en-GB"/>
        </w:rPr>
      </w:pPr>
    </w:p>
    <w:p w14:paraId="69AD5AF4" w14:textId="77777777" w:rsidR="004B5501" w:rsidRDefault="004B5501" w:rsidP="004B5501">
      <w:pPr>
        <w:pStyle w:val="Thesisnormal"/>
        <w:rPr>
          <w:noProof/>
          <w:lang w:eastAsia="en-GB"/>
        </w:rPr>
      </w:pPr>
    </w:p>
    <w:p w14:paraId="3A8723D3" w14:textId="77777777" w:rsidR="004B5501" w:rsidRDefault="004B5501" w:rsidP="004B5501">
      <w:pPr>
        <w:pStyle w:val="Thesisnormal"/>
        <w:rPr>
          <w:noProof/>
          <w:lang w:eastAsia="en-GB"/>
        </w:rPr>
      </w:pPr>
    </w:p>
    <w:p w14:paraId="6D761FAE" w14:textId="77777777" w:rsidR="004B5501" w:rsidRDefault="004B5501" w:rsidP="004B5501">
      <w:pPr>
        <w:pStyle w:val="Thesisnormal"/>
        <w:rPr>
          <w:noProof/>
          <w:lang w:eastAsia="en-GB"/>
        </w:rPr>
      </w:pPr>
    </w:p>
    <w:p w14:paraId="67AA41BB" w14:textId="77777777" w:rsidR="004B5501" w:rsidRDefault="004B5501" w:rsidP="004B5501">
      <w:pPr>
        <w:pStyle w:val="Thesisnormal"/>
      </w:pPr>
      <w:r>
        <w:rPr>
          <w:noProof/>
          <w:lang w:eastAsia="en-GB"/>
        </w:rPr>
        <w:lastRenderedPageBreak/>
        <w:drawing>
          <wp:inline distT="0" distB="0" distL="0" distR="0" wp14:anchorId="3B968A79" wp14:editId="194B24B1">
            <wp:extent cx="5648325" cy="7761367"/>
            <wp:effectExtent l="0" t="0" r="0" b="0"/>
            <wp:docPr id="68" name="Picture 68" descr="D:\Dropbox\PhD\Writing\Thesis\Chapter 3 Identification of hemocyte subpopulations\Figures\morphology fig\VT Morphology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ropbox\PhD\Writing\Thesis\Chapter 3 Identification of hemocyte subpopulations\Figures\morphology fig\VT Morphology figure.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537" b="3778"/>
                    <a:stretch/>
                  </pic:blipFill>
                  <pic:spPr bwMode="auto">
                    <a:xfrm>
                      <a:off x="0" y="0"/>
                      <a:ext cx="5649531" cy="7763024"/>
                    </a:xfrm>
                    <a:prstGeom prst="rect">
                      <a:avLst/>
                    </a:prstGeom>
                    <a:noFill/>
                    <a:ln>
                      <a:noFill/>
                    </a:ln>
                    <a:extLst>
                      <a:ext uri="{53640926-AAD7-44D8-BBD7-CCE9431645EC}">
                        <a14:shadowObscured xmlns:a14="http://schemas.microsoft.com/office/drawing/2010/main"/>
                      </a:ext>
                    </a:extLst>
                  </pic:spPr>
                </pic:pic>
              </a:graphicData>
            </a:graphic>
          </wp:inline>
        </w:drawing>
      </w:r>
    </w:p>
    <w:p w14:paraId="09A895F4" w14:textId="77777777" w:rsidR="004B5501" w:rsidRPr="00C94F61" w:rsidRDefault="004B5501" w:rsidP="004B5501">
      <w:pPr>
        <w:pStyle w:val="NoSpacing"/>
        <w:rPr>
          <w:b/>
        </w:rPr>
      </w:pPr>
      <w:r>
        <w:rPr>
          <w:b/>
        </w:rPr>
        <w:t>Figure 3.7</w:t>
      </w:r>
      <w:r w:rsidRPr="00C94F61">
        <w:rPr>
          <w:b/>
        </w:rPr>
        <w:t>. Hemocyte subpopulations share similar morphologies.</w:t>
      </w:r>
    </w:p>
    <w:p w14:paraId="238D5E26" w14:textId="267F6B7C" w:rsidR="004B5501" w:rsidRDefault="004B5501" w:rsidP="004B5501">
      <w:pPr>
        <w:pStyle w:val="NoSpacing"/>
      </w:pPr>
      <w:r w:rsidRPr="00FD4E43">
        <w:t>(A</w:t>
      </w:r>
      <w:r>
        <w:t>) Representative images of enhancer positive cells (magenta) in a background with all hemocytes labelled (GFP) and zoomed images (1-6). Positive control (</w:t>
      </w:r>
      <w:r>
        <w:rPr>
          <w:i/>
        </w:rPr>
        <w:t>w;UAS-tdTomato/SrpGMA;Srp-GAL4/ SrpGMA</w:t>
      </w:r>
      <w:r>
        <w:t>), VT32897 (</w:t>
      </w:r>
      <w:r>
        <w:rPr>
          <w:i/>
        </w:rPr>
        <w:t>w;UAS-tdTomato/SrpGMA;VT-32897/ SrpGMA</w:t>
      </w:r>
      <w:r>
        <w:t>), VT57089 (</w:t>
      </w:r>
      <w:r>
        <w:rPr>
          <w:i/>
        </w:rPr>
        <w:t>w;UAS-tdTomato/SrpGMA;VT-57089/SrpGMA</w:t>
      </w:r>
      <w:r>
        <w:t>), VT17559 (</w:t>
      </w:r>
      <w:r>
        <w:rPr>
          <w:i/>
        </w:rPr>
        <w:t>w;UAS-</w:t>
      </w:r>
      <w:r>
        <w:rPr>
          <w:i/>
        </w:rPr>
        <w:lastRenderedPageBreak/>
        <w:t>tdTomato/SrpGMA;VT-17559/SrpGMA</w:t>
      </w:r>
      <w:r>
        <w:t>), VT62766 (</w:t>
      </w:r>
      <w:r>
        <w:rPr>
          <w:i/>
        </w:rPr>
        <w:t>w;UAS-tdTomato/SrpGMA;VT-62766/SrpGMA</w:t>
      </w:r>
      <w:r>
        <w:t>), VT40039 (</w:t>
      </w:r>
      <w:r>
        <w:rPr>
          <w:i/>
        </w:rPr>
        <w:t>w;UAS-tdTomato/SrpGMA;VT-40039/SrpGMA</w:t>
      </w:r>
      <w:r>
        <w:t>). Blue arrows represent enhancer positive hemocytes, red arrows indicate enhancer negative hemocytes. Scale bar represents 20µm, zoom scale bar represents 5μm. (B) Scatterplot of area of enhancer positive hemocytes. (C)</w:t>
      </w:r>
      <w:r w:rsidRPr="0095349E">
        <w:t xml:space="preserve"> </w:t>
      </w:r>
      <w:r>
        <w:t>Scatterplot of roundness of enhancer positive hemocytes. (D) Scatterplot of skewness of enhancer positive hemocytes. (E) Scatterplot of circularity of enhancer positive hemocytes. Asterisks represent p</w:t>
      </w:r>
      <w:r w:rsidRPr="00A633BD">
        <w:rPr>
          <w:b/>
          <w:bCs/>
        </w:rPr>
        <w:t xml:space="preserve"> </w:t>
      </w:r>
      <w:r w:rsidRPr="00A633BD">
        <w:rPr>
          <w:bCs/>
        </w:rPr>
        <w:t>&lt; 0.05 (*</w:t>
      </w:r>
      <w:r w:rsidRPr="00A633BD">
        <w:t>),</w:t>
      </w:r>
      <w:r>
        <w:t xml:space="preserve"> p &lt; 0.01 (**), via </w:t>
      </w:r>
      <w:r w:rsidR="009D3F4E">
        <w:t>two-way ANOVA with Sidak’s multiple comparisons test</w:t>
      </w:r>
      <w:r>
        <w:t xml:space="preserve">; data points represent individual hemocytes, taken from a minimum of </w:t>
      </w:r>
      <w:r w:rsidRPr="00E15A1A">
        <w:t>3 embryos.</w:t>
      </w:r>
    </w:p>
    <w:p w14:paraId="0161AD9A" w14:textId="77777777" w:rsidR="004B5501" w:rsidRDefault="004B5501" w:rsidP="004B5501">
      <w:pPr>
        <w:pStyle w:val="Thesisnormal"/>
      </w:pPr>
    </w:p>
    <w:p w14:paraId="1B4D9F99" w14:textId="77777777" w:rsidR="004B5501" w:rsidRDefault="004B5501" w:rsidP="004B5501">
      <w:pPr>
        <w:pStyle w:val="Thesisnormal"/>
      </w:pPr>
    </w:p>
    <w:p w14:paraId="0BF08255" w14:textId="67A2B455" w:rsidR="004B5501" w:rsidRDefault="004B5501" w:rsidP="004B5501">
      <w:pPr>
        <w:pStyle w:val="Heading3"/>
        <w:spacing w:line="360" w:lineRule="auto"/>
      </w:pPr>
      <w:bookmarkStart w:id="147" w:name="_Toc4589321"/>
      <w:r>
        <w:t>3.2.</w:t>
      </w:r>
      <w:r w:rsidR="0054108A">
        <w:t>5</w:t>
      </w:r>
      <w:r>
        <w:t xml:space="preserve"> Hemocyte subpopulations efficiently phagocytose </w:t>
      </w:r>
      <w:r>
        <w:rPr>
          <w:i/>
        </w:rPr>
        <w:t>E. coli</w:t>
      </w:r>
      <w:bookmarkEnd w:id="147"/>
      <w:r>
        <w:t xml:space="preserve"> </w:t>
      </w:r>
    </w:p>
    <w:p w14:paraId="24C4BC60" w14:textId="77777777" w:rsidR="004B5501" w:rsidRPr="00C1456C" w:rsidRDefault="004B5501" w:rsidP="004B5501"/>
    <w:p w14:paraId="2A7B87A1" w14:textId="5B8EBD89" w:rsidR="004B5501" w:rsidRPr="00212A78" w:rsidRDefault="004B5501" w:rsidP="004B5501">
      <w:pPr>
        <w:pStyle w:val="Thesisnormal"/>
      </w:pPr>
      <w:r>
        <w:t xml:space="preserve">M1 macrophages efficiently phagocytose invading bacteria and are responsible for clearing infections within the body </w:t>
      </w:r>
      <w:r>
        <w:fldChar w:fldCharType="begin"/>
      </w:r>
      <w:r w:rsidR="000A209C">
        <w:instrText xml:space="preserve"> ADDIN ZOTERO_ITEM CSL_CITATION {"citationID":"FomWmLe1","properties":{"formattedCitation":"(27,40)","plainCitation":"(27,40)","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J."}],"issued":{"date-parts":[["2017"]]}}},{"id":1152,"uris":["http://zotero.org/users/952979/items/EPN9QCAT"],"uri":["http://zotero.org/users/952979/items/EPN9QCAT"],"itemData":{"id":1152,"type":"article-journal","title":"Macrophages: Master Regulators of Inflammation and Fibrosis","container-title":"Seminars in liver disease","page":"245-257","volume":"30","issue":"3","source":"PubMed Central","abstract":"Macrophages are found in close proximity with collagen-producing myofibroblasts and indisputably play a key role in fibrosis. They produce profibrotic mediators that directly activate fibroblasts, including transforming growth factor-β1 and platelet-derived growth factor, and control extracellular matrix turnover by regulating the balance of various matrix metalloproteinases and tissue inhibitors of matrix metalloproteinases. Macrophages also regulate fibrogenesis by secreting chemokines that recruit fibroblasts and other inflammatory cells. With their potential to act in both a pro- and antifibrotic capacity, as well as their ability to regulate the activation of resident and recruited myofibroblasts, macrophages and the factors they express are integrated into all stages of the fibrotic process. These various, and sometimes opposing, functions may be performed by distinct macrophage subpopulations, the identification of which is a growing focus of fibrosis research. Although collagen-secreting myofibroblasts once were thought of as the master “producers” of fibrosis, this review will illustrate how macrophages function as the master “regulators” of fibrosis.","DOI":"10.1055/s-0030-1255354","ISSN":"0272-8087","note":"PMID: 20665377\nPMCID: PMC2924662","shortTitle":"Macrophages","journalAbbreviation":"Semin Liver Dis","author":[{"family":"Wynn","given":"Thomas A."},{"family":"Barron","given":"Luke"}],"issued":{"date-parts":[["2010",8]]}}}],"schema":"https://github.com/citation-style-language/schema/raw/master/csl-citation.json"} </w:instrText>
      </w:r>
      <w:r>
        <w:fldChar w:fldCharType="separate"/>
      </w:r>
      <w:r w:rsidR="004A1963" w:rsidRPr="004A1963">
        <w:rPr>
          <w:rFonts w:ascii="Calibri" w:hAnsi="Calibri"/>
        </w:rPr>
        <w:t>(27,40)</w:t>
      </w:r>
      <w:r>
        <w:fldChar w:fldCharType="end"/>
      </w:r>
      <w:r>
        <w:t xml:space="preserve">. In contrast, M2 macrophages are less efficient at clearing pathogens </w:t>
      </w:r>
      <w:r>
        <w:fldChar w:fldCharType="begin"/>
      </w:r>
      <w:r w:rsidR="000A209C">
        <w:instrText xml:space="preserve"> ADDIN ZOTERO_ITEM CSL_CITATION {"citationID":"xU28aZgx","properties":{"formattedCitation":"(15)","plainCitation":"(15)","noteIndex":0},"citationItems":[{"id":1385,"uris":["http://zotero.org/users/952979/items/67HQCN79"],"uri":["http://zotero.org/users/952979/items/67HQCN79"],"itemData":{"id":1385,"type":"article-journal","title":"Macrophage biology in development, homeostasis and disease","container-title":"Nature","page":"445-455","volume":"496","issue":"7446","source":"PubMed","abstract":"Macrophages, the most plastic cells of the haematopoietic system, are found in all tissues and show great functional diversity. They have roles in development, homeostasis, tissue repair and immunity. Although tissue macrophages are anatomically distinct from one another, and have different transcriptional profiles and functional capabilities, they are all required for the maintenance of homeostasis. However, these reparative and homeostatic functions can be subverted by chronic insults, resulting in a causal association of macrophages with disease states. In this Review, we discuss how macrophages regulate normal physiology and development, and provide several examples of their pathophysiological roles in disease. We define the 'hallmarks' of macrophages according to the states that they adopt during the performance of their various roles, taking into account new insights into the diversity of their lineages, identities and regulation. It is essential to understand this diversity because macrophages have emerged as important therapeutic targets in many human diseases.","DOI":"10.1038/nature12034","ISSN":"1476-4687","note":"PMID: 23619691\nPMCID: PMC3725458","journalAbbreviation":"Nature","language":"eng","author":[{"family":"Wynn","given":"Thomas A."},{"family":"Chawla","given":"Ajay"},{"family":"Pollard","given":"Jeffrey W."}],"issued":{"date-parts":[["2013",4,25]]}}}],"schema":"https://github.com/citation-style-language/schema/raw/master/csl-citation.json"} </w:instrText>
      </w:r>
      <w:r>
        <w:fldChar w:fldCharType="separate"/>
      </w:r>
      <w:r w:rsidR="00A53A6B" w:rsidRPr="00A53A6B">
        <w:rPr>
          <w:rFonts w:ascii="Calibri" w:hAnsi="Calibri"/>
        </w:rPr>
        <w:t>(15)</w:t>
      </w:r>
      <w:r>
        <w:fldChar w:fldCharType="end"/>
      </w:r>
      <w:r>
        <w:t xml:space="preserve">. In </w:t>
      </w:r>
      <w:r w:rsidRPr="001C7CD7">
        <w:rPr>
          <w:i/>
        </w:rPr>
        <w:t>Drosophila</w:t>
      </w:r>
      <w:r>
        <w:t xml:space="preserve">, embryonic hemocytes have been shown to efficiently phagocytose </w:t>
      </w:r>
      <w:r>
        <w:rPr>
          <w:i/>
        </w:rPr>
        <w:t xml:space="preserve">E. </w:t>
      </w:r>
      <w:r w:rsidRPr="001C7CD7">
        <w:rPr>
          <w:i/>
        </w:rPr>
        <w:t>coli</w:t>
      </w:r>
      <w:r>
        <w:t xml:space="preserve"> </w:t>
      </w:r>
      <w:r>
        <w:fldChar w:fldCharType="begin"/>
      </w:r>
      <w:r w:rsidR="000A209C">
        <w:instrText xml:space="preserve"> ADDIN ZOTERO_ITEM CSL_CITATION {"citationID":"BIrBpKGn","properties":{"formattedCitation":"(169)","plainCitation":"(169)","noteIndex":0},"citationItems":[{"id":1566,"uris":["http://zotero.org/users/952979/items/5DMBU6XM"],"uri":["http://zotero.org/users/952979/items/5DMBU6XM"],"itemData":{"id":1566,"type":"article-journal","title":"Drosophila embryos as model systems for monitoring bacterial infection in real time","container-title":"PLoS pathogens","page":"e1000518","volume":"5","issue":"7","source":"PubMed","abstract":"Drosophila embryos are well studied developmental microcosms that have been used extensively as models for early development and more recently wound repair. Here we extend this work by looking at embryos as model systems for following bacterial infection in real time. We examine the behaviour of injected pathogenic (Photorhabdus asymbiotica) and non-pathogenic (Escherichia coli) bacteria and their interaction with embryonic hemocytes using time-lapse confocal microscopy. We find that embryonic hemocytes both recognise and phagocytose injected wild type, non-pathogenic E. coli in a Dscam independent manner, proving that embryonic hemocytes are phagocytically competent. In contrast, injection of bacterial cells of the insect pathogen Photorhabdus leads to a rapid 'freezing' phenotype of the hemocytes associated with significant rearrangement of the actin cytoskeleton. This freezing phenotype can be phenocopied by either injection of the purified insecticidal toxin Makes Caterpillars Floppy 1 (Mcf1) or by recombinant E. coli expressing the mcf1 gene. Mcf1 mediated hemocyte freezing is shibire dependent, suggesting that endocytosis is required for Mcf1 toxicity and can be modulated by dominant negative or constitutively active Rac expression, suggesting early and unexpected effects of Mcf1 on the actin cytoskeleton. Together these data show how Drosophila embryos can be used to track bacterial infection in real time and how mutant analysis can be used to genetically dissect the effects of specific bacterial virulence factors.","DOI":"10.1371/journal.ppat.1000518","ISSN":"1553-7374","note":"PMID: 19609447\nPMCID: PMC2707623","journalAbbreviation":"PLoS Pathog.","language":"eng","author":[{"family":"Vlisidou","given":"Isabella"},{"family":"Dowling","given":"Andrea J."},{"family":"Evans","given":"Iwan R."},{"family":"Waterfield","given":"Nicholas"},{"family":"Constant","given":"Richard H.","non-dropping-particle":"ffrench-"},{"family":"Wood","given":"Will"}],"issued":{"date-parts":[["2009",7]]}}}],"schema":"https://github.com/citation-style-language/schema/raw/master/csl-citation.json"} </w:instrText>
      </w:r>
      <w:r>
        <w:fldChar w:fldCharType="separate"/>
      </w:r>
      <w:r w:rsidR="004A1963" w:rsidRPr="004A1963">
        <w:rPr>
          <w:rFonts w:ascii="Calibri" w:hAnsi="Calibri"/>
        </w:rPr>
        <w:t>(169)</w:t>
      </w:r>
      <w:r>
        <w:fldChar w:fldCharType="end"/>
      </w:r>
      <w:r>
        <w:t xml:space="preserve">. </w:t>
      </w:r>
      <w:r w:rsidRPr="001C7CD7">
        <w:t>We</w:t>
      </w:r>
      <w:r>
        <w:t xml:space="preserve"> wished to determine if any of our identified subpopulations displayed differences in terms of their ability to phagocytose bacteria. We injected stage 15 embryos with green pHRodo-labelled </w:t>
      </w:r>
      <w:r>
        <w:rPr>
          <w:i/>
        </w:rPr>
        <w:t>E. coli,</w:t>
      </w:r>
      <w:r>
        <w:t xml:space="preserve"> which becomes more fluorescent on exposure to more acidic environments during phagosomal maturation </w:t>
      </w:r>
      <w:r>
        <w:fldChar w:fldCharType="begin"/>
      </w:r>
      <w:r w:rsidR="000A209C">
        <w:instrText xml:space="preserve"> ADDIN ZOTERO_ITEM CSL_CITATION {"citationID":"1f740sg0","properties":{"formattedCitation":"(344)","plainCitation":"(344)","noteIndex":0},"citationItems":[{"id":1774,"uris":["http://zotero.org/users/952979/items/PEBGET3P"],"uri":["http://zotero.org/users/952979/items/PEBGET3P"],"itemData":{"id":1774,"type":"article-journal","title":"The full-of-bacteria gene is required for phagosome maturation during immune defense in Drosophila","container-title":"The Journal of Cell Biology","page":"383-390","volume":"192","issue":"3","source":"jcb.rupress.org","abstract":"Arthrogryposis, renal dysfunction, and cholestasis (ARC) syndrome is a fatal recessive disorder caused by mutations in the VPS33B or VPS16B genes. Both encode homologues of the Vps33p and Vps16p subunits of the HOPS complex necessary for fusions of vacuoles in yeast. Here, we describe a mutation in the full-of-bacteria (fob) gene, which encodes Drosophila Vps16B. Flies null for fob are homozygous viable and fertile. They exhibit, however, a defect in their immune defense that renders them hypersensitive to infections with nonpathogenic bacteria. fob hemocytes (fly macrophages) engulf bacteria but fail to digest them. Phagosomes undergo early steps of maturation and transition to a Rab7-positive stage, but do not mature to fully acidified phagolysosomes. This reflects a specific requirement of fob in the fusion of phagosomes with late endosomes/lysosomes. In contrast, cargo of autophagosomes as well as endosomes exhibit normal lysosomal delivery in fob cells. These findings suggest that defects in phagosome maturation may contribute to symptoms of ARC patients including recurring infections.","DOI":"10.1083/jcb.201008119","ISSN":"0021-9525, 1540-8140","note":"PMID: 21282466","language":"en","author":[{"family":"Akbar","given":"Mohammed Ali"},{"family":"Tracy","given":"Charles"},{"family":"Kahr","given":"Walter H. A."},{"family":"Krämer","given":"Helmut"}],"issued":{"date-parts":[["2011",2,7]]}}}],"schema":"https://github.com/citation-style-language/schema/raw/master/csl-citation.json"} </w:instrText>
      </w:r>
      <w:r>
        <w:fldChar w:fldCharType="separate"/>
      </w:r>
      <w:r w:rsidR="004A1963" w:rsidRPr="004A1963">
        <w:rPr>
          <w:rFonts w:ascii="Calibri" w:hAnsi="Calibri"/>
        </w:rPr>
        <w:t>(344)</w:t>
      </w:r>
      <w:r>
        <w:fldChar w:fldCharType="end"/>
      </w:r>
      <w:r>
        <w:t xml:space="preserve">. Following injection, embryos were left for 1 hour to allow the hemocytes time to phagocytose the </w:t>
      </w:r>
      <w:r>
        <w:rPr>
          <w:i/>
        </w:rPr>
        <w:t>E. coli</w:t>
      </w:r>
      <w:r>
        <w:t xml:space="preserve"> before imaging. We then quantified the number of hemocytes positive for </w:t>
      </w:r>
      <w:r>
        <w:rPr>
          <w:i/>
        </w:rPr>
        <w:t>E. coli</w:t>
      </w:r>
      <w:r>
        <w:t xml:space="preserve">. </w:t>
      </w:r>
      <w:r w:rsidR="001B3794" w:rsidRPr="001B3794">
        <w:t>Unfortunately, VT40039 was not included in this assay due to technical difficulties of obtaining sufficient replicates for thorough analysis</w:t>
      </w:r>
      <w:r w:rsidR="001B3794">
        <w:t xml:space="preserve">. </w:t>
      </w:r>
      <w:r>
        <w:t xml:space="preserve">We found that all of our enhancer-labelled hemocyte subsets efficiently phagocytosed pHRodo </w:t>
      </w:r>
      <w:r>
        <w:rPr>
          <w:i/>
        </w:rPr>
        <w:t>E. coli</w:t>
      </w:r>
      <w:r>
        <w:t xml:space="preserve"> (Fig 3.8 A &amp; B). However, there was no observable difference in the percentage of hemocytes phagocytosing </w:t>
      </w:r>
      <w:r>
        <w:rPr>
          <w:i/>
        </w:rPr>
        <w:t>E. coli</w:t>
      </w:r>
      <w:r>
        <w:t xml:space="preserve"> between a control and the enhancer-labelled subsets (One way ANOVA with Dunnett’s multiple comparisons test, VT32897 = 0.9176, VT57089 = 0.8573, VT17559 = 0.199, VT62766 = 0.9803, n = 22, 28, 29, 31 and 28 embryos for control, VT32897, VT57089, VT17559 and VT62766 respectively). This is possibly due to the constrained time frame for imaging (Fig 3.8 C). This shows that all embryonic hemocytes are capable of efficiently phagocytosing </w:t>
      </w:r>
      <w:r>
        <w:rPr>
          <w:i/>
        </w:rPr>
        <w:t>E. coli</w:t>
      </w:r>
      <w:r>
        <w:t xml:space="preserve">. </w:t>
      </w:r>
    </w:p>
    <w:p w14:paraId="600EF807" w14:textId="77777777" w:rsidR="004B5501" w:rsidRDefault="004B5501" w:rsidP="004B5501">
      <w:pPr>
        <w:pStyle w:val="Thesisnormal"/>
      </w:pPr>
    </w:p>
    <w:p w14:paraId="394E0025" w14:textId="77777777" w:rsidR="004B5501" w:rsidRDefault="004B5501" w:rsidP="004B5501">
      <w:pPr>
        <w:pStyle w:val="Thesisnormal"/>
        <w:rPr>
          <w:noProof/>
          <w:lang w:eastAsia="en-GB"/>
        </w:rPr>
      </w:pPr>
    </w:p>
    <w:p w14:paraId="00685447" w14:textId="77777777" w:rsidR="004B5501" w:rsidRDefault="004B5501" w:rsidP="004B5501">
      <w:pPr>
        <w:pStyle w:val="Thesisnormal"/>
      </w:pPr>
      <w:r>
        <w:rPr>
          <w:noProof/>
          <w:lang w:eastAsia="en-GB"/>
        </w:rPr>
        <w:lastRenderedPageBreak/>
        <w:drawing>
          <wp:inline distT="0" distB="0" distL="0" distR="0" wp14:anchorId="72CB60E1" wp14:editId="03F8C94D">
            <wp:extent cx="5761542" cy="6499820"/>
            <wp:effectExtent l="0" t="0" r="444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ropbox\PhD\Writing\Thesis\Chapter 3 Identification of hemocyte subpopulations\Figures\Injecting E coli fig\VT injecting figure.tif"/>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61542" cy="6499820"/>
                    </a:xfrm>
                    <a:prstGeom prst="rect">
                      <a:avLst/>
                    </a:prstGeom>
                    <a:noFill/>
                    <a:ln>
                      <a:noFill/>
                    </a:ln>
                  </pic:spPr>
                </pic:pic>
              </a:graphicData>
            </a:graphic>
          </wp:inline>
        </w:drawing>
      </w:r>
    </w:p>
    <w:p w14:paraId="3D75CA2F" w14:textId="77777777" w:rsidR="004B5501" w:rsidRPr="0087091F" w:rsidRDefault="004B5501" w:rsidP="004B5501">
      <w:pPr>
        <w:pStyle w:val="NoSpacing"/>
        <w:rPr>
          <w:b/>
        </w:rPr>
      </w:pPr>
      <w:r>
        <w:rPr>
          <w:b/>
        </w:rPr>
        <w:t>Figure 3.8.</w:t>
      </w:r>
      <w:r w:rsidRPr="0087091F">
        <w:rPr>
          <w:b/>
        </w:rPr>
        <w:t xml:space="preserve"> </w:t>
      </w:r>
      <w:r>
        <w:rPr>
          <w:b/>
        </w:rPr>
        <w:t xml:space="preserve">Hemocyte subpopulations effectively phagocytose </w:t>
      </w:r>
      <w:r>
        <w:rPr>
          <w:b/>
          <w:i/>
        </w:rPr>
        <w:t>E. coli</w:t>
      </w:r>
      <w:r>
        <w:rPr>
          <w:b/>
        </w:rPr>
        <w:t>.</w:t>
      </w:r>
    </w:p>
    <w:p w14:paraId="6ADA5539" w14:textId="77777777" w:rsidR="004B5501" w:rsidRDefault="004B5501" w:rsidP="004B5501">
      <w:pPr>
        <w:pStyle w:val="NoSpacing"/>
      </w:pPr>
      <w:r w:rsidRPr="00FD4E43">
        <w:t>(A</w:t>
      </w:r>
      <w:r>
        <w:t xml:space="preserve">) Representative stills of enhancer-positive cells (red) in a background with all hemocytes labelled (GFP) and pHRodo-labelled </w:t>
      </w:r>
      <w:r>
        <w:rPr>
          <w:i/>
        </w:rPr>
        <w:t>E. coli</w:t>
      </w:r>
      <w:r>
        <w:t xml:space="preserve"> (bright green).</w:t>
      </w:r>
      <w:r w:rsidRPr="00650CC8">
        <w:t xml:space="preserve"> </w:t>
      </w:r>
      <w:r>
        <w:t>Scale bar represents 20µm. Positive control with all hemocytes labelled with RFP (</w:t>
      </w:r>
      <w:r>
        <w:rPr>
          <w:i/>
        </w:rPr>
        <w:t>w;UAS-tdTomato/SrpGMA;Srp-GAL4/ SrpGMA</w:t>
      </w:r>
      <w:r>
        <w:t>), VT32897 (</w:t>
      </w:r>
      <w:r>
        <w:rPr>
          <w:i/>
        </w:rPr>
        <w:t>w;UAS-tdTomato/SrpGMA;VT-32897/ SrpGMA</w:t>
      </w:r>
      <w:r>
        <w:t>), VT57089 (</w:t>
      </w:r>
      <w:r>
        <w:rPr>
          <w:i/>
        </w:rPr>
        <w:t>w;UAS-tdTomato/SrpGMA;VT-57089/SrpGMA</w:t>
      </w:r>
      <w:r>
        <w:t>), VT17559 (</w:t>
      </w:r>
      <w:r>
        <w:rPr>
          <w:i/>
        </w:rPr>
        <w:t>w;UAS-tdTomato/SrpGMA;VT-17559/SrpGMA</w:t>
      </w:r>
      <w:r>
        <w:t>), VT62766 (</w:t>
      </w:r>
      <w:r>
        <w:rPr>
          <w:i/>
        </w:rPr>
        <w:t>w;UAS-tdTomato/SrpGMA;VT-62766/SrpGMA</w:t>
      </w:r>
      <w:r>
        <w:t xml:space="preserve">). (B) Zoomed images of (A), scale bar represents 5μm. (C) Scatterplot of the percentage of enhancer-positive hemocytes phagocytosing </w:t>
      </w:r>
      <w:r>
        <w:rPr>
          <w:i/>
        </w:rPr>
        <w:t>E. coli</w:t>
      </w:r>
      <w:r>
        <w:t>. One-way ANOVA with Dunnett’s multiple comparisons test, VT32897 = 0.9176, VT57089 = 0.8573, VT17559 = 0.199, VT62766 = 0.9803, n = 22, 28, 29, 31 and 28 embryos for control, VT32897, VT57089, VT17559 and VT62766 respectively.</w:t>
      </w:r>
    </w:p>
    <w:p w14:paraId="5504665D" w14:textId="0EF875DB" w:rsidR="004B5501" w:rsidRDefault="004B5501" w:rsidP="004B5501">
      <w:pPr>
        <w:pStyle w:val="Heading3"/>
        <w:spacing w:line="360" w:lineRule="auto"/>
      </w:pPr>
      <w:bookmarkStart w:id="148" w:name="_Toc4589322"/>
      <w:r>
        <w:lastRenderedPageBreak/>
        <w:t>3.2.</w:t>
      </w:r>
      <w:r w:rsidR="0054108A">
        <w:t>6</w:t>
      </w:r>
      <w:r>
        <w:t xml:space="preserve"> Hemocyte subpopulations stain positive for reactive Oxygen species</w:t>
      </w:r>
      <w:bookmarkEnd w:id="148"/>
    </w:p>
    <w:p w14:paraId="24D7E4F7" w14:textId="77777777" w:rsidR="004B5501" w:rsidRPr="00C1456C" w:rsidRDefault="004B5501" w:rsidP="004B5501"/>
    <w:p w14:paraId="09778FC8" w14:textId="01674DE7" w:rsidR="004B5501" w:rsidRDefault="004B5501" w:rsidP="004B5501">
      <w:pPr>
        <w:pStyle w:val="Thesisnormal"/>
      </w:pPr>
      <w:r>
        <w:t>Reactive Oxygen species (</w:t>
      </w:r>
      <w:r w:rsidRPr="000C5B71">
        <w:t>ROS</w:t>
      </w:r>
      <w:r>
        <w:t xml:space="preserve">) are a common marker of macrophage polarisation, essential for functions including wound responses and the respiratory burst </w:t>
      </w:r>
      <w:r>
        <w:fldChar w:fldCharType="begin"/>
      </w:r>
      <w:r w:rsidR="000A209C">
        <w:instrText xml:space="preserve"> ADDIN ZOTERO_ITEM CSL_CITATION {"citationID":"VRiVbwcq","properties":{"formattedCitation":"(27,34,345,346)","plainCitation":"(27,34,345,346)","noteIndex":0},"citationItems":[{"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J."}],"issued":{"date-parts":[["2017"]]}}},{"id":1638,"uris":["http://zotero.org/users/952979/items/4ZYSUHSG"],"uri":["http://zotero.org/users/952979/items/4ZYSUHSG"],"itemData":{"id":1638,"type":"webpage","title":"The Reactive Oxygen Species in Macrophage Polarization: Reflecting Its Dual Role in Progression and Treatment of Human Diseases","container-title":"Oxidative Medicine and Cellular Longevity","genre":"Research article","abstract":"High heterogeneity of macrophage is associated with its functions in polarization to different functional phenotypes depending on environmental cues. Macrophages remain in balanced state in healthy subject and thus macrophage polarization may be crucial in determining the tissue fate. The two distinct populations, classically M1 and alternatively M2 activated, representing the opposing ends of the full activation spectrum, have been extensively studied for their associations with several disease progressions. Accumulating evidences have postulated that the redox signalling has implication in macrophage polarization and the key roles of M1 and M2 macrophages in tissue environment have provided the clue for the reasons of ROS abundance in certain phenotype. M1 macrophages majorly clearing the pathogens and ROS may be crucial for the regulation of M1 phenotype, whereas M2 macrophages resolve inflammation which favours oxidative metabolism. Therefore how ROS play its role in maintaining the homeostatic functions of macrophage and in particular macrophage polarization will be reviewed here. We also review the biology of macrophage polarization and the disturbance of M1/M2 balance in human diseases. The potential therapeutic opportunities targeting ROS will also be discussed, hoping to provide insights for development of target-specific delivery system or immunomodulatory antioxidant for the treatment of ROS-related diseases.","URL":"https://www.hindawi.com/journals/omcl/2016/2795090/","note":"DOI: 10.1155/2016/2795090","shortTitle":"The Reactive Oxygen Species in Macrophage Polarization","language":"en","author":[{"family":"Tan","given":"Hor-Yue"},{"family":"Wang","given":"Ning"},{"family":"Li","given":"Sha"},{"family":"Hong","given":"Ming"},{"family":"Wang","given":"Xuanbin"},{"family":"Feng","given":"Yibin"}],"issued":{"date-parts":[["2016"]]},"accessed":{"date-parts":[["2018",9,21]]}}},{"id":1264,"uris":["http://zotero.org/users/952979/items/JWJVTBH8"],"uri":["http://zotero.org/users/952979/items/JWJVTBH8"],"itemData":{"id":1264,"type":"article-journal","title":"Contrasting phagosome pH regulation and maturation in human M1 and M2 macrophages","container-title":"Molecular Biology of the Cell","page":"3330-3341","volume":"25","issue":"21","source":"PubMed","abstract":"Macrophages respond to changes in environmental stimuli by assuming distinct functional phenotypes, a phenomenon referred to as macrophage polarization. We generated classically (M1) and alternatively (M2) polarized macrophages--two extremes of the polarization spectrum--to compare the properties of their phagosomes. Specifically, we analyzed the regulation of the luminal pH after particle engulfment. The phagosomes of M1 macrophages had a similar buffering power and proton (equivalent) leakage permeability but significantly reduced proton-pumping activity compared with M2 phagosomes. As a result, only the latter underwent a rapid and profound acidification. By contrast, M1 phagosomes displayed alkaline pH oscillations, which were caused by proton consumption upon dismutation of superoxide, followed by activation of a voltage- and Zn(2+)-sensitive permeation pathway, likely HV1 channels. The paucity of V-ATPases in M1 phagosomes was associated with, and likely caused by, delayed fusion with late endosomes and lysosomes. The delayed kinetics of maturation was, in turn, promoted by the failure of M1 phagosomes to acidify. Thus, in M1 cells, elimination of pathogens through deployment of the microbicidal NADPH oxidase is given priority at the expense of delayed acidification. By contrast, M2 phagosomes proceed to acidify immediately in order to clear apoptotic bodies rapidly and effectively.","DOI":"10.1091/mbc.E14-05-0967","ISSN":"1939-4586","note":"PMID: 25165138\nPMCID: PMC4214780","journalAbbreviation":"Mol. Biol. Cell","language":"eng","author":[{"family":"Canton","given":"Johnathan"},{"family":"Khezri","given":"Rojyar"},{"family":"Glogauer","given":"Michael"},{"family":"Grinstein","given":"Sergio"}],"issued":{"date-parts":[["2014",11,1]]}}}],"schema":"https://github.com/citation-style-language/schema/raw/master/csl-citation.json"} </w:instrText>
      </w:r>
      <w:r>
        <w:fldChar w:fldCharType="separate"/>
      </w:r>
      <w:r w:rsidR="004A1963" w:rsidRPr="004A1963">
        <w:rPr>
          <w:rFonts w:ascii="Calibri" w:hAnsi="Calibri"/>
        </w:rPr>
        <w:t>(27,34,345,346)</w:t>
      </w:r>
      <w:r>
        <w:fldChar w:fldCharType="end"/>
      </w:r>
      <w:r>
        <w:t xml:space="preserve">. For example, M1 macrophages produce high levels of ROS that are used during the respiratory burst to kill pathogens, whilst macrophages performing homeostatic roles display lower levels of ROS </w:t>
      </w:r>
      <w:r>
        <w:fldChar w:fldCharType="begin"/>
      </w:r>
      <w:r w:rsidR="000A209C">
        <w:instrText xml:space="preserve"> ADDIN ZOTERO_ITEM CSL_CITATION {"citationID":"X75oSYYB","properties":{"formattedCitation":"(345,347)","plainCitation":"(345,347)","noteIndex":0},"citationItems":[{"id":1638,"uris":["http://zotero.org/users/952979/items/4ZYSUHSG"],"uri":["http://zotero.org/users/952979/items/4ZYSUHSG"],"itemData":{"id":1638,"type":"webpage","title":"The Reactive Oxygen Species in Macrophage Polarization: Reflecting Its Dual Role in Progression and Treatment of Human Diseases","container-title":"Oxidative Medicine and Cellular Longevity","genre":"Research article","abstract":"High heterogeneity of macrophage is associated with its functions in polarization to different functional phenotypes depending on environmental cues. Macrophages remain in balanced state in healthy subject and thus macrophage polarization may be crucial in determining the tissue fate. The two distinct populations, classically M1 and alternatively M2 activated, representing the opposing ends of the full activation spectrum, have been extensively studied for their associations with several disease progressions. Accumulating evidences have postulated that the redox signalling has implication in macrophage polarization and the key roles of M1 and M2 macrophages in tissue environment have provided the clue for the reasons of ROS abundance in certain phenotype. M1 macrophages majorly clearing the pathogens and ROS may be crucial for the regulation of M1 phenotype, whereas M2 macrophages resolve inflammation which favours oxidative metabolism. Therefore how ROS play its role in maintaining the homeostatic functions of macrophage and in particular macrophage polarization will be reviewed here. We also review the biology of macrophage polarization and the disturbance of M1/M2 balance in human diseases. The potential therapeutic opportunities targeting ROS will also be discussed, hoping to provide insights for development of target-specific delivery system or immunomodulatory antioxidant for the treatment of ROS-related diseases.","URL":"https://www.hindawi.com/journals/omcl/2016/2795090/","note":"DOI: 10.1155/2016/2795090","shortTitle":"The Reactive Oxygen Species in Macrophage Polarization","language":"en","author":[{"family":"Tan","given":"Hor-Yue"},{"family":"Wang","given":"Ning"},{"family":"Li","given":"Sha"},{"family":"Hong","given":"Ming"},{"family":"Wang","given":"Xuanbin"},{"family":"Feng","given":"Yibin"}],"issued":{"date-parts":[["2016"]]},"accessed":{"date-parts":[["2018",9,21]]}}},{"id":1485,"uris":["http://zotero.org/users/952979/items/J7A3QJSD"],"uri":["http://zotero.org/users/952979/items/J7A3QJSD"],"itemData":{"id":1485,"type":"article-journal","title":"Dynamics of macrophage polarization reveal new mechanism to inhibit IL-1β release through pyrophosphates","container-title":"The EMBO Journal","page":"2114-2127","volume":"28","issue":"14","source":"PubMed Central","abstract":"In acute inflammation, extracellular ATP activates P2X7 ion channel receptors (P2X7R) on M1 polarized macrophages to release pro-inflammatory IL-1β through activation of the caspase-1/nucleotide-binding domain and leucine-rich repeat receptor containing pyrin domain 3 (NLRP3) inflammasome. In contrast, M2 polarized macrophages are critical to the resolution of inflammation but neither actions of P2X7R on these macrophages nor mechanisms by which macrophages switch from pro-inflammatory to anti-inflammatory phenotypes are known. Here, we investigated extracellular ATP signalling over a dynamic macrophage polarity gradient from M1 through M2 phenotypes. In macrophages polarized towards, but not at, M2 phenotype, in which intracellular IL-1β remains high and the inflammasome is intact, P2X7R activation selectively uncouples to the NLRP3-inflammasome activation but not to upstream ion channel activation. In these intermediate M1/M2 polarized macrophages, extracellular ATP now acts through its pyrophosphate chains, independently of other purine receptors, to inhibit IL-1β release by other stimuli through two independent mechanisms: inhibition of ROS production and trapping of the inflammasome complex through intracellular clustering of actin filaments.","DOI":"10.1038/emboj.2009.163","ISSN":"0261-4189","note":"PMID: 19536133\nPMCID: PMC2699392","journalAbbreviation":"EMBO J","author":[{"family":"Pelegrin","given":"Pablo"},{"family":"Surprenant","given":"Annmarie"}],"issued":{"date-parts":[["2009",7,22]]}}}],"schema":"https://github.com/citation-style-language/schema/raw/master/csl-citation.json"} </w:instrText>
      </w:r>
      <w:r>
        <w:fldChar w:fldCharType="separate"/>
      </w:r>
      <w:r w:rsidR="004A1963" w:rsidRPr="004A1963">
        <w:rPr>
          <w:rFonts w:ascii="Calibri" w:hAnsi="Calibri"/>
        </w:rPr>
        <w:t>(345,347)</w:t>
      </w:r>
      <w:r>
        <w:fldChar w:fldCharType="end"/>
      </w:r>
      <w:r>
        <w:t xml:space="preserve">. To investigate if our subpopulations demonstrate different levels of ROS, we stained for ROS using Dihydrorhodamine 123 (DHR123), a broad ROS dye. We found that hemocytes stain positively for DHR123 (Fig 3.9 A), demonstrating that higher levels of ROS are found within these cells. There were no significant differences between the control and any of the enhancer-labelled subpopulations (One-way ANOVA with Dunnett’s multiple comparisons test, VT32897 = 0.9176, VT57089 = 0.8573, VT17559 = 0.199, VT62766 = 0.9803, n = 22, 28, 29, 31 and 28 embryos for control, VT32897, VT57089, VT17559 and VT62766, respectively; Fig 3.9 B). </w:t>
      </w:r>
      <w:r w:rsidR="001B3794" w:rsidRPr="001B3794">
        <w:t>Unfortunately, VT40039 was not included in this assay due to technical difficulties of obtaining sufficient replicates for thorough analysis</w:t>
      </w:r>
      <w:r w:rsidR="001B3794">
        <w:t xml:space="preserve">. </w:t>
      </w:r>
      <w:r>
        <w:t>This shows that embryonic hemocytes have higher levels of ROS than other cells but that there is no obvious variation of ROS production between the subpopulations examined.</w:t>
      </w:r>
    </w:p>
    <w:p w14:paraId="4AD39A09" w14:textId="77777777" w:rsidR="004B5501" w:rsidRDefault="004B5501" w:rsidP="004B5501">
      <w:pPr>
        <w:pStyle w:val="Thesisnormal"/>
      </w:pPr>
    </w:p>
    <w:p w14:paraId="32C935D2" w14:textId="77777777" w:rsidR="004B5501" w:rsidRDefault="004B5501" w:rsidP="004B5501">
      <w:pPr>
        <w:pStyle w:val="Thesisnormal"/>
      </w:pPr>
    </w:p>
    <w:p w14:paraId="6C227800" w14:textId="77777777" w:rsidR="004B5501" w:rsidRDefault="004B5501" w:rsidP="004B5501">
      <w:pPr>
        <w:pStyle w:val="Thesisnormal"/>
      </w:pPr>
    </w:p>
    <w:p w14:paraId="0162997B" w14:textId="77777777" w:rsidR="004B5501" w:rsidRDefault="004B5501" w:rsidP="004B5501">
      <w:pPr>
        <w:pStyle w:val="Thesisnormal"/>
      </w:pPr>
    </w:p>
    <w:p w14:paraId="3EA6B25D" w14:textId="77777777" w:rsidR="004B5501" w:rsidRDefault="004B5501" w:rsidP="004B5501">
      <w:pPr>
        <w:pStyle w:val="Thesisnormal"/>
      </w:pPr>
    </w:p>
    <w:p w14:paraId="1C1579D9" w14:textId="77777777" w:rsidR="004B5501" w:rsidRDefault="004B5501" w:rsidP="004B5501">
      <w:pPr>
        <w:pStyle w:val="Thesisnormal"/>
      </w:pPr>
    </w:p>
    <w:p w14:paraId="7EF03386" w14:textId="77777777" w:rsidR="004B5501" w:rsidRDefault="004B5501" w:rsidP="004B5501">
      <w:pPr>
        <w:pStyle w:val="Thesisnormal"/>
      </w:pPr>
      <w:r>
        <w:rPr>
          <w:noProof/>
          <w:lang w:eastAsia="en-GB"/>
        </w:rPr>
        <w:lastRenderedPageBreak/>
        <w:drawing>
          <wp:inline distT="0" distB="0" distL="0" distR="0" wp14:anchorId="527D0350" wp14:editId="20F4FC24">
            <wp:extent cx="5324475" cy="8733032"/>
            <wp:effectExtent l="0" t="0" r="0" b="0"/>
            <wp:docPr id="70" name="Picture 70" descr="D:\Dropbox\PhD\Writing\Thesis\Chapter 3 Identification of hemocyte subpopulations\Figures\ROS fig\ROS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3 Identification of hemocyte subpopulations\Figures\ROS fig\ROS figure.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4490" b="1260"/>
                    <a:stretch/>
                  </pic:blipFill>
                  <pic:spPr bwMode="auto">
                    <a:xfrm>
                      <a:off x="0" y="0"/>
                      <a:ext cx="5336023" cy="8751973"/>
                    </a:xfrm>
                    <a:prstGeom prst="rect">
                      <a:avLst/>
                    </a:prstGeom>
                    <a:noFill/>
                    <a:ln>
                      <a:noFill/>
                    </a:ln>
                    <a:extLst>
                      <a:ext uri="{53640926-AAD7-44D8-BBD7-CCE9431645EC}">
                        <a14:shadowObscured xmlns:a14="http://schemas.microsoft.com/office/drawing/2010/main"/>
                      </a:ext>
                    </a:extLst>
                  </pic:spPr>
                </pic:pic>
              </a:graphicData>
            </a:graphic>
          </wp:inline>
        </w:drawing>
      </w:r>
    </w:p>
    <w:p w14:paraId="5FF596A3" w14:textId="77777777" w:rsidR="004B5501" w:rsidRDefault="004B5501" w:rsidP="004B5501">
      <w:pPr>
        <w:pStyle w:val="NoSpacing"/>
        <w:rPr>
          <w:b/>
        </w:rPr>
      </w:pPr>
      <w:r>
        <w:rPr>
          <w:b/>
        </w:rPr>
        <w:lastRenderedPageBreak/>
        <w:t>Figure 3.9.</w:t>
      </w:r>
      <w:r w:rsidRPr="0087091F">
        <w:rPr>
          <w:b/>
        </w:rPr>
        <w:t xml:space="preserve"> </w:t>
      </w:r>
      <w:r>
        <w:rPr>
          <w:b/>
        </w:rPr>
        <w:t>Hemocyte subpopulations stain positively for Reactive Oxygen Species.</w:t>
      </w:r>
    </w:p>
    <w:p w14:paraId="6BA0C7E6" w14:textId="77777777" w:rsidR="004B5501" w:rsidRDefault="004B5501" w:rsidP="004B5501">
      <w:pPr>
        <w:pStyle w:val="NoSpacing"/>
      </w:pPr>
      <w:r w:rsidRPr="00FD4E43">
        <w:t>(A</w:t>
      </w:r>
      <w:r>
        <w:t>) Representative stills of enhancer positive cells (magenta) stained with Dihydrorhodamine 123 (DHR123; green) to label ROS (</w:t>
      </w:r>
      <w:r>
        <w:rPr>
          <w:i/>
        </w:rPr>
        <w:t>w;UAS-tdTomato/SrpGMA;VT-GAL4/ SrpGMA</w:t>
      </w:r>
      <w:r>
        <w:t>).</w:t>
      </w:r>
      <w:r w:rsidRPr="00650CC8">
        <w:t xml:space="preserve"> </w:t>
      </w:r>
      <w:r>
        <w:t>Scale bar represents 20µm. (B) Scatterplot of embryo average staining intensity of DHR123 within individual hemocyte bodies. One-way ANOVA with Dunnett’s multiple comparisons test, VT32897 = 0.6837, VT57089 = &gt; 0.999, VT17559 = 0.9998, VT62766 = 0.5333, n = 12, 11, 14, 11 and 14 embryos for control, VT32897, VT57089, VT17559 and VT62766, respectively.</w:t>
      </w:r>
    </w:p>
    <w:p w14:paraId="1221B6D9" w14:textId="77777777" w:rsidR="004B5501" w:rsidRDefault="004B5501" w:rsidP="004B5501">
      <w:pPr>
        <w:pStyle w:val="Thesisnormal"/>
      </w:pPr>
    </w:p>
    <w:p w14:paraId="327052B6" w14:textId="77777777" w:rsidR="004B5501" w:rsidRDefault="004B5501" w:rsidP="004B5501">
      <w:pPr>
        <w:pStyle w:val="Thesisnormal"/>
      </w:pPr>
    </w:p>
    <w:p w14:paraId="1A21EC95" w14:textId="38628694" w:rsidR="004B5501" w:rsidRDefault="004B5501" w:rsidP="004B5501">
      <w:pPr>
        <w:pStyle w:val="Heading3"/>
        <w:spacing w:line="360" w:lineRule="auto"/>
      </w:pPr>
      <w:bookmarkStart w:id="149" w:name="_Toc4589323"/>
      <w:r>
        <w:t>3.2.</w:t>
      </w:r>
      <w:r w:rsidR="0054108A">
        <w:t>7</w:t>
      </w:r>
      <w:r>
        <w:t xml:space="preserve"> A number of enhancer lines label faster moving hemocyte subpopulations</w:t>
      </w:r>
      <w:bookmarkEnd w:id="149"/>
    </w:p>
    <w:p w14:paraId="227DC927" w14:textId="77777777" w:rsidR="004B5501" w:rsidRPr="00C1456C" w:rsidRDefault="004B5501" w:rsidP="004B5501"/>
    <w:p w14:paraId="4E9A9969" w14:textId="1EF801C2" w:rsidR="004B5501" w:rsidRDefault="004B5501" w:rsidP="004B5501">
      <w:pPr>
        <w:pStyle w:val="Thesisnormal"/>
      </w:pPr>
      <w:r>
        <w:t xml:space="preserve">Hemocytes are highly migratory, responding to developmental cues </w:t>
      </w:r>
      <w:r>
        <w:fldChar w:fldCharType="begin"/>
      </w:r>
      <w:r w:rsidR="000A209C">
        <w:instrText xml:space="preserve"> ADDIN ZOTERO_ITEM CSL_CITATION {"citationID":"DLrY7IpG","properties":{"formattedCitation":"(215,217)","plainCitation":"(215,217)","noteIndex":0},"citationItems":[{"id":11,"uris":["http://zotero.org/users/952979/items/LXICE38G"],"uri":["http://zotero.org/users/952979/items/LXICE38G"],"itemData":{"id":11,"type":"article-journal","title":"The Drosophila VEGF receptor homolog is expressed in hemocytes","container-title":"Mechanisms of Development","page":"69-77","volume":"109","issue":"1","source":"PubMed","abstract":"Several signalling pathways have been defined by studies of genes originally characterised in Drosophila. However, some mammalian signalling systems have so far escaped discovery in the fly. Here, we describe the identification and characterisation of fly homologs for the mammalian vascular endothelial growth factor/platelet derived growth factor (VEGF/PDGF) and the VEGF receptor. The Drosophila factor (DmVEGF-1) gene has two splice variants and is expressed during all stages, the signal distribution during embryogenesis being ubiquitous. The receptor (DmVEGFR) gene has several splice variants; the variations affecting only the extracellular domain. The most prominent form is expressed in cells of the embryonic haematopoietic cell lineage, starting in the mesodermal area of the head around stage 10 of embryogenesis. Expression persists in hemocytes as embryonic development proceeds and the cells migrate posteriorly. In a fly strain carrying a deletion uncovering the DmVEGFR gene, hemocytes are still present, but their migration is hampered and the hemocytes remain mainly in the anterior end close to their origin. These data suggest that the VEGF/PDGF signalling system may regulate the migration of the Drosophila embryonic haemocyte precursor cells.","ISSN":"0925-4773","note":"PMID: 11677054","journalAbbreviation":"Mech. Dev.","language":"eng","author":[{"family":"Heino","given":"T. I."},{"family":"Kärpänen","given":"T."},{"family":"Wahlström","given":"G."},{"family":"Pulkkinen","given":"M."},{"family":"Eriksson","given":"U."},{"family":"Alitalo","given":"K."},{"family":"Roos","given":"C."}],"issued":{"date-parts":[["2001",11]]}}},{"id":13,"uris":["http://zotero.org/users/952979/items/CSRMK44H"],"uri":["http://zotero.org/users/952979/items/CSRMK44H"],"itemData":{"id":13,"type":"article-journal","title":"Developmental Control of Blood Cell Migration by the Drosophila VEGF Pathway","container-title":"Cell","page":"865-876","volume":"108","issue":"6","source":"www.cell.com","abstract":"&lt;h2&gt;Abstract&lt;/h2&gt;&lt;p&gt;We show that a vascular endothelial growth factor (VEGF) pathway controls embryonic migrations of blood cells (hemocytes) in &lt;i&gt;Drosophila&lt;/i&gt;. The VEGF receptor homolog is expressed in hemocytes, and three VEGF homologs are expressed along hemocyte migration routes. A receptor mutation arrests progression of blood cell movement. Mutations in &lt;i&gt;Vegf17E&lt;/i&gt; or &lt;i&gt;Vegf27Cb&lt;/i&gt; have no effect, but simultaneous inactivation of all three &lt;i&gt;Vegf&lt;/i&gt; genes phenocopied the receptor mutant, and ectopic expression of &lt;i&gt;Vegf27Cb&lt;/i&gt; redirected migration. Genetic experiments indicate that the VEGF pathway functions independently of pathways governing hemocyte homing on apoptotic cells. The results suggest that the &lt;i&gt;Drosophila&lt;/i&gt; VEGF pathway guides developmental migrations of blood cells, and we speculate that the ancestral function of VEGF pathways was to guide blood cell movement.&lt;/p&gt;","DOI":"10.1016/S0092-8674(02)00676-1","ISSN":"0092-8674, 1097-4172","note":"PMID: 11955438","journalAbbreviation":"Cell","language":"English","author":[{"family":"Cho","given":"Nam K."},{"family":"Keyes","given":"Linda"},{"family":"Johnson","given":"Eric"},{"family":"Heller","given":"Jonathan"},{"family":"Ryner","given":"Lisa"},{"family":"Karim","given":"Felix"},{"family":"Krasnow","given":"Mark A."}],"issued":{"date-parts":[["2002",3,22]]}}}],"schema":"https://github.com/citation-style-language/schema/raw/master/csl-citation.json"} </w:instrText>
      </w:r>
      <w:r>
        <w:fldChar w:fldCharType="separate"/>
      </w:r>
      <w:r w:rsidR="004A1963" w:rsidRPr="004A1963">
        <w:rPr>
          <w:rFonts w:ascii="Calibri" w:hAnsi="Calibri"/>
        </w:rPr>
        <w:t>(215,217)</w:t>
      </w:r>
      <w:r>
        <w:fldChar w:fldCharType="end"/>
      </w:r>
      <w:r>
        <w:t xml:space="preserve">, apoptotic cells </w:t>
      </w:r>
      <w:r>
        <w:fldChar w:fldCharType="begin"/>
      </w:r>
      <w:r w:rsidR="000A209C">
        <w:instrText xml:space="preserve"> ADDIN ZOTERO_ITEM CSL_CITATION {"citationID":"IVaz3ubo","properties":{"formattedCitation":"(224)","plainCitation":"(224)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schema":"https://github.com/citation-style-language/schema/raw/master/csl-citation.json"} </w:instrText>
      </w:r>
      <w:r>
        <w:fldChar w:fldCharType="separate"/>
      </w:r>
      <w:r w:rsidR="004A1963" w:rsidRPr="004A1963">
        <w:rPr>
          <w:rFonts w:ascii="Calibri" w:hAnsi="Calibri"/>
        </w:rPr>
        <w:t>(224)</w:t>
      </w:r>
      <w:r>
        <w:fldChar w:fldCharType="end"/>
      </w:r>
      <w:r>
        <w:t xml:space="preserve"> and tissue damage </w:t>
      </w:r>
      <w:r>
        <w:fldChar w:fldCharType="begin"/>
      </w:r>
      <w:r w:rsidR="000A209C">
        <w:instrText xml:space="preserve"> ADDIN ZOTERO_ITEM CSL_CITATION {"citationID":"EfcGnyQ5","properties":{"formattedCitation":"(151,172\\uc0\\u8211{}174,236,248)","plainCitation":"(151,172–174,236,248)","noteIndex":0},"citationItems":[{"id":1408,"uris":["http://zotero.org/users/952979/items/8V5NZCDI"],"uri":["http://zotero.org/users/952979/items/8V5NZCDI"],"itemData":{"id":1408,"type":"article-journal","title":"Live imaging of wound inflammation in Drosophila embryos reveals key roles for small GTPases during in vivo cell migration","container-title":"The Journal of Cell Biology","page":"567-573","volume":"168","issue":"4","source":"PubMed","abstract":"Aa robust inflammatory response to tissue damage and infection is conserved across almost all animal phyla. Neutrophils and macrophages, or their equivalents, are drawn to the wound site where they engulf cell and matrix debris and release signals that direct components of the repair process. This orchestrated cell migration is clinically important, and yet, to date, leukocyte chemotaxis has largely been studied in vitro. Here, we describe a genetically tractable in vivo wound model of inflammation in the Drosophila melanogaster embryo that is amenable to cinemicroscopy. For the first time, we are able to examine the roles of Rho-family small GTPases during inflammation in vivo and show that Rac-mediated lamellae are essential for hemocyte motility and Rho signaling is necessary for cells to retract from sites of matrix- and cell-cell contacts. Cdc42 is necessary for maintaining cellular polarity and yet, despite in vitro evidence, is dispensable for sensing and crawling toward wound cues.","DOI":"10.1083/jcb.200405120","ISSN":"0021-9525","note":"PMID: 15699212\nPMCID: PMC2171743","journalAbbreviation":"J. Cell Biol.","language":"eng","author":[{"family":"Stramer","given":"Brian"},{"family":"Wood","given":"Will"},{"family":"Galko","given":"Michael J."},{"family":"Redd","given":"Michael J."},{"family":"Jacinto","given":"Antonio"},{"family":"Parkhurst","given":"Susan M."},{"family":"Martin","given":"Paul"}],"issued":{"date-parts":[["2005",2,14]]}}},{"id":1346,"uris":["http://zotero.org/users/952979/items/6679XUHE"],"uri":["http://zotero.org/users/952979/items/6679XUHE"],"itemData":{"id":1346,"type":"article-journal","title":"Circulating blood cells function as a surveillance system for damaged tissue in Drosophila larvae","container-title":"Proceedings of the National Academy of Sciences of the United States of America","page":"10017-10022","volume":"105","issue":"29","source":"PubMed","abstract":"Insects have an open circulatory system in which the heart pumps blood (hemolymph) into the body cavity, where it directly bathes the internal organs and epidermis. The blood contains free and tissue-bound immune cells that function in the inflammatory response. Here, we use live imaging of transgenic Drosophila larvae with fluorescently labeled blood cells (hemocytes) to investigate the circulatory dynamics of larval blood cells and their response to tissue injury. We find that, under normal conditions, the free cells rapidly circulate, whereas the tissue-bound cells are sessile. After epidermal wounding, tissue-bound cells around the wound site remain sessile and unresponsive, whereas circulating cells are rapidly recruited to the site of damage by adhesive capture. After capture, these cells distribute across the wound, appear phagocytically active, and are subsequently released back into circulation by the healing epidermis. The results demonstrate that circulating cells function as a surveillance system that monitors larval tissues for damage, and that adhesive capture, an important mechanism of recruitment of circulating cells to inflammatory sites in vertebrates, is shared by insects and vertebrates despite the vastly different architectures of their circulatory systems.","DOI":"10.1073/pnas.0709951105","ISSN":"1091-6490","note":"PMID: 18632567\nPMCID: PMC2474562","journalAbbreviation":"Proc. Natl. Acad. Sci. U.S.A.","language":"eng","author":[{"family":"Babcock","given":"Daniel T."},{"family":"Brock","given":"Amanda R."},{"family":"Fish","given":"Greg S."},{"family":"Wang","given":"Yan"},{"family":"Perrin","given":"Laurent"},{"family":"Krasnow","given":"Mark A."},{"family":"Galko","given":"Michael J."}],"issued":{"date-parts":[["2008",7,22]]}}},{"id":1266,"uris":["http://zotero.org/users/952979/items/ER3KD4XA"],"uri":["http://zotero.org/users/952979/items/ER3KD4XA"],"itemData":{"id":1266,"type":"article-journal","title":"Drosophila as a model to study the role of blood cells in inflammation, innate immunity and cancer","container-title":"Frontiers in Cellular and Infection Microbiology","volume":"3","source":"PubMed Central","abstract":"Drosophila has a primitive yet effective blood system with three types of haemocytes which function throughout different developmental stages and environmental stimuli. Haemocytes play essential roles in tissue modeling during embryogenesis and morphogenesis, and also in innate immunity. The open circulatory system of Drosophila makes haemocytes ideal signal mediators to cells and tissues in response to events such as infection and wounding. The application of recently developed and sophisticated genetic tools to the relatively simple genome of Drosophila has made the fly a popular system for modeling human tumorigensis and metastasis. Drosophila is now used for screening and investigation of genes implicated in human leukemia and also in modeling development of solid tumors. This second line of research offers promising opportunities to determine the seemingly conflicting roles of blood cells in tumor progression and invasion. This review provides an overview of the signaling pathways conserved in Drosophila during haematopoiesis, haemostasis, innate immunity, wound healing and inflammation. We also review the most recent progress in the use of Drosophila as a cancer research model with an emphasis on the roles haemocytes can play in various cancer models and in the links between inflammation and cancer.","URL":"http://www.ncbi.nlm.nih.gov/pmc/articles/PMC3885817/","DOI":"10.3389/fcimb.2013.00113","ISSN":"2235-2988","note":"PMID: 24409421\nPMCID: PMC3885817","journalAbbreviation":"Front Cell Infect Microbiol","author":[{"family":"Wang","given":"Lihui"},{"family":"Kounatidis","given":"Ilias"},{"family":"Ligoxygakis","given":"Petros"}],"issued":{"date-parts":[["2014",1,9]]},"accessed":{"date-parts":[["2016",2,27]]}}},{"id":1521,"uris":["http://zotero.org/users/952979/items/BAZM654F"],"uri":["http://zotero.org/users/952979/items/BAZM654F"],"itemData":{"id":1521,"type":"article-journal","title":"Damage signals in the insect immune response","container-title":"Frontiers in Plant Science","page":"342","volume":"5","source":"PubMed","abstract":"Insects and mammals share an ancient innate immune system comprising both humoral and cellular responses. The insect immune system consists of the fat body, which secretes effector molecules into the hemolymph and several classes of hemocytes, which reside in the hemolymph and of protective border epithelia. Key features of wound- and immune responses are shared between insect and mammalian immune systems including the mode of activation by commonly shared microbial (non-self) patterns and the recognition of these patterns by dedicated receptors. It is unclear how metazoan parasites in insects, which lack these shared motifs, are recognized. Research in recent years has demonstrated that during entry into the insect host, many eukaryotic pathogens leave traces that alert potential hosts of the damage they have aﬄicted. In accordance with terminology used in the mammalian immune systems, these signals have been dubbed danger- or damage-associated signals. Damage signals are necessary byproducts generated during entering hosts either by mechanical or proteolytic damage. Here, we briefly review the current stage of knowledge on how wound closure and wound healing during mechanical damage is regulated and how damage-related signals contribute to these processes. We also discuss how sensors of proteolytic activity induce insect innate immune responses. Strikingly damage-associated signals are also released from cells that have aberrant growth, including tumor cells. These signals may induce apoptosis in the damaged cells, the recruitment of immune cells to the aberrant tissue and even activate humoral responses. Thus, this ensures the removal of aberrant cells and compensatory proliferation to replace lost tissue. Several of these pathways may have been co-opted from wound healing and developmental processes.","DOI":"10.3389/fpls.2014.00342","ISSN":"1664-462X","note":"PMID: 25071815\nPMCID: PMC4093659","journalAbbreviation":"Front Plant Sci","language":"eng","author":[{"family":"Krautz","given":"Robert"},{"family":"Arefin","given":"Badrul"},{"family":"Theopold","given":"Ulrich"}],"issued":{"date-parts":[["2014"]]}}},{"id":1230,"uris":["http://zotero.org/users/952979/items/9G59Q34B"],"uri":["http://zotero.org/users/952979/items/9G59Q34B"],"itemData":{"id":1230,"type":"article-journal","title":"The early wound signals","container-title":"Current Opinion in Genetics &amp; Development","collection-title":"Cell reprogramming, regeneration and repair","page":"17-22","volume":"40","source":"ScienceDirect","abstract":"Wounding of tissue barriers, such as epithelia, disrupts homeostasis and allows infection. Within minutes, animals detect injury and respond to it by recruitment of phagocytes and barrier breach closure. The signals that activate these first events are scarcely known. Commonly considered are cytoplasmic factors released into the extracellular space by lysing cells (Damage Associated Molecular Patterns, DAMPs). DAMPs activate inflammatory gene transcription through pattern recognition receptors. But the promptness of wound responses is difficult to explain by transcriptional mechanisms alone. This review highlights the emerging role of nonlytic stress signals in the rapid detection of wounds.","DOI":"10.1016/j.gde.2016.05.001","ISSN":"0959-437X","journalAbbreviation":"Current Opinion in Genetics &amp; Development","author":[{"family":"Niethammer","given":"Philipp"}],"issued":{"date-parts":[["2016",10]]}}},{"id":1409,"uris":["http://zotero.org/users/952979/items/JKNFWUUD"],"uri":["http://zotero.org/users/952979/items/JKNFWUUD"],"itemData":{"id":1409,"type":"article-journal","title":"Swatting flies: modelling wound healing and inflammation in Drosophila","container-title":"Disease Models &amp; Mechanisms","page":"569-574","volume":"4","issue":"5","source":"PubMed","abstract":"Aberrant wound healing can lead to a variety of human pathologies, from non-healing chronic wounds that can become dangerously infected, to exuberant fibrotic healing in which repair is accompanied by excessive inflammation. To guide therapeutic intervention, we need a better understanding of the fundamental mechanisms driving tissue repair; this will require complementary wound-healing studies in several model organisms. Drosophila has been used to model genetic aspects of numerous human pathologies, and is being used increasingly to gain insight into the molecular and genetic aspects of tissue repair and inflammation, which have classically been modelled in mice or cultured cells. This review discusses the advantages and disadvantages of Drosophila as a wound-healing model, as well as some exciting new research opportunities that will be enabled by its use.","DOI":"10.1242/dmm.006825","ISSN":"1754-8411","note":"PMID: 21810906\nPMCID: PMC3180219","shortTitle":"Swatting flies","journalAbbreviation":"Dis Model Mech","language":"eng","author":[{"family":"Razzell","given":"William"},{"family":"Wood","given":"Will"},{"family":"Martin","given":"Paul"}],"issued":{"date-parts":[["2011",9]]}}}],"schema":"https://github.com/citation-style-language/schema/raw/master/csl-citation.json"} </w:instrText>
      </w:r>
      <w:r>
        <w:fldChar w:fldCharType="separate"/>
      </w:r>
      <w:r w:rsidR="004A1963" w:rsidRPr="004A1963">
        <w:rPr>
          <w:rFonts w:ascii="Calibri" w:hAnsi="Calibri" w:cs="Times New Roman"/>
        </w:rPr>
        <w:t>(151,172–174,236,248)</w:t>
      </w:r>
      <w:r>
        <w:fldChar w:fldCharType="end"/>
      </w:r>
      <w:r>
        <w:t xml:space="preserve">, akin to mammalian macrophages. To assess macrophage motility we followed random migration of hemocytes on the ventral side of the embryo at stage 15 (using </w:t>
      </w:r>
      <w:r>
        <w:rPr>
          <w:i/>
        </w:rPr>
        <w:t>w;UAS-eGFP;VT-GAL4</w:t>
      </w:r>
      <w:r>
        <w:t>) (Fig 3.10). We identified that 3 enhancer lines that labelled subpopulations of hemocytes displaying significantly faster random migratory speeds (VT17559, VT62766 and VT40039), although only VT17559 and VT40039 remain significant with the embryo average velocities (One-way ANOVA with Dunnett’s multiple comparisons test, **P &lt; 0.01, VT32897 = 0.9997, VT57089 = 0.8209, VT62766 = 0.2259, n=21, 17, 21, 20 and 19 embryos for control, VT32897, VT57089, VT17559, VT62766 and VT40039 respectively). However, none of the enhancer lines demonstrated different directionality compared to control, suggesting that the subpopulation migration is indeed random, rather than directed towards any particular stimuli (One-way ANOVA with Dunnett’s multiple comparisons test,</w:t>
      </w:r>
      <w:r w:rsidRPr="000723C7">
        <w:t xml:space="preserve"> </w:t>
      </w:r>
      <w:r>
        <w:t xml:space="preserve">VT32897 = 0.2155, VT57089 = &gt; 0.4795, VT17559 = 0.9979, VT62766 = 0.9998, n=21, 17, 21, 20 and 19 embryos for control, VT32897, VT57089, VT17559 and VT62766 respectively). This shows that at least 2 enhancer lines robustly label hemocyte subpopulations which display increased random migratory speeds compared to the whole hemocyte population. Furthermore, this data suggests that the subpopulations are healthy cells that undertake normal hemocyte patrolling behaviours.  </w:t>
      </w:r>
    </w:p>
    <w:p w14:paraId="1BFC2C7C" w14:textId="77777777" w:rsidR="004B5501" w:rsidRDefault="004B5501" w:rsidP="004B5501">
      <w:pPr>
        <w:pStyle w:val="Thesisnormal"/>
      </w:pPr>
    </w:p>
    <w:p w14:paraId="344354A2" w14:textId="77777777" w:rsidR="004B5501" w:rsidRDefault="004B5501" w:rsidP="004B5501">
      <w:pPr>
        <w:pStyle w:val="Thesisnormal"/>
      </w:pPr>
    </w:p>
    <w:p w14:paraId="16129E8D" w14:textId="77777777" w:rsidR="004B5501" w:rsidRDefault="004B5501" w:rsidP="004B5501">
      <w:pPr>
        <w:pStyle w:val="Thesisnormal"/>
      </w:pPr>
    </w:p>
    <w:p w14:paraId="63593693" w14:textId="77777777" w:rsidR="004B5501" w:rsidRDefault="004B5501" w:rsidP="004B5501">
      <w:pPr>
        <w:pStyle w:val="Thesisnormal"/>
      </w:pPr>
    </w:p>
    <w:p w14:paraId="708F9DCF" w14:textId="77777777" w:rsidR="004B5501" w:rsidRDefault="004B5501" w:rsidP="004B5501">
      <w:pPr>
        <w:pStyle w:val="Thesisnormal"/>
      </w:pPr>
      <w:r>
        <w:rPr>
          <w:noProof/>
          <w:lang w:eastAsia="en-GB"/>
        </w:rPr>
        <w:lastRenderedPageBreak/>
        <w:drawing>
          <wp:inline distT="0" distB="0" distL="0" distR="0" wp14:anchorId="7179B004" wp14:editId="64627978">
            <wp:extent cx="5978021" cy="5924550"/>
            <wp:effectExtent l="0" t="0" r="3810" b="0"/>
            <wp:docPr id="71" name="Picture 71" descr="D:\Dropbox\PhD\Writing\Thesis\Chapter 3 Identification of hemocyte subpopulations\Figures\migration fig\Migration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3 Identification of hemocyte subpopulations\Figures\migration fig\Migration fig.t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0227"/>
                    <a:stretch/>
                  </pic:blipFill>
                  <pic:spPr bwMode="auto">
                    <a:xfrm>
                      <a:off x="0" y="0"/>
                      <a:ext cx="5982077" cy="5928570"/>
                    </a:xfrm>
                    <a:prstGeom prst="rect">
                      <a:avLst/>
                    </a:prstGeom>
                    <a:noFill/>
                    <a:ln>
                      <a:noFill/>
                    </a:ln>
                    <a:extLst>
                      <a:ext uri="{53640926-AAD7-44D8-BBD7-CCE9431645EC}">
                        <a14:shadowObscured xmlns:a14="http://schemas.microsoft.com/office/drawing/2010/main"/>
                      </a:ext>
                    </a:extLst>
                  </pic:spPr>
                </pic:pic>
              </a:graphicData>
            </a:graphic>
          </wp:inline>
        </w:drawing>
      </w:r>
    </w:p>
    <w:p w14:paraId="50A60A6E" w14:textId="77777777" w:rsidR="004B5501" w:rsidRPr="00F70EFF" w:rsidRDefault="004B5501" w:rsidP="004B5501">
      <w:pPr>
        <w:pStyle w:val="NoSpacing"/>
        <w:rPr>
          <w:b/>
        </w:rPr>
      </w:pPr>
      <w:r>
        <w:rPr>
          <w:b/>
        </w:rPr>
        <w:t>Figure 3.10</w:t>
      </w:r>
      <w:r w:rsidRPr="00F70EFF">
        <w:rPr>
          <w:b/>
        </w:rPr>
        <w:t>. Multiple enhancer lines label hemocyte subpopulations with increased random migratory speeds.</w:t>
      </w:r>
    </w:p>
    <w:p w14:paraId="0CEAFE19" w14:textId="77777777" w:rsidR="004B5501" w:rsidRDefault="004B5501" w:rsidP="004B5501">
      <w:pPr>
        <w:pStyle w:val="NoSpacing"/>
      </w:pPr>
      <w:r w:rsidRPr="00FD4E43">
        <w:t>(A</w:t>
      </w:r>
      <w:r>
        <w:t>) Representative stills from random migration movies of enhancer positive cells at 0 and 60 minutes. At 60 minutes, individual hemocytes tracks are shown (</w:t>
      </w:r>
      <w:r>
        <w:rPr>
          <w:i/>
        </w:rPr>
        <w:t>w;UAS-eGFP;VT-GAL4</w:t>
      </w:r>
      <w:r>
        <w:t>).</w:t>
      </w:r>
      <w:r w:rsidRPr="00650CC8">
        <w:t xml:space="preserve"> </w:t>
      </w:r>
      <w:r>
        <w:t>Scale bar represents 20µm. (B) Scatterplot of individual hemocyte velocity (μm/min) measured over 60 minutes. One-way ANOVA with Dunnett’s multiple comparisons test, ****P &lt; 0.001, n=996, 220, 417, 36 and 371 hemocytes for control, VT32897, VT57089, VT17559 and VT62766 respectively. (C) Scatterplot of embryo average hemocyte velocity (μm/min) measured over 60 minutes. One-way ANOVA with Dunnett’s multiple comparisons test, **P &lt; 0.01, VT32897 = 0.9997, VT57089 = 0.8209, VT62766 = 0.2259, n=21, 17, 21, 20 and 19 embryos for control, VT32897, VT57089, VT17559 and VT62766 respectively.</w:t>
      </w:r>
      <w:r w:rsidRPr="004E7E8C">
        <w:t xml:space="preserve"> </w:t>
      </w:r>
      <w:r>
        <w:t>(D) Scatterplot of individual hemocyte directionality measured over 60 minutes. One-way ANOVA with Dunnett’s multiple comparisons test, VT32897 = 0.1912, VT57089 = &gt; 0.3560, VT17559 = 0.9799, VT62766 = 0.2658, n=996, 220, 417, 36 and 371 hemocytes for control, VT32897, VT57089, VT17559 and VT62766 respectively.</w:t>
      </w:r>
      <w:r w:rsidRPr="000723C7">
        <w:t xml:space="preserve"> </w:t>
      </w:r>
      <w:r>
        <w:t xml:space="preserve">(E) </w:t>
      </w:r>
      <w:r>
        <w:lastRenderedPageBreak/>
        <w:t>Scatterplot of embryo average hemocyte directionality measured over 60 minutes. One-way ANOVA with Dunnett’s multiple comparisons test,</w:t>
      </w:r>
      <w:r w:rsidRPr="000723C7">
        <w:t xml:space="preserve"> </w:t>
      </w:r>
      <w:r>
        <w:t>VT32897 = 0.2155, VT57089 = 0.4795, VT17559 = 0.9979, VT62766 = 0.9998, n=21, 17, 21, 20 and 19 embryos for control, VT32897, VT57089, VT17559 and VT62766 respectively.</w:t>
      </w:r>
    </w:p>
    <w:p w14:paraId="2E22BA48" w14:textId="77777777" w:rsidR="004B5501" w:rsidRDefault="004B5501" w:rsidP="004B5501">
      <w:pPr>
        <w:pStyle w:val="Thesisnormal"/>
      </w:pPr>
    </w:p>
    <w:p w14:paraId="055134A7" w14:textId="77777777" w:rsidR="004B5501" w:rsidRDefault="004B5501" w:rsidP="004B5501">
      <w:pPr>
        <w:pStyle w:val="Thesisnormal"/>
      </w:pPr>
    </w:p>
    <w:p w14:paraId="175D8BA4" w14:textId="24A9DE92" w:rsidR="004B5501" w:rsidRDefault="004B5501" w:rsidP="004B5501">
      <w:pPr>
        <w:pStyle w:val="Heading3"/>
        <w:spacing w:line="360" w:lineRule="auto"/>
      </w:pPr>
      <w:bookmarkStart w:id="150" w:name="_Toc4589324"/>
      <w:r>
        <w:t>3.2.</w:t>
      </w:r>
      <w:r w:rsidR="0054108A">
        <w:t>8</w:t>
      </w:r>
      <w:r>
        <w:t xml:space="preserve"> Lightsheet imaging further confirms the existence of our subpopulations</w:t>
      </w:r>
      <w:bookmarkEnd w:id="150"/>
      <w:r>
        <w:t xml:space="preserve"> </w:t>
      </w:r>
    </w:p>
    <w:p w14:paraId="7AC2C30E" w14:textId="77777777" w:rsidR="004B5501" w:rsidRPr="00C1456C" w:rsidRDefault="004B5501" w:rsidP="004B5501"/>
    <w:p w14:paraId="1CC1DDEF" w14:textId="510FF235" w:rsidR="004B5501" w:rsidRPr="00424EF9" w:rsidRDefault="004B5501" w:rsidP="004B5501">
      <w:pPr>
        <w:pStyle w:val="Thesisnormal"/>
      </w:pPr>
      <w:r>
        <w:t xml:space="preserve">We have shown that VT enhancers are active in subpopulations of hemocytes and that these subpopulations display different random migration speeds. </w:t>
      </w:r>
      <w:r w:rsidRPr="00424EF9">
        <w:t xml:space="preserve">Tissue resident macrophages are unique to the tissue in which they reside, with different populations having distinct genetic expression profiles and functions </w:t>
      </w:r>
      <w:r w:rsidRPr="00424EF9">
        <w:fldChar w:fldCharType="begin"/>
      </w:r>
      <w:r w:rsidR="000A209C">
        <w:instrText xml:space="preserve"> ADDIN ZOTERO_ITEM CSL_CITATION {"citationID":"kYPP1VKG","properties":{"formattedCitation":"(107,108)","plainCitation":"(107,108)","noteIndex":0},"citationItems":[{"id":1877,"uris":["http://zotero.org/users/952979/items/W2LQ989H"],"uri":["http://zotero.org/users/952979/items/W2LQ989H"],"itemData":{"id":1877,"type":"article-journal","title":"The human heart contains distinct macrophage subsets with divergent origins and functions","container-title":"Nature Medicine","page":"1234","volume":"24","issue":"8","source":"www-nature-com.sheffield.idm.oclc.org","abstract":"Study of macrophage heterogeneity in human hearts reveals a subset of inflammatory macrophages that is associated with cardiac dysfunction in patients with heart failure.","DOI":"10.1038/s41591-018-0059-x","ISSN":"1546-170X","language":"En","author":[{"family":"Bajpai","given":"Geetika"},{"family":"Schneider","given":"Caralin"},{"family":"Wong","given":"Nicole"},{"family":"Bredemeyer","given":"Andrea"},{"family":"Hulsmans","given":"Maarten"},{"family":"Nahrendorf","given":"Matthias"},{"family":"Epelman","given":"Slava"},{"family":"Kreisel","given":"Daniel"},{"family":"Liu","given":"Yongjian"},{"family":"Itoh","given":"Akinobu"},{"family":"Shankar","given":"Thirupura S."},{"family":"Selzman","given":"Craig H."},{"family":"Drakos","given":"Stavros G."},{"family":"Lavine","given":"Kory J."}],"issued":{"date-parts":[["2018",8]]}}},{"id":22,"uris":["http://zotero.org/users/952979/items/ZKTDBMWD"],"uri":["http://zotero.org/users/952979/items/ZKTDBMWD"],"itemData":{"id":22,"type":"article-journal","title":"Differential roles of microglia and monocytes in the inflamed central nervous system","container-title":"Journal of Experimental Medicine","page":"1533-1549","volume":"211","issue":"8","source":"jem.rupress.org.sheffield.idm.oclc.org","abstract":"In the human disorder multiple sclerosis (MS) and in the model experimental autoimmune encephalomyelitis (EAE), macrophages predominate in demyelinated areas and their numbers correlate to tissue damage. Macrophages may be derived from infiltrating monocytes or resident microglia, yet are indistinguishable by light microscopy and surface phenotype. It is axiomatic that T cell–mediated macrophage activation is critical for inflammatory demyelination in EAE, yet the precise details by which tissue injury takes place remain poorly understood. In the present study, we addressed the cellular basis of autoimmune demyelination by discriminating microglial versus monocyte origins of effector macrophages. Using serial block-face scanning electron microscopy (SBF-SEM), we show that monocyte-derived macrophages associate with nodes of Ranvier and initiate demyelination, whereas microglia appear to clear debris. Gene expression profiles confirm that monocyte-derived macrophages are highly phagocytic and inflammatory, whereas those arising from microglia demonstrate an unexpected signature of globally suppressed cellular metabolism at disease onset. Distinguishing tissue-resident macrophages from infiltrating monocytes will point toward new strategies to treat disease and promote repair in diverse inflammatory pathologies in varied organs.","DOI":"10.1084/jem.20132477","ISSN":"0022-1007, 1540-9538","note":"PMID: 25002752","language":"en","author":[{"family":"Yamasaki","given":"Ryo"},{"family":"Lu","given":"Haiyan"},{"family":"Butovsky","given":"Oleg"},{"family":"Ohno","given":"Nobuhiko"},{"family":"Rietsch","given":"Anna M."},{"family":"Cialic","given":"Ron"},{"family":"Wu","given":"Pauline M."},{"family":"Doykan","given":"Camille E."},{"family":"Lin","given":"Jessica"},{"family":"Cotleur","given":"Anne C."},{"family":"Kidd","given":"Grahame"},{"family":"Zorlu","given":"Musab M."},{"family":"Sun","given":"Nathan"},{"family":"Hu","given":"Weiwei"},{"family":"Liu","given":"LiPing"},{"family":"Lee","given":"Jar-Chi"},{"family":"Taylor","given":"Sarah E."},{"family":"Uehlein","given":"Lindsey"},{"family":"Dixon","given":"Debra"},{"family":"Gu","given":"Jinyu"},{"family":"Floruta","given":"Crina M."},{"family":"Zhu","given":"Min"},{"family":"Charo","given":"Israel F."},{"family":"Weiner","given":"Howard L."},{"family":"Ransohoff","given":"Richard M."}],"issued":{"date-parts":[["2014",7,28]]}}}],"schema":"https://github.com/citation-style-language/schema/raw/master/csl-citation.json"} </w:instrText>
      </w:r>
      <w:r w:rsidRPr="00424EF9">
        <w:fldChar w:fldCharType="separate"/>
      </w:r>
      <w:r w:rsidR="004A1963" w:rsidRPr="004A1963">
        <w:rPr>
          <w:rFonts w:ascii="Calibri" w:hAnsi="Calibri"/>
        </w:rPr>
        <w:t>(107,108)</w:t>
      </w:r>
      <w:r w:rsidRPr="00424EF9">
        <w:fldChar w:fldCharType="end"/>
      </w:r>
      <w:r w:rsidRPr="00424EF9">
        <w:t>.</w:t>
      </w:r>
      <w:r>
        <w:t xml:space="preserve"> It is possible that our subpopulations are localised to distinct areas within the embryo and therefore are subjected to unique tissue microenvironments (for example, hemocytes that migrate dorsally must penetrate the germband </w:t>
      </w:r>
      <w:r>
        <w:fldChar w:fldCharType="begin"/>
      </w:r>
      <w:r w:rsidR="000A209C">
        <w:instrText xml:space="preserve"> ADDIN ZOTERO_ITEM CSL_CITATION {"citationID":"wDFeMUQB","properties":{"formattedCitation":"(221,223)","plainCitation":"(221,223)","noteIndex":0},"citationItems":[{"id":7,"uris":["http://zotero.org/users/952979/items/9FA499N8"],"uri":["http://zotero.org/users/952979/items/9FA499N8"],"itemData":{"id":7,"type":"article-journal","title":"Drosophila TNF Modulates Tissue Tension in the Embryo to Facilitate Macrophage Invasive Migration","container-title":"Developmental Cell","page":"331-346.e7","volume":"45","issue":"3","source":"PubMed","abstract":"Migrating cells penetrate tissue barriers during development, inflammatory responses, and tumor metastasis. We study if migration in vivo in such three-dimensionally confined environments requires changes in the mechanical properties of the surrounding cells using embryonic Drosophila melanogaster hemocytes, also called macrophages, as a model. We find that macrophage invasion into the germband through transient separation of the apposing ectoderm and mesoderm requires cell deformations and reductions in apical tension in the ectoderm. Interestingly, the genetic pathway governing these mechanical shifts acts downstream of the only known tumor necrosis factor superfamily member in Drosophila, Eiger, and its receptor, Grindelwald. Eiger-Grindelwald signaling reduces levels of active Myosin in the germband ectodermal cortex through the localization of a Crumbs complex component, Patj (Pals-1-associated tight junction protein). We therefore elucidate a distinct molecular pathway that controls tissue tension and demonstrate the importance of such regulation for invasive migration in vivo.","DOI":"10.1016/j.devcel.2018.04.002","ISSN":"1878-1551","note":"PMID: 29738712","journalAbbreviation":"Dev. Cell","language":"eng","author":[{"family":"Ratheesh","given":"Aparna"},{"family":"Biebl","given":"Julia"},{"family":"Vesela","given":"Jana"},{"family":"Smutny","given":"Michael"},{"family":"Papusheva","given":"Ekaterina"},{"family":"Krens","given":"S. F. Gabriel"},{"family":"Kaufmann","given":"Walter"},{"family":"Gyoergy","given":"Attila"},{"family":"Casano","given":"Alessandra Maria"},{"family":"Siekhaus","given":"Daria E."}],"issued":{"date-parts":[["2018"]],"season":"07"}}},{"id":1269,"uris":["http://zotero.org/users/952979/items/EE4A5MIV"],"uri":["http://zotero.org/users/952979/items/EE4A5MIV"],"itemData":{"id":1269,"type":"article-journal","title":"Drosophila immune cell migration and adhesion during embryonic development and larval immune responses","container-title":"Current Opinion in Cell Biology","collection-title":"Cell adhesion and migration","page":"71-79","volume":"36","source":"ScienceDirect","abstract":"The majority of immune cells in Drosophila melanogaster are plasmatocytes; they carry out similar functions to vertebrate macrophages, influencing development as well as protecting against infection and cancer. Plasmatocytes, sometimes referred to with the broader term of hemocytes, migrate widely during embryonic development and cycle in the larvae between sessile and circulating positions. Here we discuss the similarities of plasmatocyte developmental migration and its functions to that of vertebrate macrophages, considering the recent controversy regarding the functions of Drosophila PDGF/VEGF related ligands. We also examine recent findings on the significance of adhesion for plasmatocyte migration in the embryo, as well as proliferation, trans-differentiation, and tumor responses in the larva. We spotlight parallels throughout to vertebrate immune responses.","DOI":"10.1016/j.ceb.2015.07.003","ISSN":"0955-0674","journalAbbreviation":"Current Opinion in Cell Biology","author":[{"family":"Ratheesh","given":"Aparna"},{"family":"Belyaeva","given":"Vera"},{"family":"Siekhaus","given":"Daria E"}],"issued":{"date-parts":[["2015",10]]}}}],"schema":"https://github.com/citation-style-language/schema/raw/master/csl-citation.json"} </w:instrText>
      </w:r>
      <w:r>
        <w:fldChar w:fldCharType="separate"/>
      </w:r>
      <w:r w:rsidR="004A1963" w:rsidRPr="004A1963">
        <w:rPr>
          <w:rFonts w:ascii="Calibri" w:hAnsi="Calibri"/>
        </w:rPr>
        <w:t>(221,223)</w:t>
      </w:r>
      <w:r>
        <w:fldChar w:fldCharType="end"/>
      </w:r>
      <w:r>
        <w:t xml:space="preserve">). In order to </w:t>
      </w:r>
      <w:r w:rsidRPr="00424EF9">
        <w:t>observe the distribution of hemocyte subpopulations throughout the entire embryo,</w:t>
      </w:r>
      <w:r>
        <w:t xml:space="preserve"> </w:t>
      </w:r>
      <w:r w:rsidRPr="00424EF9">
        <w:t>we utilised lightsheet microscopy to observe the whole embryo in 3D</w:t>
      </w:r>
      <w:r>
        <w:t xml:space="preserve"> </w:t>
      </w:r>
      <w:r w:rsidRPr="00424EF9">
        <w:t>(</w:t>
      </w:r>
      <w:r w:rsidRPr="00424EF9">
        <w:rPr>
          <w:i/>
        </w:rPr>
        <w:t>w;UAS-stinger;VT-GAL4</w:t>
      </w:r>
      <w:r w:rsidRPr="00424EF9">
        <w:t>). We then tracked the hemocytes over development to visualise developmental migration</w:t>
      </w:r>
      <w:r>
        <w:t xml:space="preserve"> (Fig 3.11)</w:t>
      </w:r>
      <w:r w:rsidRPr="00424EF9">
        <w:t xml:space="preserve">. </w:t>
      </w:r>
      <w:r w:rsidR="00DB57D5">
        <w:rPr>
          <w:color w:val="000000" w:themeColor="text1"/>
        </w:rPr>
        <w:t xml:space="preserve">Unfortunately, VT40039 labelled too few hemocytes to be reliably used in this assay. </w:t>
      </w:r>
      <w:r>
        <w:t>Our positive control (</w:t>
      </w:r>
      <w:r>
        <w:rPr>
          <w:i/>
        </w:rPr>
        <w:t>w;UAS-stinger/Srp-GAL4)</w:t>
      </w:r>
      <w:r>
        <w:t xml:space="preserve"> confirmed that hemocytes migrate throughout the embryo in a well-defined manner </w:t>
      </w:r>
      <w:r>
        <w:fldChar w:fldCharType="begin"/>
      </w:r>
      <w:r w:rsidR="000A209C">
        <w:instrText xml:space="preserve"> ADDIN ZOTERO_ITEM CSL_CITATION {"citationID":"WlZiLGoI","properties":{"formattedCitation":"(166,178)","plainCitation":"(166,178)","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Robert"},{"family":"Wood","given":"Will"}],"issued":{"date-parts":[["2011",3,8]]}}},{"id":29,"uris":["http://zotero.org/users/952979/items/98Z8Z7U6"],"uri":["http://zotero.org/users/952979/items/98Z8Z7U6"],"itemData":{"id":29,"type":"article-journal","title":"Drosophila melanogaster embryonic haemocytes: masters of multitasking","container-title":"Nature Reviews Molecular Cell Biology","page":"542-551","volume":"8","issue":"7","source":"www.nature.com","abstract":"Drosophila melanogaster haemocytes constitute the cellular arm of a robust innate immune system in flies. In the adult and larva, these cells operate as the first line of defence against invading microorganisms: they phagocytose pathogens and produce antimicrobial peptides. However, in the sterile environment of the embryo, these important immune functions are largely redundant. Instead, throughout development, embryonic haemocytes are occupied with other tasks: they undergo complex migrations and carry out several non-immune functions that are crucial for successful embryogenesis.","DOI":"10.1038/nrm2202","ISSN":"1471-0072","shortTitle":"Drosophila melanogaster embryonic haemocytes","journalAbbreviation":"Nat Rev Mol Cell Biol","language":"en","author":[{"family":"Wood","given":"Will"},{"family":"Jacinto","given":"Antonio"}],"issued":{"date-parts":[["2007",7]]}}}],"schema":"https://github.com/citation-style-language/schema/raw/master/csl-citation.json"} </w:instrText>
      </w:r>
      <w:r>
        <w:fldChar w:fldCharType="separate"/>
      </w:r>
      <w:r w:rsidR="004A1963" w:rsidRPr="004A1963">
        <w:rPr>
          <w:rFonts w:ascii="Calibri" w:hAnsi="Calibri"/>
        </w:rPr>
        <w:t>(166,178)</w:t>
      </w:r>
      <w:r>
        <w:fldChar w:fldCharType="end"/>
      </w:r>
      <w:r>
        <w:t xml:space="preserve">. In contrast, VT32897 appeared to almost exclusively migrate dorsally, with few hemocytes being evident on the ventral midline, consistent with counts from our initial screen (Fig 3.2). VT57089 hemocytes were largely localised in the anterior portion of the embryo, with slightly more dorsal migration than ventral migration. However, VT17559 hemocytes were dispersed throughout the embryo, with a larger population in the anterior portion. VT62766 displayed mostly ventral migration with a large portion of the population residing in the anterior portion of the embryo. This shows that the subpopulations display different developmental migrations and confirms that they may be subjected to unique tissue microenvironments. </w:t>
      </w:r>
    </w:p>
    <w:p w14:paraId="546BD863" w14:textId="77777777" w:rsidR="004B5501" w:rsidRDefault="004B5501" w:rsidP="004B5501">
      <w:pPr>
        <w:pStyle w:val="Thesisnormal"/>
        <w:rPr>
          <w:highlight w:val="yellow"/>
        </w:rPr>
      </w:pPr>
    </w:p>
    <w:p w14:paraId="48594181" w14:textId="77777777" w:rsidR="004B5501" w:rsidRDefault="004B5501" w:rsidP="004B5501">
      <w:pPr>
        <w:pStyle w:val="Thesisnormal"/>
      </w:pPr>
    </w:p>
    <w:p w14:paraId="2332CF27" w14:textId="77777777" w:rsidR="004B5501" w:rsidRDefault="004B5501" w:rsidP="004B5501">
      <w:pPr>
        <w:pStyle w:val="Thesisnormal"/>
      </w:pPr>
    </w:p>
    <w:p w14:paraId="6F41C41C" w14:textId="77777777" w:rsidR="004B5501" w:rsidRDefault="004B5501" w:rsidP="004B5501">
      <w:pPr>
        <w:pStyle w:val="Thesisnormal"/>
      </w:pPr>
    </w:p>
    <w:p w14:paraId="490D682C" w14:textId="77777777" w:rsidR="004B5501" w:rsidRDefault="004B5501" w:rsidP="004B5501">
      <w:pPr>
        <w:pStyle w:val="Thesisnormal"/>
      </w:pPr>
    </w:p>
    <w:p w14:paraId="22623F85" w14:textId="77777777" w:rsidR="004B5501" w:rsidRDefault="004B5501" w:rsidP="004B5501">
      <w:pPr>
        <w:pStyle w:val="Thesisnormal"/>
      </w:pPr>
      <w:r>
        <w:rPr>
          <w:noProof/>
          <w:lang w:eastAsia="en-GB"/>
        </w:rPr>
        <w:drawing>
          <wp:inline distT="0" distB="0" distL="0" distR="0" wp14:anchorId="30DADFB7" wp14:editId="57C53144">
            <wp:extent cx="5622019" cy="3419475"/>
            <wp:effectExtent l="0" t="0" r="0" b="0"/>
            <wp:docPr id="72" name="Picture 72" descr="D:\Dropbox\PhD\Writing\Thesis\Chapter 3 Identification of hemocyte subpopulations\Figures\Lightsheet fig\Lightsheet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ropbox\PhD\Writing\Thesis\Chapter 3 Identification of hemocyte subpopulations\Figures\Lightsheet fig\Lightsheet fig.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7179"/>
                    <a:stretch/>
                  </pic:blipFill>
                  <pic:spPr bwMode="auto">
                    <a:xfrm>
                      <a:off x="0" y="0"/>
                      <a:ext cx="5627660" cy="3422906"/>
                    </a:xfrm>
                    <a:prstGeom prst="rect">
                      <a:avLst/>
                    </a:prstGeom>
                    <a:noFill/>
                    <a:ln>
                      <a:noFill/>
                    </a:ln>
                    <a:extLst>
                      <a:ext uri="{53640926-AAD7-44D8-BBD7-CCE9431645EC}">
                        <a14:shadowObscured xmlns:a14="http://schemas.microsoft.com/office/drawing/2010/main"/>
                      </a:ext>
                    </a:extLst>
                  </pic:spPr>
                </pic:pic>
              </a:graphicData>
            </a:graphic>
          </wp:inline>
        </w:drawing>
      </w:r>
    </w:p>
    <w:p w14:paraId="2E2B9B7F" w14:textId="77777777" w:rsidR="004B5501" w:rsidRPr="00813C37" w:rsidRDefault="004B5501" w:rsidP="004B5501">
      <w:pPr>
        <w:pStyle w:val="NoSpacing"/>
        <w:rPr>
          <w:b/>
        </w:rPr>
      </w:pPr>
      <w:r w:rsidRPr="00813C37">
        <w:rPr>
          <w:b/>
        </w:rPr>
        <w:t xml:space="preserve">Figure 3.11. </w:t>
      </w:r>
      <w:r>
        <w:rPr>
          <w:b/>
        </w:rPr>
        <w:t>Dispersal of hemocyte subpopulations throughout the embryo</w:t>
      </w:r>
      <w:r w:rsidRPr="00813C37">
        <w:rPr>
          <w:b/>
        </w:rPr>
        <w:t xml:space="preserve">. </w:t>
      </w:r>
    </w:p>
    <w:p w14:paraId="59F92A3B" w14:textId="77777777" w:rsidR="004B5501" w:rsidRDefault="004B5501" w:rsidP="004B5501">
      <w:pPr>
        <w:pStyle w:val="NoSpacing"/>
      </w:pPr>
      <w:r>
        <w:t>Representative images of enhancer-positive hemocyte tracks. Positive control (</w:t>
      </w:r>
      <w:r>
        <w:rPr>
          <w:i/>
        </w:rPr>
        <w:t>w;UAS-stinger/Srp-GAL4),</w:t>
      </w:r>
      <w:r>
        <w:t xml:space="preserve"> VT32897 </w:t>
      </w:r>
      <w:r w:rsidRPr="00E815EF">
        <w:t>(</w:t>
      </w:r>
      <w:r w:rsidRPr="00E815EF">
        <w:rPr>
          <w:i/>
        </w:rPr>
        <w:t>w;UAS-stinger;VT32897-GAL4)</w:t>
      </w:r>
      <w:r>
        <w:t>,</w:t>
      </w:r>
      <w:r w:rsidRPr="00E815EF">
        <w:t xml:space="preserve"> </w:t>
      </w:r>
      <w:r>
        <w:t xml:space="preserve">VT57089 </w:t>
      </w:r>
      <w:r w:rsidRPr="00E815EF">
        <w:t>enhan (</w:t>
      </w:r>
      <w:r>
        <w:rPr>
          <w:i/>
        </w:rPr>
        <w:t>w;UAS-stinger;VT57089</w:t>
      </w:r>
      <w:r w:rsidRPr="00E815EF">
        <w:rPr>
          <w:i/>
        </w:rPr>
        <w:t>-GAL4)</w:t>
      </w:r>
      <w:r>
        <w:t xml:space="preserve">, VT17559 </w:t>
      </w:r>
      <w:r w:rsidRPr="00E815EF">
        <w:t>(</w:t>
      </w:r>
      <w:r>
        <w:rPr>
          <w:i/>
        </w:rPr>
        <w:t>w;UAS-stinger;VT17559</w:t>
      </w:r>
      <w:r w:rsidRPr="00E815EF">
        <w:rPr>
          <w:i/>
        </w:rPr>
        <w:t>-GAL4)</w:t>
      </w:r>
      <w:r>
        <w:t xml:space="preserve">, VT62766 </w:t>
      </w:r>
      <w:r w:rsidRPr="00E815EF">
        <w:t>(</w:t>
      </w:r>
      <w:r>
        <w:rPr>
          <w:i/>
        </w:rPr>
        <w:t>w;UAS-stinger;VT62</w:t>
      </w:r>
      <w:r w:rsidRPr="00E815EF">
        <w:rPr>
          <w:i/>
        </w:rPr>
        <w:t>7</w:t>
      </w:r>
      <w:r>
        <w:rPr>
          <w:i/>
        </w:rPr>
        <w:t>66</w:t>
      </w:r>
      <w:r w:rsidRPr="00E815EF">
        <w:rPr>
          <w:i/>
        </w:rPr>
        <w:t>-GAL4)</w:t>
      </w:r>
      <w:r w:rsidRPr="00E815EF">
        <w:t>.</w:t>
      </w:r>
      <w:r w:rsidRPr="00813C37">
        <w:t xml:space="preserve"> </w:t>
      </w:r>
      <w:r>
        <w:t xml:space="preserve">Anterior is left, ventral is bottom. Scale bar represents 100µm, colour represent hemocyte location in time (blue is early, red is late time points). N=3 embryos per genotype. </w:t>
      </w:r>
    </w:p>
    <w:p w14:paraId="46D60422" w14:textId="77777777" w:rsidR="004B5501" w:rsidRDefault="004B5501" w:rsidP="004B5501">
      <w:pPr>
        <w:pStyle w:val="Thesisnormal"/>
      </w:pPr>
    </w:p>
    <w:p w14:paraId="1B695901" w14:textId="77777777" w:rsidR="004B5501" w:rsidRDefault="004B5501" w:rsidP="004B5501">
      <w:pPr>
        <w:pStyle w:val="Thesisnormal"/>
      </w:pPr>
    </w:p>
    <w:p w14:paraId="33884E3C" w14:textId="77777777" w:rsidR="004B5501" w:rsidRDefault="004B5501" w:rsidP="004B5501">
      <w:pPr>
        <w:pStyle w:val="Thesisnormal"/>
      </w:pPr>
    </w:p>
    <w:p w14:paraId="0F2E2998" w14:textId="77777777" w:rsidR="004B5501" w:rsidRDefault="004B5501" w:rsidP="004B5501">
      <w:pPr>
        <w:pStyle w:val="Thesisnormal"/>
      </w:pPr>
    </w:p>
    <w:p w14:paraId="78FE5EDE" w14:textId="77777777" w:rsidR="004B5501" w:rsidRDefault="004B5501" w:rsidP="004B5501">
      <w:pPr>
        <w:pStyle w:val="Thesisnormal"/>
      </w:pPr>
    </w:p>
    <w:p w14:paraId="518A62C2" w14:textId="77777777" w:rsidR="004B5501" w:rsidRDefault="004B5501" w:rsidP="004B5501">
      <w:pPr>
        <w:pStyle w:val="Thesisnormal"/>
      </w:pPr>
    </w:p>
    <w:p w14:paraId="44FB8CE9" w14:textId="77777777" w:rsidR="004B5501" w:rsidRDefault="004B5501" w:rsidP="004B5501">
      <w:pPr>
        <w:pStyle w:val="Thesisnormal"/>
      </w:pPr>
    </w:p>
    <w:p w14:paraId="015997B9" w14:textId="77777777" w:rsidR="004B5501" w:rsidRDefault="004B5501" w:rsidP="004B5501">
      <w:pPr>
        <w:pStyle w:val="Thesisnormal"/>
      </w:pPr>
    </w:p>
    <w:p w14:paraId="651E35D9" w14:textId="77777777" w:rsidR="004B5501" w:rsidRDefault="004B5501" w:rsidP="004B5501">
      <w:pPr>
        <w:pStyle w:val="Thesisnormal"/>
      </w:pPr>
    </w:p>
    <w:p w14:paraId="5304B507" w14:textId="77777777" w:rsidR="004B5501" w:rsidRDefault="004B5501" w:rsidP="004B5501">
      <w:pPr>
        <w:pStyle w:val="Thesisnormal"/>
      </w:pPr>
    </w:p>
    <w:p w14:paraId="76A1A1C2" w14:textId="77777777" w:rsidR="004B5501" w:rsidRDefault="004B5501" w:rsidP="004B5501">
      <w:pPr>
        <w:pStyle w:val="Thesisnormal"/>
      </w:pPr>
    </w:p>
    <w:p w14:paraId="31C795F9" w14:textId="77777777" w:rsidR="004B5501" w:rsidRDefault="004B5501" w:rsidP="004B5501">
      <w:pPr>
        <w:pStyle w:val="Thesisnormal"/>
      </w:pPr>
    </w:p>
    <w:p w14:paraId="50D14D18" w14:textId="1D7F7CF7" w:rsidR="004B5501" w:rsidRDefault="004B5501" w:rsidP="004B5501">
      <w:pPr>
        <w:pStyle w:val="Heading3"/>
        <w:spacing w:line="360" w:lineRule="auto"/>
      </w:pPr>
      <w:bookmarkStart w:id="151" w:name="_Toc4589325"/>
      <w:r>
        <w:lastRenderedPageBreak/>
        <w:t>3.2.</w:t>
      </w:r>
      <w:r w:rsidR="0054108A">
        <w:t>9</w:t>
      </w:r>
      <w:r>
        <w:t xml:space="preserve"> Several enhancer lines reveal hemocyte subpopulations that display more potent responses to wounding</w:t>
      </w:r>
      <w:bookmarkEnd w:id="151"/>
    </w:p>
    <w:p w14:paraId="0887712E" w14:textId="77777777" w:rsidR="004B5501" w:rsidRPr="00C1456C" w:rsidRDefault="004B5501" w:rsidP="004B5501"/>
    <w:p w14:paraId="4F0DB4EC" w14:textId="25387C96" w:rsidR="004B5501" w:rsidRPr="00F7498E" w:rsidRDefault="001348EE" w:rsidP="004B5501">
      <w:pPr>
        <w:pStyle w:val="Thesisnormal"/>
      </w:pPr>
      <w:r>
        <w:t>At sites of injury, circulating monocytes are recruited from the blood stream. These circulating monocytes differentiate into M1 macrophages</w:t>
      </w:r>
      <w:r w:rsidR="004A1963">
        <w:t xml:space="preserve"> which produce iNOS, ROS and other pro-inflammatory molecules </w:t>
      </w:r>
      <w:r w:rsidR="004A1963">
        <w:fldChar w:fldCharType="begin"/>
      </w:r>
      <w:r w:rsidR="000A209C">
        <w:instrText xml:space="preserve"> ADDIN ZOTERO_ITEM CSL_CITATION {"citationID":"mxUZ9hoL","properties":{"formattedCitation":"(25)","plainCitation":"(25)","noteIndex":0},"citationItems":[{"id":1652,"uris":["http://zotero.org/users/952979/items/62IVUAZ4"],"uri":["http://zotero.org/users/952979/items/62IVUAZ4"],"itemData":{"id":1652,"type":"article-journal","title":"The Role of Macrophages in Acute and Chronic Wound Healing and Interventions to Promote Pro-wound Healing Phenotypes","container-title":"Frontiers in Physiology","volume":"9","source":"PubMed Central","abstract":"Macrophages play key roles in all phases of adult wound healing, which are inflammation, proliferation, and remodeling. As wounds heal, the local macrophage population transitions from predominantly pro-inflammatory (M1-like phenotypes) to anti-inflammatory (M2-like phenotypes). Non-healing chronic wounds, such as pressure, arterial, venous, and diabetic ulcers indefinitely remain in inflammation—the first stage of wound healing. Thus, local macrophages retain pro-inflammatory characteristics. This review discusses the physiology of monocytes and macrophages in acute wound healing and the different phenotypes described in the literature for both in vitro and in vivo models. We also discuss aberrations that occur in macrophage populations in chronic wounds, and attempts to restore macrophage function by therapeutic approaches. These include endogenous M1 attenuation, exogenous M2 supplementation and endogenous macrophage modulation/M2 promotion via mesenchymal stem cells, growth factors, biomaterials, heme oxygenase-1 (HO-1) expression, and oxygen therapy. We recognize the challenges and controversies that exist in this field, such as standardization of macrophage phenotype nomenclature, definition of their distinct roles and understanding which phenotype is optimal in order to promote healing in chronic wounds.","URL":"https://www.ncbi.nlm.nih.gov/pmc/articles/PMC5938667/","DOI":"10.3389/fphys.2018.00419","ISSN":"1664-042X","note":"PMID: 29765329\nPMCID: PMC5938667","journalAbbreviation":"Front Physiol","author":[{"family":"Krzyszczyk","given":"Paulina"},{"family":"Schloss","given":"Rene"},{"family":"Palmer","given":"Andre"},{"family":"Berthiaume","given":"François"}],"issued":{"date-parts":[["2018",5,1]]}}}],"schema":"https://github.com/citation-style-language/schema/raw/master/csl-citation.json"} </w:instrText>
      </w:r>
      <w:r w:rsidR="004A1963">
        <w:fldChar w:fldCharType="separate"/>
      </w:r>
      <w:r w:rsidR="004A1963" w:rsidRPr="004A1963">
        <w:rPr>
          <w:rFonts w:ascii="Calibri" w:hAnsi="Calibri"/>
        </w:rPr>
        <w:t>(25)</w:t>
      </w:r>
      <w:r w:rsidR="004A1963">
        <w:fldChar w:fldCharType="end"/>
      </w:r>
      <w:r>
        <w:t xml:space="preserve">. </w:t>
      </w:r>
      <w:r w:rsidR="004B5501">
        <w:t>In the initial stages of wounding, M1 macrophages</w:t>
      </w:r>
      <w:r w:rsidR="004A1963">
        <w:t xml:space="preserve"> remove any potential pathogens. </w:t>
      </w:r>
      <w:r w:rsidR="004B5501">
        <w:t>Following this, macrophages switch their phenotype to an M2 state</w:t>
      </w:r>
      <w:r w:rsidR="004A1963">
        <w:t xml:space="preserve"> (the predominant state for tissue resident macrophages)</w:t>
      </w:r>
      <w:r w:rsidR="004B5501">
        <w:t xml:space="preserve">, which reduces inflammation and promotes tissue repair and healing </w:t>
      </w:r>
      <w:r w:rsidR="004A1963">
        <w:t xml:space="preserve">via production of IL-4 and TGF-β </w:t>
      </w:r>
      <w:r w:rsidR="004B5501">
        <w:fldChar w:fldCharType="begin"/>
      </w:r>
      <w:r w:rsidR="000A209C">
        <w:instrText xml:space="preserve"> ADDIN ZOTERO_ITEM CSL_CITATION {"citationID":"sbi8wKqv","properties":{"formattedCitation":"(348)","plainCitation":"(348)","noteIndex":0},"citationItems":[{"id":1640,"uris":["http://zotero.org/users/952979/items/MQT6FK28"],"uri":["http://zotero.org/users/952979/items/MQT6FK28"],"itemData":{"id":1640,"type":"article-journal","title":"Macrophage Differentiation in Normal and Accelerated Wound Healing","container-title":"Results and problems in cell differentiation","page":"353-364","volume":"62","source":"PubMed Central","abstract":"Chronic wounds pose considerable public health challenges and burden. Wound healing is known to require the participation of macrophages, but mechanisms remain unclear. The M1 phenotype macrophages have a known scavenger function, but they also play multiple roles in tissue repair and regeneration when they transition to an M2 phenotype. Macrophage precursors (mononuclear cells/monocytes) follow the influx of PMN neutrophils into a wound during the natural wound-healing process, to become the major cells in the wound. Natural wound-healing process is a four-phase progression consisting of hemostasis, inflammation, proliferation, and remodeling. A lag phase of 3–6 days precedes the remodeling phase, which is characterized by fibroblast activation and finally collagen production. This normal wound-healing process can be accelerated by the intracellular delivery of ATP to wound tissue. This novel ATP-mediated acceleration arises due to an alternative activation of the M1 to M2 transition (macrophage polarization), a central and critical feature of the wound-healing process. This response is also characterized by an early increased release of pro-inflammatory cytokines (TNF, IL-1 beta, IL-6), a chemokine (MCP-1), an activation of purinergic receptors (a family of plasma membrane receptors found in almost all mammalian cells), and an increased production of platelets and platelet microparticles. These factors trigger a massive influx of macrophages, as well as in situ proliferation of the resident macrophages and increased synthesis of VEGFs. These responses are followed, in turn, by rapid neovascularization and collagen production by the macrophages, resulting in wound covering with granulation tissue within 24 h.","DOI":"10.1007/978-3-319-54090-0_14","ISSN":"0080-1844","note":"PMID: 28455716\nPMCID: PMC5841920","journalAbbreviation":"Results Probl Cell Differ","author":[{"family":"Kotwal","given":"Girish J."},{"family":"Chien","given":"Sufan"}],"issued":{"date-parts":[["2017"]]}}}],"schema":"https://github.com/citation-style-language/schema/raw/master/csl-citation.json"} </w:instrText>
      </w:r>
      <w:r w:rsidR="004B5501">
        <w:fldChar w:fldCharType="separate"/>
      </w:r>
      <w:r w:rsidR="00A53A6B" w:rsidRPr="00A53A6B">
        <w:rPr>
          <w:rFonts w:ascii="Calibri" w:hAnsi="Calibri"/>
        </w:rPr>
        <w:t>(348)</w:t>
      </w:r>
      <w:r w:rsidR="004B5501">
        <w:fldChar w:fldCharType="end"/>
      </w:r>
      <w:r w:rsidR="004B5501">
        <w:t xml:space="preserve">. Laser ablation of </w:t>
      </w:r>
      <w:r w:rsidR="004B5501">
        <w:rPr>
          <w:i/>
        </w:rPr>
        <w:t>Drosophila</w:t>
      </w:r>
      <w:r w:rsidR="004B5501">
        <w:t xml:space="preserve"> embryos results in an inflammatory hemocyte response </w:t>
      </w:r>
      <w:r w:rsidR="004B5501">
        <w:fldChar w:fldCharType="begin"/>
      </w:r>
      <w:r w:rsidR="000A209C">
        <w:instrText xml:space="preserve"> ADDIN ZOTERO_ITEM CSL_CITATION {"citationID":"Mha8K9zL","properties":{"formattedCitation":"(349)","plainCitation":"(349)","noteIndex":0},"citationItems":[{"id":43,"uris":["http://zotero.org/users/952979/items/7N7VZH5M"],"uri":["http://zotero.org/users/952979/items/7N7VZH5M"],"itemData":{"id":43,"type":"article-journal","title":"Wound healing recapitulates morphogenesis in Drosophila embryos","container-title":"Nature Cell Biology","page":"907-912","volume":"4","issue":"11","source":"PubMed","abstract":"The capacity to repair a wound is a fundamental survival mechanism that is activated at any site of damage throughout embryonic and adult life. To study the cell biology and genetics of this process, we have developed a wounding model in Drosophila melanogaster embryos that allows live imaging of rearrangements and changes in cell shape, and of the cytoskeletal machinery that draws closed an in vivo wound. Using embryos expressing green fluorescent protein (GFP) fusion proteins, we show that two cytoskeletal-dependent elements -- an actin cable and dynamic filopodial/lamellipodial protrusions -- are expressed by epithelial cells at the wound edge and are pivotal for repair. Modulating the activities of the small GTPases Rho and Cdc42 demonstrates that these actin-dependent elements have differing cellular functions, but that either alone can drive wound closure. The actin cable operates as a 'purse-string' to draw the hole closed, whereas filopodia are essential for the final 'knitting' together of epithelial cells at the end of repair. Our data suggest a more complex model for epithelial repair than previously envisaged and highlight remarkable similarities with the well-characterized morphogenetic movement of dorsal closure in Drosophila.","DOI":"10.1038/ncb875","ISSN":"1465-7392","note":"PMID: 12402048","journalAbbreviation":"Nat. Cell Biol.","language":"eng","author":[{"family":"Wood","given":"William"},{"family":"Jacinto","given":"Antonio"},{"family":"Grose","given":"Richard"},{"family":"Woolner","given":"Sarah"},{"family":"Gale","given":"Jonathan"},{"family":"Wilson","given":"Clive"},{"family":"Martin","given":"Paul"}],"issued":{"date-parts":[["2002",11]]}}}],"schema":"https://github.com/citation-style-language/schema/raw/master/csl-citation.json"} </w:instrText>
      </w:r>
      <w:r w:rsidR="004B5501">
        <w:fldChar w:fldCharType="separate"/>
      </w:r>
      <w:r w:rsidR="00A53A6B" w:rsidRPr="00A53A6B">
        <w:rPr>
          <w:rFonts w:ascii="Calibri" w:hAnsi="Calibri"/>
        </w:rPr>
        <w:t>(349)</w:t>
      </w:r>
      <w:r w:rsidR="004B5501">
        <w:fldChar w:fldCharType="end"/>
      </w:r>
      <w:r w:rsidR="004B5501">
        <w:t>. We therefore laser ablated the ventral epithelium in embryos containing VT-enhancer labelled subpopulations of hemocytes, quantifying the response made by labelled hemocytes at 60 minutes post-wounding (</w:t>
      </w:r>
      <w:r w:rsidR="004B5501">
        <w:rPr>
          <w:i/>
        </w:rPr>
        <w:t>w;UAS-stinger;VT-GAL4</w:t>
      </w:r>
      <w:r w:rsidR="004B5501">
        <w:t>). We counted the number of hemocytes at the wound border and the total number of hemocytes in the Z-stack (approximately 35</w:t>
      </w:r>
      <w:r w:rsidR="004B5501">
        <w:sym w:font="Symbol" w:char="F06D"/>
      </w:r>
      <w:r w:rsidR="004B5501">
        <w:t xml:space="preserve">m) to calculate the percentage of hemocytes </w:t>
      </w:r>
      <w:r w:rsidR="00E20BD2">
        <w:t>recruited</w:t>
      </w:r>
      <w:r w:rsidR="004B5501">
        <w:t xml:space="preserve"> to the wound (Fig 3.12 A). To discern enhancer-positive hemocytes from enhancer positive-non hemocytes, we utilised the well-defined hemocyte morphology as indicated by blue arrows in Fig 3.12 A’, with the red arrow demonstrating a non-hemocyte. We found VT32897, VT17559 and VT62766 lines labelled hemocyte populations exhibiting a greater propensity to respond to wounds with a significantly higher percentage of hemocytes able to respond to wounds, 60-minutes post-wounding (One-way ANOVA with Dunnett’s multiple comparisons test, *p&lt;0.05, **p&lt;0.01, VT57089=0.9862, n=77, 22, 26, 21 and 25 embryos for control, VT32897, VT57089, VT17559 and VT62766, respectively). Furthermore, assessment of hemocyte numbers on the ventral surface of the embryo pre-wounding (via expression of </w:t>
      </w:r>
      <w:r w:rsidR="004B5501">
        <w:rPr>
          <w:i/>
        </w:rPr>
        <w:t>UAS-stinger</w:t>
      </w:r>
      <w:r w:rsidR="004B5501">
        <w:t>, which marks the nuclei of cells), further confirmed the existence of subpopulations (</w:t>
      </w:r>
      <w:r w:rsidR="004B5501" w:rsidRPr="005A3518">
        <w:t>as per Figs 3.3 &amp; 3.4)</w:t>
      </w:r>
      <w:r w:rsidR="004B5501">
        <w:t xml:space="preserve"> (Fig 3.12 C). </w:t>
      </w:r>
      <w:r>
        <w:t xml:space="preserve">Unfortunately, VT40039 was not included in this assay due to technical difficulties of obtaining sufficient replicates for thorough analysis. </w:t>
      </w:r>
      <w:r w:rsidR="004B5501">
        <w:t xml:space="preserve">This demonstrates that the identified hemocyte subpopulations are functionally distinct, displaying more potent responses to inflammatory wounding. </w:t>
      </w:r>
    </w:p>
    <w:p w14:paraId="5BE298F3" w14:textId="77777777" w:rsidR="004B5501" w:rsidRDefault="004B5501" w:rsidP="004B5501">
      <w:pPr>
        <w:pStyle w:val="Thesisnormal"/>
      </w:pPr>
    </w:p>
    <w:p w14:paraId="1F128C9A" w14:textId="77777777" w:rsidR="004B5501" w:rsidRDefault="004B5501" w:rsidP="004B5501">
      <w:pPr>
        <w:pStyle w:val="Thesisnormal"/>
      </w:pPr>
    </w:p>
    <w:p w14:paraId="25A8C01F" w14:textId="77777777" w:rsidR="004B5501" w:rsidRDefault="004B5501" w:rsidP="004B5501">
      <w:pPr>
        <w:pStyle w:val="Thesisnormal"/>
        <w:rPr>
          <w:noProof/>
          <w:lang w:eastAsia="en-GB"/>
        </w:rPr>
      </w:pPr>
    </w:p>
    <w:p w14:paraId="55DF2660" w14:textId="77777777" w:rsidR="004B5501" w:rsidRDefault="004B5501" w:rsidP="004B5501">
      <w:pPr>
        <w:pStyle w:val="Thesisnormal"/>
      </w:pPr>
      <w:r>
        <w:rPr>
          <w:noProof/>
          <w:lang w:eastAsia="en-GB"/>
        </w:rPr>
        <w:lastRenderedPageBreak/>
        <w:drawing>
          <wp:inline distT="0" distB="0" distL="0" distR="0" wp14:anchorId="42FFE9FA" wp14:editId="6EBFE15A">
            <wp:extent cx="6053087" cy="4114800"/>
            <wp:effectExtent l="0" t="0" r="5080" b="0"/>
            <wp:docPr id="73" name="Picture 73" descr="D:\Dropbox\PhD\writing\thesis\chapter 3 identification of hemocyte subpopulations\figures\wounding fig\Fig 3 VT Wound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ropbox\PhD\writing\thesis\chapter 3 identification of hemocyte subpopulations\figures\wounding fig\Fig 3 VT Wounding.tif"/>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2141"/>
                    <a:stretch/>
                  </pic:blipFill>
                  <pic:spPr bwMode="auto">
                    <a:xfrm>
                      <a:off x="0" y="0"/>
                      <a:ext cx="6055805" cy="4116648"/>
                    </a:xfrm>
                    <a:prstGeom prst="rect">
                      <a:avLst/>
                    </a:prstGeom>
                    <a:noFill/>
                    <a:ln>
                      <a:noFill/>
                    </a:ln>
                    <a:extLst>
                      <a:ext uri="{53640926-AAD7-44D8-BBD7-CCE9431645EC}">
                        <a14:shadowObscured xmlns:a14="http://schemas.microsoft.com/office/drawing/2010/main"/>
                      </a:ext>
                    </a:extLst>
                  </pic:spPr>
                </pic:pic>
              </a:graphicData>
            </a:graphic>
          </wp:inline>
        </w:drawing>
      </w:r>
    </w:p>
    <w:p w14:paraId="6CD004CB" w14:textId="71C5FECA" w:rsidR="004B5501" w:rsidRDefault="004B5501" w:rsidP="004B5501">
      <w:pPr>
        <w:pStyle w:val="NoSpacing"/>
      </w:pPr>
      <w:r>
        <w:rPr>
          <w:b/>
        </w:rPr>
        <w:t>Figure 3.12.</w:t>
      </w:r>
      <w:r w:rsidRPr="0087091F">
        <w:rPr>
          <w:b/>
        </w:rPr>
        <w:t xml:space="preserve"> </w:t>
      </w:r>
      <w:r>
        <w:rPr>
          <w:b/>
        </w:rPr>
        <w:t xml:space="preserve">Multiple enhancer lines label hemocyte subpopulations with </w:t>
      </w:r>
      <w:r w:rsidR="00E20BD2">
        <w:rPr>
          <w:b/>
        </w:rPr>
        <w:t>increased recruitment to</w:t>
      </w:r>
      <w:r>
        <w:rPr>
          <w:b/>
        </w:rPr>
        <w:t xml:space="preserve"> wounding.</w:t>
      </w:r>
      <w:r w:rsidRPr="00FD4E43">
        <w:t xml:space="preserve"> </w:t>
      </w:r>
    </w:p>
    <w:p w14:paraId="0354CA60" w14:textId="77777777" w:rsidR="004B5501" w:rsidRDefault="004B5501" w:rsidP="004B5501">
      <w:pPr>
        <w:pStyle w:val="NoSpacing"/>
      </w:pPr>
      <w:r w:rsidRPr="00FD4E43">
        <w:t>(A</w:t>
      </w:r>
      <w:r>
        <w:t>) Representative stills of enhancer-positive cells 60-minutes post-wounding. Scale bar represents 20µm. Positive control (</w:t>
      </w:r>
      <w:r>
        <w:rPr>
          <w:i/>
        </w:rPr>
        <w:t>w;UAS-stinger/Srp-GAL4)</w:t>
      </w:r>
      <w:r>
        <w:t xml:space="preserve">, VT32897 </w:t>
      </w:r>
      <w:r w:rsidRPr="00E815EF">
        <w:t>(</w:t>
      </w:r>
      <w:r w:rsidRPr="00E815EF">
        <w:rPr>
          <w:i/>
        </w:rPr>
        <w:t>w;UAS-stinger;VT32897-GAL4)</w:t>
      </w:r>
      <w:r>
        <w:rPr>
          <w:i/>
        </w:rPr>
        <w:t>,</w:t>
      </w:r>
      <w:r>
        <w:t xml:space="preserve"> VT57089 </w:t>
      </w:r>
      <w:r w:rsidRPr="00E815EF">
        <w:t>(</w:t>
      </w:r>
      <w:r w:rsidRPr="00E815EF">
        <w:rPr>
          <w:i/>
        </w:rPr>
        <w:t>w;UAS-stinger</w:t>
      </w:r>
      <w:r>
        <w:rPr>
          <w:i/>
        </w:rPr>
        <w:t>;VT57089</w:t>
      </w:r>
      <w:r w:rsidRPr="00E815EF">
        <w:rPr>
          <w:i/>
        </w:rPr>
        <w:t>-GAL4)</w:t>
      </w:r>
      <w:r>
        <w:rPr>
          <w:i/>
        </w:rPr>
        <w:t>,</w:t>
      </w:r>
      <w:r w:rsidRPr="00E815EF">
        <w:t xml:space="preserve"> </w:t>
      </w:r>
      <w:r>
        <w:t>VT17559</w:t>
      </w:r>
      <w:r w:rsidRPr="00E815EF">
        <w:t>(</w:t>
      </w:r>
      <w:r w:rsidRPr="00E815EF">
        <w:rPr>
          <w:i/>
        </w:rPr>
        <w:t>w;UAS-stinger</w:t>
      </w:r>
      <w:r>
        <w:rPr>
          <w:i/>
        </w:rPr>
        <w:t>;VT175599</w:t>
      </w:r>
      <w:r w:rsidRPr="00E815EF">
        <w:rPr>
          <w:i/>
        </w:rPr>
        <w:t>-GAL4)</w:t>
      </w:r>
      <w:r>
        <w:rPr>
          <w:i/>
        </w:rPr>
        <w:t>,</w:t>
      </w:r>
      <w:r w:rsidRPr="00E815EF">
        <w:t xml:space="preserve"> </w:t>
      </w:r>
      <w:r>
        <w:t xml:space="preserve">VT62766 </w:t>
      </w:r>
      <w:r w:rsidRPr="00E815EF">
        <w:t>(</w:t>
      </w:r>
      <w:r w:rsidRPr="00E815EF">
        <w:rPr>
          <w:i/>
        </w:rPr>
        <w:t>w;UAS-stinger</w:t>
      </w:r>
      <w:r>
        <w:rPr>
          <w:i/>
        </w:rPr>
        <w:t>;VT62766</w:t>
      </w:r>
      <w:r w:rsidRPr="00E815EF">
        <w:rPr>
          <w:i/>
        </w:rPr>
        <w:t>-GAL4)</w:t>
      </w:r>
      <w:r w:rsidRPr="00E815EF">
        <w:t xml:space="preserve"> responding to a laser ablation wound.</w:t>
      </w:r>
      <w:r>
        <w:t xml:space="preserve"> (A’) Zoomed image of VT62766 with blue arrows indicating enhancer positive hemocytes and red arrow indicating enhancer positive non-hemocyte. Scale bar represents 5μm. (B) Scatterplot showing the percentage of enhancer-positive hemocytes responding to wounds at 60-minutes post-wounding. One-way ANOVA with Dunnett’s multiple comparisons test, *p&lt;0.05, **p&lt;0.01, VT57089 = 0.9862, n = 77, 22, 26, 21 and 25 embryos for control, VT32897, VT57089, VT17559 and VT62766 respectively. (C) Scatterplot of the number of enhancer-positive hemocytes per embryo prior to wounding. One-way ANOVA with Dunnett’s multiple comparisons test, ****p&lt;0.0001, n = 139, 37, 30, 35 and 44 embryos for control, VT32897, VT57089, VT17559 and VT62766 respectively.</w:t>
      </w:r>
    </w:p>
    <w:p w14:paraId="66E46445" w14:textId="77777777" w:rsidR="004B5501" w:rsidRDefault="004B5501" w:rsidP="004B5501">
      <w:pPr>
        <w:pStyle w:val="Thesisnormal"/>
      </w:pPr>
    </w:p>
    <w:p w14:paraId="62E78907" w14:textId="77777777" w:rsidR="004B5501" w:rsidRDefault="004B5501" w:rsidP="004B5501">
      <w:pPr>
        <w:pStyle w:val="Thesisnormal"/>
      </w:pPr>
    </w:p>
    <w:p w14:paraId="6780B9D7" w14:textId="77777777" w:rsidR="004B5501" w:rsidRDefault="004B5501" w:rsidP="004B5501">
      <w:pPr>
        <w:pStyle w:val="Thesisnormal"/>
      </w:pPr>
    </w:p>
    <w:p w14:paraId="50666750" w14:textId="77777777" w:rsidR="004B5501" w:rsidRDefault="004B5501" w:rsidP="004B5501">
      <w:pPr>
        <w:pStyle w:val="Thesisnormal"/>
      </w:pPr>
    </w:p>
    <w:p w14:paraId="03964BB9" w14:textId="77777777" w:rsidR="004B5501" w:rsidRDefault="004B5501" w:rsidP="004B5501">
      <w:pPr>
        <w:pStyle w:val="Thesisnormal"/>
      </w:pPr>
    </w:p>
    <w:p w14:paraId="37E39BA6" w14:textId="77777777" w:rsidR="004B5501" w:rsidRDefault="004B5501" w:rsidP="004B5501">
      <w:pPr>
        <w:pStyle w:val="Thesisnormal"/>
      </w:pPr>
    </w:p>
    <w:p w14:paraId="31D705EC" w14:textId="645F7F3F" w:rsidR="004B5501" w:rsidRDefault="004B5501" w:rsidP="004B5501">
      <w:pPr>
        <w:pStyle w:val="Heading3"/>
        <w:spacing w:line="360" w:lineRule="auto"/>
      </w:pPr>
      <w:bookmarkStart w:id="152" w:name="_Toc4589326"/>
      <w:r>
        <w:lastRenderedPageBreak/>
        <w:t>3.2.1</w:t>
      </w:r>
      <w:r w:rsidR="0054108A">
        <w:t>0</w:t>
      </w:r>
      <w:r>
        <w:t xml:space="preserve"> Subpopulations contain different amounts of apoptotic cells</w:t>
      </w:r>
      <w:bookmarkEnd w:id="152"/>
      <w:r>
        <w:t xml:space="preserve"> </w:t>
      </w:r>
    </w:p>
    <w:p w14:paraId="210B07AD" w14:textId="77777777" w:rsidR="004B5501" w:rsidRPr="00C76547" w:rsidRDefault="004B5501" w:rsidP="004B5501"/>
    <w:p w14:paraId="3F3242A0" w14:textId="10BE4B82" w:rsidR="004B5501" w:rsidRDefault="004B5501" w:rsidP="004B5501">
      <w:pPr>
        <w:pStyle w:val="Thesisnormal"/>
      </w:pPr>
      <w:r>
        <w:t xml:space="preserve">During development, macrophages are exposed to large numbers of apoptotic cells that must be cleared from the organism </w:t>
      </w:r>
      <w:r>
        <w:fldChar w:fldCharType="begin"/>
      </w:r>
      <w:r w:rsidR="000A209C">
        <w:instrText xml:space="preserve"> ADDIN ZOTERO_ITEM CSL_CITATION {"citationID":"4ZncSCnC","properties":{"formattedCitation":"(39)","plainCitation":"(39)","noteIndex":0},"citationItems":[{"id":1360,"uris":["http://zotero.org/users/952979/items/DJQTVKIA"],"uri":["http://zotero.org/users/952979/items/DJQTVKIA"],"itemData":{"id":1360,"type":"article-journal","title":"Protective and pathogenic functions of macrophage subsets","container-title":"Nature Reviews Immunology","page":"723-737","volume":"11","issue":"11","source":"www.nature.com","abstract":"Macrophages are strategically located throughout the body tissues, where they ingest and process foreign materials, dead cells and debris and recruit additional macrophages in response to inflammatory signals. They are highly heterogeneous cells that can rapidly change their function in response to local microenvironmental signals. In this Review, we discuss the four stages of orderly inflammation mediated by macrophages: recruitment to tissues; differentiation and activation in situ; conversion to suppressive cells; and restoration of tissue homeostasis. We also discuss the protective and pathogenic functions of the various macrophage subsets in antimicrobial defence, antitumour immune responses, metabolism and obesity, allergy and asthma, tumorigenesis, autoimmunity, atherosclerosis, fibrosis and wound healing. Finally, we briefly discuss the characterization of macrophage heterogeneity in humans.","DOI":"10.1038/nri3073","ISSN":"1474-1733","journalAbbreviation":"Nat Rev Immunol","language":"en","author":[{"family":"Murray","given":"Peter J."},{"family":"Wynn","given":"Thomas A."}],"issued":{"date-parts":[["2011",11]]}}}],"schema":"https://github.com/citation-style-language/schema/raw/master/csl-citation.json"} </w:instrText>
      </w:r>
      <w:r>
        <w:fldChar w:fldCharType="separate"/>
      </w:r>
      <w:r w:rsidR="004A1963" w:rsidRPr="004A1963">
        <w:rPr>
          <w:rFonts w:ascii="Calibri" w:hAnsi="Calibri"/>
        </w:rPr>
        <w:t>(39)</w:t>
      </w:r>
      <w:r>
        <w:fldChar w:fldCharType="end"/>
      </w:r>
      <w:r>
        <w:t xml:space="preserve">. In mammalian systems, M2 macrophages engulf and phagocytose these apoptotic particles </w:t>
      </w:r>
      <w:r>
        <w:fldChar w:fldCharType="begin"/>
      </w:r>
      <w:r w:rsidR="000A209C">
        <w:instrText xml:space="preserve"> ADDIN ZOTERO_ITEM CSL_CITATION {"citationID":"jUwsMF8w","properties":{"formattedCitation":"(15,27,54)","plainCitation":"(15,27,54)","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id":1385,"uris":["http://zotero.org/users/952979/items/67HQCN79"],"uri":["http://zotero.org/users/952979/items/67HQCN79"],"itemData":{"id":1385,"type":"article-journal","title":"Macrophage biology in development, homeostasis and disease","container-title":"Nature","page":"445-455","volume":"496","issue":"7446","source":"PubMed","abstract":"Macrophages, the most plastic cells of the haematopoietic system, are found in all tissues and show great functional diversity. They have roles in development, homeostasis, tissue repair and immunity. Although tissue macrophages are anatomically distinct from one another, and have different transcriptional profiles and functional capabilities, they are all required for the maintenance of homeostasis. However, these reparative and homeostatic functions can be subverted by chronic insults, resulting in a causal association of macrophages with disease states. In this Review, we discuss how macrophages regulate normal physiology and development, and provide several examples of their pathophysiological roles in disease. We define the 'hallmarks' of macrophages according to the states that they adopt during the performance of their various roles, taking into account new insights into the diversity of their lineages, identities and regulation. It is essential to understand this diversity because macrophages have emerged as important therapeutic targets in many human diseases.","DOI":"10.1038/nature12034","ISSN":"1476-4687","note":"PMID: 23619691\nPMCID: PMC3725458","journalAbbreviation":"Nature","language":"eng","author":[{"family":"Wynn","given":"Thomas A."},{"family":"Chawla","given":"Ajay"},{"family":"Pollard","given":"Jeffrey W."}],"issued":{"date-parts":[["2013",4,25]]}}}],"schema":"https://github.com/citation-style-language/schema/raw/master/csl-citation.json"} </w:instrText>
      </w:r>
      <w:r>
        <w:fldChar w:fldCharType="separate"/>
      </w:r>
      <w:r w:rsidR="004A1963" w:rsidRPr="004A1963">
        <w:rPr>
          <w:rFonts w:ascii="Calibri" w:hAnsi="Calibri"/>
        </w:rPr>
        <w:t>(15,27,54)</w:t>
      </w:r>
      <w:r>
        <w:fldChar w:fldCharType="end"/>
      </w:r>
      <w:r>
        <w:t xml:space="preserve">. Indeed, exposure to apoptotic cells primes macrophages towards an M2 phenotype </w:t>
      </w:r>
      <w:r>
        <w:fldChar w:fldCharType="begin"/>
      </w:r>
      <w:r w:rsidR="000A209C">
        <w:instrText xml:space="preserve"> ADDIN ZOTERO_ITEM CSL_CITATION {"citationID":"bszKlffo","properties":{"formattedCitation":"(54)","plainCitation":"(54)","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B."}],"issued":{"date-parts":[["2018",12,27]]},"accessed":{"date-parts":[["2019",1,8]]}}}],"schema":"https://github.com/citation-style-language/schema/raw/master/csl-citation.json"} </w:instrText>
      </w:r>
      <w:r>
        <w:fldChar w:fldCharType="separate"/>
      </w:r>
      <w:r w:rsidR="004A1963" w:rsidRPr="004A1963">
        <w:rPr>
          <w:rFonts w:ascii="Calibri" w:hAnsi="Calibri"/>
        </w:rPr>
        <w:t>(54)</w:t>
      </w:r>
      <w:r>
        <w:fldChar w:fldCharType="end"/>
      </w:r>
      <w:r>
        <w:t xml:space="preserve">. To investigate the clearance of apoptotic particles in our enhancer lines, we quantified the number of vacuoles (which contain apoptotic cells </w:t>
      </w:r>
      <w:r>
        <w:fldChar w:fldCharType="begin"/>
      </w:r>
      <w:r w:rsidR="000A209C">
        <w:instrText xml:space="preserve"> ADDIN ZOTERO_ITEM CSL_CITATION {"citationID":"znmrXxIR","properties":{"formattedCitation":"(225)","plainCitation":"(225)","noteIndex":0},"citationItems":[{"id":1085,"uris":["http://zotero.org/users/952979/items/4F4Z9XXE"],"uri":["http://zotero.org/users/952979/items/4F4Z9XXE"],"itemData":{"id":1085,"type":"article-journal","title":"SCAR/WAVE-mediated processing of engulfed apoptotic corpses is essential for effective macrophage migration in Drosophila","container-title":"Cell Death and Differentiation","page":"709-720","volume":"20","issue":"5","source":"PubMed","abstract":"In vitro studies have shown that SCAR/WAVE activates the Arp2/3 complex to generate actin filaments, which in many cell types are organised into lamellipodia that are thought to have an important role in cell migration. Here we demonstrate that SCAR is utilised by Drosophila macrophages to drive their developmental and inflammatory migrations and that it is regulated via the Hem/Kette/Nap1-containing SCAR/WAVE complex. SCAR is also important in protecting against bacterial pathogens and in wound repair as SCAR mutant embryos succumb more readily to both sterile and infected wounds. However, in addition to driving the formation of lamellipodia in macrophages, SCAR is required cell autonomously for the correct processing of phagocytosed apoptotic corpses by these professional phagocytes. Removal of this phagocytic burden by preventing apoptosis rescues macrophage lamellipodia formation and partially restores motility. Our results show that efficient processing of phagosomes is critical for effective macrophage migration in vivo. These findings have important implications for the resolution of macrophages from chronic wounds and the behaviour of those associated with tumours, because phagocytosis of debris may serve to prolong the presence of these cells at these sites of pathology.","DOI":"10.1038/cdd.2012.166","ISSN":"1476-5403","note":"PMID: 23328632\nPMCID: PMC3619236","journalAbbreviation":"Cell Death Differ.","language":"eng","author":[{"family":"Evans","given":"I. R."},{"family":"Ghai","given":"P. A."},{"family":"Urbančič","given":"V."},{"family":"Tan","given":"K.-L."},{"family":"Wood","given":"W."}],"issued":{"date-parts":[["2013",5]]}}}],"schema":"https://github.com/citation-style-language/schema/raw/master/csl-citation.json"} </w:instrText>
      </w:r>
      <w:r>
        <w:fldChar w:fldCharType="separate"/>
      </w:r>
      <w:r w:rsidR="004A1963" w:rsidRPr="004A1963">
        <w:rPr>
          <w:rFonts w:ascii="Calibri" w:hAnsi="Calibri"/>
        </w:rPr>
        <w:t>(225)</w:t>
      </w:r>
      <w:r>
        <w:fldChar w:fldCharType="end"/>
      </w:r>
      <w:r>
        <w:t>) present in enhancer-positive hemocytes (</w:t>
      </w:r>
      <w:r>
        <w:rPr>
          <w:i/>
        </w:rPr>
        <w:t>w;UAS-stinger;VT-GAL4</w:t>
      </w:r>
      <w:r>
        <w:t>). We found that all hemocytes, including the enhancer-labelled subpopulations are able to phagocytose apoptotic cells (Fig 3.13 A-C). However, three enhancer lines labelled hemocytes with significantly fewer vacuoles than controls (</w:t>
      </w:r>
      <w:r>
        <w:rPr>
          <w:i/>
        </w:rPr>
        <w:t>w;UAS-stinger/Srp-GAL4</w:t>
      </w:r>
      <w:r>
        <w:t xml:space="preserve">); VT57089, VT17559 and VT62766 </w:t>
      </w:r>
      <w:r w:rsidR="008944E9">
        <w:t xml:space="preserve">(One-way ANOVA with Dunnett’s multiple comparisons test, **P &lt; 0.01, ***P &lt; 0.001, VT32897 = 0.9896, n = 76, 12, 29, 10 and 31 embryos for control, VT32897, VT57089, VT17559 and VT62766, respectively). </w:t>
      </w:r>
      <w:r>
        <w:t xml:space="preserve">VT32897 did not appear to differ from the control (One-way ANOVA with Dunnett’s multiple comparisons test, P= 0.8341, n = 26 hemocytes). Two of the enhancer lines (VT17559 and VT62766), which contain fewer vacuoles also demonstrated improved responses to wounding. </w:t>
      </w:r>
      <w:r w:rsidR="001348EE">
        <w:t xml:space="preserve">Unfortunately, VT40039 was not included in this assay due to technical difficulties of obtaining sufficient replicates for thorough analysis. </w:t>
      </w:r>
      <w:r>
        <w:t xml:space="preserve">This shows that the enhancer-labelled hemocyte subpopulations are behaving in a functionally distinct manner. </w:t>
      </w:r>
    </w:p>
    <w:p w14:paraId="0632D89C" w14:textId="77777777" w:rsidR="004B5501" w:rsidRDefault="004B5501" w:rsidP="004B5501">
      <w:pPr>
        <w:pStyle w:val="Thesisnormal"/>
        <w:rPr>
          <w:noProof/>
          <w:lang w:eastAsia="en-GB"/>
        </w:rPr>
      </w:pPr>
    </w:p>
    <w:p w14:paraId="67AC7C09" w14:textId="77777777" w:rsidR="004B5501" w:rsidRDefault="004B5501" w:rsidP="004B5501">
      <w:pPr>
        <w:pStyle w:val="Thesisnormal"/>
        <w:rPr>
          <w:noProof/>
          <w:lang w:eastAsia="en-GB"/>
        </w:rPr>
      </w:pPr>
    </w:p>
    <w:p w14:paraId="7A028F28" w14:textId="77777777" w:rsidR="00C220ED" w:rsidRDefault="00C220ED" w:rsidP="004B5501">
      <w:pPr>
        <w:pStyle w:val="Thesisnormal"/>
        <w:rPr>
          <w:noProof/>
          <w:lang w:eastAsia="en-GB"/>
        </w:rPr>
      </w:pPr>
    </w:p>
    <w:p w14:paraId="5F1F5B48" w14:textId="77777777" w:rsidR="004B5501" w:rsidRDefault="004B5501" w:rsidP="004B5501">
      <w:pPr>
        <w:pStyle w:val="Thesisnormal"/>
      </w:pPr>
      <w:r>
        <w:rPr>
          <w:noProof/>
          <w:lang w:eastAsia="en-GB"/>
        </w:rPr>
        <w:lastRenderedPageBreak/>
        <w:drawing>
          <wp:inline distT="0" distB="0" distL="0" distR="0" wp14:anchorId="5235291D" wp14:editId="428D5F61">
            <wp:extent cx="5981700" cy="6624545"/>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ropbox\PhD\Writing\Thesis\Chapter 3 Identification of hemocyte subpopulations\Figures\VT Vacuole count fig\VT Vacuole fig.ti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1941"/>
                    <a:stretch/>
                  </pic:blipFill>
                  <pic:spPr bwMode="auto">
                    <a:xfrm>
                      <a:off x="0" y="0"/>
                      <a:ext cx="5989301" cy="6632963"/>
                    </a:xfrm>
                    <a:prstGeom prst="rect">
                      <a:avLst/>
                    </a:prstGeom>
                    <a:noFill/>
                    <a:ln>
                      <a:noFill/>
                    </a:ln>
                    <a:extLst>
                      <a:ext uri="{53640926-AAD7-44D8-BBD7-CCE9431645EC}">
                        <a14:shadowObscured xmlns:a14="http://schemas.microsoft.com/office/drawing/2010/main"/>
                      </a:ext>
                    </a:extLst>
                  </pic:spPr>
                </pic:pic>
              </a:graphicData>
            </a:graphic>
          </wp:inline>
        </w:drawing>
      </w:r>
    </w:p>
    <w:p w14:paraId="50FDB637" w14:textId="77777777" w:rsidR="004B5501" w:rsidRDefault="004B5501" w:rsidP="004B5501">
      <w:pPr>
        <w:pStyle w:val="NoSpacing"/>
      </w:pPr>
      <w:r>
        <w:rPr>
          <w:b/>
        </w:rPr>
        <w:t>Figure 3.13.</w:t>
      </w:r>
      <w:r w:rsidRPr="0087091F">
        <w:rPr>
          <w:b/>
        </w:rPr>
        <w:t xml:space="preserve"> </w:t>
      </w:r>
      <w:r>
        <w:rPr>
          <w:b/>
        </w:rPr>
        <w:t xml:space="preserve">Multiple enhancer lines label hemocyte subpopulations that display reduced levels of efferocytosis. </w:t>
      </w:r>
    </w:p>
    <w:p w14:paraId="30444CC0" w14:textId="10A12EE1" w:rsidR="004B5501" w:rsidRDefault="004B5501" w:rsidP="004B5501">
      <w:pPr>
        <w:pStyle w:val="NoSpacing"/>
      </w:pPr>
      <w:r w:rsidRPr="00FD4E43">
        <w:t>(A</w:t>
      </w:r>
      <w:r>
        <w:t>-E) Representative stills of enhancer positive cells with visible vacuoles. Scale bars represent 20µm. (A) Representative stills of positive control (</w:t>
      </w:r>
      <w:r>
        <w:rPr>
          <w:i/>
        </w:rPr>
        <w:t>w;UAS-stinger/Srp-GAL4)</w:t>
      </w:r>
      <w:r>
        <w:t xml:space="preserve"> hemocytes, VT32897</w:t>
      </w:r>
      <w:r w:rsidRPr="00E815EF">
        <w:t xml:space="preserve"> (</w:t>
      </w:r>
      <w:r w:rsidRPr="00E815EF">
        <w:rPr>
          <w:i/>
        </w:rPr>
        <w:t>w;UAS-stinger;VT32897-GAL4)</w:t>
      </w:r>
      <w:r>
        <w:t xml:space="preserve">, VT57089 </w:t>
      </w:r>
      <w:r w:rsidRPr="00E815EF">
        <w:t>(</w:t>
      </w:r>
      <w:r w:rsidRPr="00E815EF">
        <w:rPr>
          <w:i/>
        </w:rPr>
        <w:t>w;UAS-stinger</w:t>
      </w:r>
      <w:r>
        <w:rPr>
          <w:i/>
        </w:rPr>
        <w:t>;VT57089</w:t>
      </w:r>
      <w:r w:rsidRPr="00E815EF">
        <w:rPr>
          <w:i/>
        </w:rPr>
        <w:t>-GAL4)</w:t>
      </w:r>
      <w:r>
        <w:t xml:space="preserve">, VT17559 </w:t>
      </w:r>
      <w:r w:rsidRPr="00E815EF">
        <w:t>(</w:t>
      </w:r>
      <w:r w:rsidRPr="00E815EF">
        <w:rPr>
          <w:i/>
        </w:rPr>
        <w:t>w;UAS-stinger</w:t>
      </w:r>
      <w:r>
        <w:rPr>
          <w:i/>
        </w:rPr>
        <w:t>;VT175599</w:t>
      </w:r>
      <w:r w:rsidRPr="00E815EF">
        <w:rPr>
          <w:i/>
        </w:rPr>
        <w:t>-GAL4)</w:t>
      </w:r>
      <w:r>
        <w:rPr>
          <w:i/>
        </w:rPr>
        <w:t>,</w:t>
      </w:r>
      <w:r>
        <w:t xml:space="preserve"> VT62766 </w:t>
      </w:r>
      <w:r w:rsidRPr="00E815EF">
        <w:t>(</w:t>
      </w:r>
      <w:r w:rsidRPr="00E815EF">
        <w:rPr>
          <w:i/>
        </w:rPr>
        <w:t>w;UAS-stinger</w:t>
      </w:r>
      <w:r>
        <w:rPr>
          <w:i/>
        </w:rPr>
        <w:t>;VT62766</w:t>
      </w:r>
      <w:r w:rsidRPr="00E815EF">
        <w:rPr>
          <w:i/>
        </w:rPr>
        <w:t>-GAL4)</w:t>
      </w:r>
      <w:r w:rsidRPr="00E815EF">
        <w:t>.</w:t>
      </w:r>
      <w:r>
        <w:t xml:space="preserve"> (B) Zoomed images of (A) with red asterisks indicating vacuoles within hemocytes. Scale bar represents 5μm. (C) Scatterplot of the embryo average number of vacuoles per hemocyte. One-way ANOVA with Dunnett’s multiple comparisons test, **p&lt;0.01, ***p&lt;0.001, VT32897 = 0.9896, n = 76, 12, 29, 10 and 31 embryos for control, VT32897, VT57089, VT17559 and VT62766 respectively.</w:t>
      </w:r>
    </w:p>
    <w:p w14:paraId="36DC36C0" w14:textId="5303BE58" w:rsidR="004B5501" w:rsidRDefault="004B5501" w:rsidP="004B5501">
      <w:pPr>
        <w:pStyle w:val="Heading3"/>
        <w:spacing w:line="360" w:lineRule="auto"/>
      </w:pPr>
      <w:bookmarkStart w:id="153" w:name="_Toc4589327"/>
      <w:r>
        <w:lastRenderedPageBreak/>
        <w:t>3.2.1</w:t>
      </w:r>
      <w:r w:rsidR="0054108A">
        <w:t>1</w:t>
      </w:r>
      <w:r>
        <w:t xml:space="preserve"> Potential genes under control of our enhancers</w:t>
      </w:r>
      <w:bookmarkEnd w:id="153"/>
    </w:p>
    <w:p w14:paraId="392D2C0E" w14:textId="77777777" w:rsidR="004B5501" w:rsidRPr="00893800" w:rsidRDefault="004B5501" w:rsidP="004B5501"/>
    <w:p w14:paraId="14FFF9CB" w14:textId="77777777" w:rsidR="004B5501" w:rsidRDefault="004B5501" w:rsidP="004B5501">
      <w:pPr>
        <w:pStyle w:val="Thesisnormal"/>
      </w:pPr>
      <w:r>
        <w:t xml:space="preserve">Having demonstrated that the VT enhancer library lines robustly-labelled subpopulations of functionally-distinct hemocytes, we wished to investigate the potential genes being controlled. To do this, we utilised the G-browse function in Flybase (version </w:t>
      </w:r>
      <w:r>
        <w:rPr>
          <w:rStyle w:val="st"/>
        </w:rPr>
        <w:t>FB2018_06</w:t>
      </w:r>
      <w:r>
        <w:t>) to determine the nearest genes to the enhancer sites. In lieu of any data suggesting which genes the enhancers may be controlling, we took these genes as the most likely candidates to be controlled by the enhancer. To refine this list, we searched the literature for each potential gene for evidence of a role in hemocyte or macrophage function, specifically in relation to macrophage polarisation. This resulted in a list of candidate genes for further investigation (T</w:t>
      </w:r>
      <w:r w:rsidRPr="00914B26">
        <w:t xml:space="preserve">able </w:t>
      </w:r>
      <w:r>
        <w:t>3.2).</w:t>
      </w:r>
    </w:p>
    <w:p w14:paraId="3B1E9905" w14:textId="77777777" w:rsidR="004B5501" w:rsidRPr="00F47A98" w:rsidRDefault="004B5501" w:rsidP="004B5501">
      <w:pPr>
        <w:pStyle w:val="NoSpacing"/>
        <w:spacing w:line="360" w:lineRule="auto"/>
        <w:rPr>
          <w:b/>
        </w:rPr>
      </w:pPr>
    </w:p>
    <w:tbl>
      <w:tblPr>
        <w:tblW w:w="9016"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255"/>
        <w:gridCol w:w="1062"/>
        <w:gridCol w:w="2453"/>
        <w:gridCol w:w="1281"/>
        <w:gridCol w:w="1716"/>
        <w:gridCol w:w="1249"/>
      </w:tblGrid>
      <w:tr w:rsidR="004B5501" w:rsidRPr="00035F13" w14:paraId="19667BA2" w14:textId="77777777" w:rsidTr="00C220ED">
        <w:trPr>
          <w:trHeight w:val="219"/>
        </w:trPr>
        <w:tc>
          <w:tcPr>
            <w:tcW w:w="9016" w:type="dxa"/>
            <w:gridSpan w:val="6"/>
            <w:vAlign w:val="center"/>
          </w:tcPr>
          <w:p w14:paraId="1FE1181B" w14:textId="77777777" w:rsidR="004B5501" w:rsidRPr="00673EDB" w:rsidRDefault="004B5501" w:rsidP="000A0B44">
            <w:pPr>
              <w:jc w:val="center"/>
              <w:rPr>
                <w:b/>
                <w:bCs/>
                <w:u w:val="single"/>
              </w:rPr>
            </w:pPr>
            <w:r w:rsidRPr="00673EDB">
              <w:rPr>
                <w:b/>
                <w:u w:val="single"/>
              </w:rPr>
              <w:t>Table 3.</w:t>
            </w:r>
            <w:r>
              <w:rPr>
                <w:b/>
                <w:u w:val="single"/>
              </w:rPr>
              <w:t>2</w:t>
            </w:r>
            <w:r w:rsidRPr="00673EDB">
              <w:rPr>
                <w:b/>
                <w:u w:val="single"/>
              </w:rPr>
              <w:t xml:space="preserve"> Potential genes being controlled by our enhancers</w:t>
            </w:r>
          </w:p>
        </w:tc>
      </w:tr>
      <w:tr w:rsidR="004B5501" w:rsidRPr="00035F13" w14:paraId="6534AAEF" w14:textId="77777777" w:rsidTr="00C220ED">
        <w:trPr>
          <w:trHeight w:val="1135"/>
        </w:trPr>
        <w:tc>
          <w:tcPr>
            <w:tcW w:w="1255" w:type="dxa"/>
            <w:vAlign w:val="center"/>
            <w:hideMark/>
          </w:tcPr>
          <w:p w14:paraId="0BA1B5B2" w14:textId="77777777" w:rsidR="004B5501" w:rsidRPr="00035F13" w:rsidRDefault="004B5501" w:rsidP="000A0B44">
            <w:pPr>
              <w:spacing w:after="200" w:line="276" w:lineRule="auto"/>
              <w:jc w:val="center"/>
              <w:rPr>
                <w:u w:val="single"/>
              </w:rPr>
            </w:pPr>
            <w:r w:rsidRPr="00035F13">
              <w:rPr>
                <w:b/>
                <w:bCs/>
                <w:u w:val="single"/>
              </w:rPr>
              <w:t>Enhancer</w:t>
            </w:r>
          </w:p>
        </w:tc>
        <w:tc>
          <w:tcPr>
            <w:tcW w:w="1062" w:type="dxa"/>
            <w:vAlign w:val="center"/>
            <w:hideMark/>
          </w:tcPr>
          <w:p w14:paraId="55C417D9" w14:textId="77777777" w:rsidR="004B5501" w:rsidRPr="00035F13" w:rsidRDefault="004B5501" w:rsidP="000A0B44">
            <w:pPr>
              <w:spacing w:after="200" w:line="276" w:lineRule="auto"/>
              <w:jc w:val="center"/>
              <w:rPr>
                <w:u w:val="single"/>
              </w:rPr>
            </w:pPr>
            <w:r w:rsidRPr="00035F13">
              <w:rPr>
                <w:b/>
                <w:bCs/>
                <w:u w:val="single"/>
              </w:rPr>
              <w:t>Possible gene</w:t>
            </w:r>
          </w:p>
        </w:tc>
        <w:tc>
          <w:tcPr>
            <w:tcW w:w="2453" w:type="dxa"/>
            <w:vAlign w:val="center"/>
            <w:hideMark/>
          </w:tcPr>
          <w:p w14:paraId="5ED3C3C9" w14:textId="77777777" w:rsidR="004B5501" w:rsidRPr="00035F13" w:rsidRDefault="004B5501" w:rsidP="000A0B44">
            <w:pPr>
              <w:spacing w:after="200" w:line="276" w:lineRule="auto"/>
              <w:jc w:val="center"/>
              <w:rPr>
                <w:u w:val="single"/>
              </w:rPr>
            </w:pPr>
            <w:r w:rsidRPr="00035F13">
              <w:rPr>
                <w:b/>
                <w:bCs/>
                <w:u w:val="single"/>
              </w:rPr>
              <w:t>Function</w:t>
            </w:r>
          </w:p>
        </w:tc>
        <w:tc>
          <w:tcPr>
            <w:tcW w:w="1281" w:type="dxa"/>
            <w:vAlign w:val="center"/>
            <w:hideMark/>
          </w:tcPr>
          <w:p w14:paraId="7D0ADBB2" w14:textId="77777777" w:rsidR="004B5501" w:rsidRPr="00035F13" w:rsidRDefault="004B5501" w:rsidP="000A0B44">
            <w:pPr>
              <w:spacing w:after="200" w:line="276" w:lineRule="auto"/>
              <w:jc w:val="center"/>
              <w:rPr>
                <w:u w:val="single"/>
              </w:rPr>
            </w:pPr>
            <w:r w:rsidRPr="00035F13">
              <w:rPr>
                <w:b/>
                <w:bCs/>
                <w:u w:val="single"/>
              </w:rPr>
              <w:t>M1 or M2 based on our data</w:t>
            </w:r>
          </w:p>
        </w:tc>
        <w:tc>
          <w:tcPr>
            <w:tcW w:w="1716" w:type="dxa"/>
            <w:vAlign w:val="center"/>
            <w:hideMark/>
          </w:tcPr>
          <w:p w14:paraId="249B282A" w14:textId="77777777" w:rsidR="004B5501" w:rsidRPr="00035F13" w:rsidRDefault="004B5501" w:rsidP="000A0B44">
            <w:pPr>
              <w:spacing w:after="200" w:line="276" w:lineRule="auto"/>
              <w:jc w:val="center"/>
              <w:rPr>
                <w:u w:val="single"/>
              </w:rPr>
            </w:pPr>
            <w:r w:rsidRPr="00035F13">
              <w:rPr>
                <w:b/>
                <w:bCs/>
                <w:u w:val="single"/>
              </w:rPr>
              <w:t>Literature</w:t>
            </w:r>
            <w:r>
              <w:rPr>
                <w:b/>
                <w:bCs/>
                <w:u w:val="single"/>
              </w:rPr>
              <w:t>:</w:t>
            </w:r>
            <w:r w:rsidRPr="00035F13">
              <w:rPr>
                <w:b/>
                <w:bCs/>
                <w:u w:val="single"/>
              </w:rPr>
              <w:t xml:space="preserve"> M1 or M2</w:t>
            </w:r>
          </w:p>
        </w:tc>
        <w:tc>
          <w:tcPr>
            <w:tcW w:w="1249" w:type="dxa"/>
            <w:vAlign w:val="center"/>
          </w:tcPr>
          <w:p w14:paraId="6F608755" w14:textId="77777777" w:rsidR="004B5501" w:rsidRPr="00035F13" w:rsidRDefault="004B5501" w:rsidP="000A0B44">
            <w:pPr>
              <w:jc w:val="center"/>
              <w:rPr>
                <w:b/>
                <w:bCs/>
                <w:u w:val="single"/>
              </w:rPr>
            </w:pPr>
            <w:r>
              <w:rPr>
                <w:b/>
                <w:bCs/>
                <w:u w:val="single"/>
              </w:rPr>
              <w:t>Reference</w:t>
            </w:r>
          </w:p>
        </w:tc>
      </w:tr>
      <w:tr w:rsidR="004B5501" w:rsidRPr="00035F13" w14:paraId="3FDDAF39" w14:textId="77777777" w:rsidTr="00C220ED">
        <w:trPr>
          <w:trHeight w:val="1213"/>
        </w:trPr>
        <w:tc>
          <w:tcPr>
            <w:tcW w:w="1255" w:type="dxa"/>
            <w:vMerge w:val="restart"/>
            <w:vAlign w:val="center"/>
            <w:hideMark/>
          </w:tcPr>
          <w:p w14:paraId="308E71C2" w14:textId="77777777" w:rsidR="004B5501" w:rsidRPr="00035F13" w:rsidRDefault="004B5501" w:rsidP="000A0B44">
            <w:pPr>
              <w:spacing w:after="200" w:line="276" w:lineRule="auto"/>
              <w:jc w:val="center"/>
            </w:pPr>
            <w:r w:rsidRPr="00035F13">
              <w:t>VT62766</w:t>
            </w:r>
          </w:p>
        </w:tc>
        <w:tc>
          <w:tcPr>
            <w:tcW w:w="1062" w:type="dxa"/>
            <w:vAlign w:val="center"/>
            <w:hideMark/>
          </w:tcPr>
          <w:p w14:paraId="63AEFEA2" w14:textId="77777777" w:rsidR="004B5501" w:rsidRPr="00105213" w:rsidRDefault="004B5501" w:rsidP="000A0B44">
            <w:pPr>
              <w:spacing w:after="200" w:line="276" w:lineRule="auto"/>
              <w:jc w:val="center"/>
              <w:rPr>
                <w:i/>
              </w:rPr>
            </w:pPr>
            <w:r w:rsidRPr="00105213">
              <w:rPr>
                <w:i/>
              </w:rPr>
              <w:t>para</w:t>
            </w:r>
          </w:p>
        </w:tc>
        <w:tc>
          <w:tcPr>
            <w:tcW w:w="2453" w:type="dxa"/>
            <w:vAlign w:val="center"/>
            <w:hideMark/>
          </w:tcPr>
          <w:p w14:paraId="4B6B80EA" w14:textId="77777777" w:rsidR="004B5501" w:rsidRPr="00035F13" w:rsidRDefault="004B5501" w:rsidP="000A0B44">
            <w:pPr>
              <w:spacing w:after="200" w:line="276" w:lineRule="auto"/>
              <w:jc w:val="center"/>
            </w:pPr>
            <w:r w:rsidRPr="00035F13">
              <w:t>Mediates voltage-dependent sodium ion permeability of membranes. Possible calcium ion binding activity</w:t>
            </w:r>
          </w:p>
        </w:tc>
        <w:tc>
          <w:tcPr>
            <w:tcW w:w="1281" w:type="dxa"/>
            <w:vMerge w:val="restart"/>
            <w:vAlign w:val="center"/>
            <w:hideMark/>
          </w:tcPr>
          <w:p w14:paraId="763D78B5" w14:textId="77777777" w:rsidR="004B5501" w:rsidRPr="00035F13" w:rsidRDefault="004B5501" w:rsidP="000A0B44">
            <w:pPr>
              <w:spacing w:after="200" w:line="276" w:lineRule="auto"/>
              <w:jc w:val="center"/>
            </w:pPr>
            <w:r w:rsidRPr="00035F13">
              <w:t>M1</w:t>
            </w:r>
          </w:p>
        </w:tc>
        <w:tc>
          <w:tcPr>
            <w:tcW w:w="1716" w:type="dxa"/>
            <w:vAlign w:val="center"/>
            <w:hideMark/>
          </w:tcPr>
          <w:p w14:paraId="2F4CA094" w14:textId="77777777" w:rsidR="004B5501" w:rsidRPr="00035F13" w:rsidRDefault="004B5501" w:rsidP="000A0B44">
            <w:pPr>
              <w:spacing w:after="200" w:line="276" w:lineRule="auto"/>
              <w:jc w:val="center"/>
            </w:pPr>
            <w:r w:rsidRPr="00035F13">
              <w:t>?</w:t>
            </w:r>
          </w:p>
        </w:tc>
        <w:tc>
          <w:tcPr>
            <w:tcW w:w="1249" w:type="dxa"/>
            <w:vAlign w:val="center"/>
          </w:tcPr>
          <w:p w14:paraId="29B92C1A" w14:textId="77777777" w:rsidR="004B5501" w:rsidRPr="00035F13" w:rsidRDefault="004B5501" w:rsidP="000A0B44">
            <w:pPr>
              <w:jc w:val="center"/>
            </w:pPr>
          </w:p>
        </w:tc>
      </w:tr>
      <w:tr w:rsidR="004B5501" w:rsidRPr="00035F13" w14:paraId="27DCA0FB" w14:textId="77777777" w:rsidTr="00C220ED">
        <w:trPr>
          <w:trHeight w:val="716"/>
        </w:trPr>
        <w:tc>
          <w:tcPr>
            <w:tcW w:w="1255" w:type="dxa"/>
            <w:vMerge/>
            <w:vAlign w:val="center"/>
            <w:hideMark/>
          </w:tcPr>
          <w:p w14:paraId="3697E604" w14:textId="77777777" w:rsidR="004B5501" w:rsidRPr="00035F13" w:rsidRDefault="004B5501" w:rsidP="000A0B44">
            <w:pPr>
              <w:spacing w:after="200" w:line="276" w:lineRule="auto"/>
              <w:jc w:val="center"/>
            </w:pPr>
          </w:p>
        </w:tc>
        <w:tc>
          <w:tcPr>
            <w:tcW w:w="1062" w:type="dxa"/>
            <w:vAlign w:val="center"/>
            <w:hideMark/>
          </w:tcPr>
          <w:p w14:paraId="7C5FE5CA" w14:textId="77777777" w:rsidR="004B5501" w:rsidRPr="00105213" w:rsidRDefault="004B5501" w:rsidP="000A0B44">
            <w:pPr>
              <w:spacing w:after="200" w:line="276" w:lineRule="auto"/>
              <w:jc w:val="center"/>
              <w:rPr>
                <w:i/>
              </w:rPr>
            </w:pPr>
            <w:r w:rsidRPr="00105213">
              <w:rPr>
                <w:i/>
              </w:rPr>
              <w:t>Cnx14-D</w:t>
            </w:r>
          </w:p>
        </w:tc>
        <w:tc>
          <w:tcPr>
            <w:tcW w:w="2453" w:type="dxa"/>
            <w:vAlign w:val="center"/>
            <w:hideMark/>
          </w:tcPr>
          <w:p w14:paraId="05FF7B62" w14:textId="77777777" w:rsidR="004B5501" w:rsidRPr="00035F13" w:rsidRDefault="004B5501" w:rsidP="000A0B44">
            <w:pPr>
              <w:spacing w:after="200" w:line="276" w:lineRule="auto"/>
              <w:jc w:val="center"/>
            </w:pPr>
            <w:r w:rsidRPr="00035F13">
              <w:t>Calcium ion binding</w:t>
            </w:r>
          </w:p>
        </w:tc>
        <w:tc>
          <w:tcPr>
            <w:tcW w:w="1281" w:type="dxa"/>
            <w:vMerge/>
            <w:vAlign w:val="center"/>
            <w:hideMark/>
          </w:tcPr>
          <w:p w14:paraId="352D21F7" w14:textId="77777777" w:rsidR="004B5501" w:rsidRPr="00035F13" w:rsidRDefault="004B5501" w:rsidP="000A0B44">
            <w:pPr>
              <w:spacing w:after="200" w:line="276" w:lineRule="auto"/>
              <w:jc w:val="center"/>
            </w:pPr>
          </w:p>
        </w:tc>
        <w:tc>
          <w:tcPr>
            <w:tcW w:w="1716" w:type="dxa"/>
            <w:vAlign w:val="center"/>
            <w:hideMark/>
          </w:tcPr>
          <w:p w14:paraId="1F7CBF86" w14:textId="77777777" w:rsidR="004B5501" w:rsidRPr="00035F13" w:rsidRDefault="004B5501" w:rsidP="000A0B44">
            <w:pPr>
              <w:spacing w:after="200" w:line="276" w:lineRule="auto"/>
              <w:jc w:val="center"/>
            </w:pPr>
            <w:r w:rsidRPr="00035F13">
              <w:t>?</w:t>
            </w:r>
          </w:p>
        </w:tc>
        <w:tc>
          <w:tcPr>
            <w:tcW w:w="1249" w:type="dxa"/>
            <w:vAlign w:val="center"/>
          </w:tcPr>
          <w:p w14:paraId="0FCC3367" w14:textId="77777777" w:rsidR="004B5501" w:rsidRPr="00035F13" w:rsidRDefault="004B5501" w:rsidP="000A0B44">
            <w:pPr>
              <w:jc w:val="center"/>
            </w:pPr>
          </w:p>
        </w:tc>
      </w:tr>
      <w:tr w:rsidR="004B5501" w:rsidRPr="00035F13" w14:paraId="72AE6657" w14:textId="77777777" w:rsidTr="00C220ED">
        <w:trPr>
          <w:trHeight w:val="1142"/>
        </w:trPr>
        <w:tc>
          <w:tcPr>
            <w:tcW w:w="1255" w:type="dxa"/>
            <w:vAlign w:val="center"/>
            <w:hideMark/>
          </w:tcPr>
          <w:p w14:paraId="56187741" w14:textId="77777777" w:rsidR="004B5501" w:rsidRPr="00035F13" w:rsidRDefault="004B5501" w:rsidP="000A0B44">
            <w:pPr>
              <w:spacing w:after="200" w:line="276" w:lineRule="auto"/>
              <w:jc w:val="center"/>
            </w:pPr>
            <w:r w:rsidRPr="00035F13">
              <w:t>VT17559</w:t>
            </w:r>
          </w:p>
        </w:tc>
        <w:tc>
          <w:tcPr>
            <w:tcW w:w="1062" w:type="dxa"/>
            <w:vAlign w:val="center"/>
            <w:hideMark/>
          </w:tcPr>
          <w:p w14:paraId="03A3C9B1" w14:textId="77777777" w:rsidR="004B5501" w:rsidRPr="00105213" w:rsidRDefault="004B5501" w:rsidP="000A0B44">
            <w:pPr>
              <w:spacing w:after="200" w:line="276" w:lineRule="auto"/>
              <w:jc w:val="center"/>
              <w:rPr>
                <w:i/>
              </w:rPr>
            </w:pPr>
            <w:r w:rsidRPr="00105213">
              <w:rPr>
                <w:i/>
              </w:rPr>
              <w:t>Lis-1</w:t>
            </w:r>
          </w:p>
        </w:tc>
        <w:tc>
          <w:tcPr>
            <w:tcW w:w="2453" w:type="dxa"/>
            <w:vAlign w:val="center"/>
            <w:hideMark/>
          </w:tcPr>
          <w:p w14:paraId="3D7D2CF2" w14:textId="77777777" w:rsidR="004B5501" w:rsidRPr="00035F13" w:rsidRDefault="004B5501" w:rsidP="000A0B44">
            <w:pPr>
              <w:spacing w:after="200" w:line="276" w:lineRule="auto"/>
              <w:jc w:val="center"/>
            </w:pPr>
            <w:r w:rsidRPr="00035F13">
              <w:t>Required for several dynein- and microtubule-dependent processes</w:t>
            </w:r>
          </w:p>
        </w:tc>
        <w:tc>
          <w:tcPr>
            <w:tcW w:w="1281" w:type="dxa"/>
            <w:vAlign w:val="center"/>
            <w:hideMark/>
          </w:tcPr>
          <w:p w14:paraId="063208C0" w14:textId="77777777" w:rsidR="004B5501" w:rsidRPr="00035F13" w:rsidRDefault="004B5501" w:rsidP="000A0B44">
            <w:pPr>
              <w:spacing w:after="200" w:line="276" w:lineRule="auto"/>
              <w:jc w:val="center"/>
            </w:pPr>
            <w:r w:rsidRPr="00035F13">
              <w:t>M1</w:t>
            </w:r>
          </w:p>
        </w:tc>
        <w:tc>
          <w:tcPr>
            <w:tcW w:w="1716" w:type="dxa"/>
            <w:vAlign w:val="center"/>
            <w:hideMark/>
          </w:tcPr>
          <w:p w14:paraId="3CACE855" w14:textId="77777777" w:rsidR="00640947" w:rsidRDefault="004B5501" w:rsidP="00640947">
            <w:pPr>
              <w:spacing w:after="200" w:line="276" w:lineRule="auto"/>
              <w:jc w:val="center"/>
            </w:pPr>
            <w:r>
              <w:t xml:space="preserve">? </w:t>
            </w:r>
          </w:p>
          <w:p w14:paraId="48865024" w14:textId="5059C9BD" w:rsidR="004B5501" w:rsidRPr="00035F13" w:rsidRDefault="004B5501" w:rsidP="00640947">
            <w:pPr>
              <w:spacing w:after="200" w:line="276" w:lineRule="auto"/>
              <w:jc w:val="center"/>
            </w:pPr>
            <w:r>
              <w:t>Loss of Lis-1 promotes inflammation</w:t>
            </w:r>
            <w:r w:rsidR="00640947">
              <w:t xml:space="preserve"> but human homologs of Lis-1 are pro-inflammatory</w:t>
            </w:r>
          </w:p>
        </w:tc>
        <w:tc>
          <w:tcPr>
            <w:tcW w:w="1249" w:type="dxa"/>
            <w:vAlign w:val="center"/>
          </w:tcPr>
          <w:p w14:paraId="63BD5D3A" w14:textId="5FBF51F2" w:rsidR="004B5501" w:rsidRPr="00035F13" w:rsidRDefault="004B5501" w:rsidP="00A53A6B">
            <w:pPr>
              <w:jc w:val="center"/>
            </w:pPr>
            <w:r>
              <w:fldChar w:fldCharType="begin"/>
            </w:r>
            <w:r w:rsidR="000A209C">
              <w:instrText xml:space="preserve"> ADDIN ZOTERO_ITEM CSL_CITATION {"citationID":"XKhhTSPm","properties":{"formattedCitation":"(350\\uc0\\u8211{}352)","plainCitation":"(350–352)","noteIndex":0},"citationItems":[{"id":1754,"uris":["http://zotero.org/users/952979/items/G66GQFPM"],"uri":["http://zotero.org/users/952979/items/G66GQFPM"],"itemData":{"id":1754,"type":"article-journal","title":"Hepatic loss of Lissencephaly 1 (Lis1) induces fatty liver and accelerates liver tumorigenesis in mice","container-title":"Journal of Biological Chemistry","page":"5160-5171","volume":"293","issue":"14","source":"www.jbc.org","abstract":"The liver is a major organ in lipid metabolism, and its malfunction leads to various diseases. Nonalcoholic fatty liver disease, the most common chronic liver disorder in developed countries, is characterized by the abnormal retention of excess lipid within hepatocytes and predisposes individuals to liver cancer. We previously reported that the levels of Lissencephaly 1 (LIS1, also known as PAFAH1B1) are down-regulated in human hepatocellular carcinoma. Following up on this observation, we found that genetic deletion of Lis1 in the mouse liver increases lipid accumulation and inflammation in this organ. Further analysis revealed that loss of Lis1 triggers endoplasmic reticulum (ER) stress and reduces triglyceride secretion. Attenuation of ER stress by addition of tauroursodeoxycholic acid (TUDCA) diminished lipid accumulation in the Lis1-deficient hepatocytes. Moreover, the Golgi stacks were disorganized in Lis1-deficient liver cells. Of note, the Lis1 liver-knockout mice exhibited increased hepatocyte ploidy and accelerated development of liver cancer after exposure to the liver carcinogen diethylnitrosamine (DEN). Taken together, these findings suggest that reduced Lis1 levels can spur the development of liver diseases from steatosis to liver cancer and provide a useful model for delineating the molecular pathways that lead to these diseases.","DOI":"10.1074/jbc.RA117.001474","ISSN":"0021-9258, 1083-351X","note":"PMID: 29475944","journalAbbreviation":"J. Biol. Chem.","language":"en","author":[{"family":"Li","given":"Xiaoling"},{"family":"Liu","given":"Liansheng"},{"family":"Li","given":"Ran"},{"family":"Wu","given":"Ailing"},{"family":"Lu","given":"Jinqiu"},{"family":"Wu","given":"Qingzhe"},{"family":"Jia","given":"Junling"},{"family":"Zhao","given":"Mujun"},{"family":"Song","given":"Hai"}],"issued":{"date-parts":[["2018",4,6]]}}},{"id":1753,"uris":["http://zotero.org/users/952979/items/54GWVTBW"],"uri":["http://zotero.org/users/952979/items/54GWVTBW"],"itemData":{"id":1753,"type":"article-journal","title":"Macrophage VLDL receptor promotes PAFAH secretion in mother's milk and suppresses systemic inflammation in nursing neonates","container-title":"Nature Communications","page":"1008","volume":"3","source":"www-nature-com.sheffield.idm.oclc.org","abstract":"Mother's milk is widely accepted as nutritious and protective to the newborn mammals by providing not only macronutrients but also immune-defensive factors. However, the mechanisms accounting for these benefits are not fully understood. Here we show that maternal very-low-density-lipoprotein (VLDL) receptor deletion in mice causes the production of defective milk containing diminished levels of platelet-activating factor acetylhydrolase (PAFAH). As a consequence, the nursing neonates suffer from alopecia, anaemia and growth retardation owing to elevated levels of pro-inflammatory platelet-activating factors. VLDL receptor deletion significantly impairs the expression of phospholipase A2 group 7 (Pla2g7) in macrophages, which decreases PAFAH secretion. Exogenous oral supplementation of neonates with PAFAH effectively rescues the toxicity. These findings not only reveal a novel role of VLDL receptor in suppressing inflammation by maintaining macrophage PAFAH secretion, but also identify the maternal VLDL receptor as a key genetic program that ensures milk quality and protects the newborns.","DOI":"10.1038/ncomms2011","ISSN":"2041-1723","language":"en","author":[{"family":"Du","given":"Yang"},{"family":"Yang","given":"Marie"},{"family":"Wei","given":"Wei"},{"family":"Huynh","given":"Hoang Dinh"},{"family":"Herz","given":"Joachim"},{"family":"Saghatelian","given":"Alan"},{"family":"Wan","given":"Yihong"}],"issued":{"date-parts":[["2012",8,21]]}}},{"id":1741,"uris":["http://zotero.org/users/952979/items/77HB2MQ4"],"uri":["http://zotero.org/users/952979/items/77HB2MQ4"],"itemData":{"id":1741,"type":"article-journal","title":"Platelet-activating factor increases reactive oxygen species-mediated microbicidal activity of human macrophages infected with Leishmania (Viannia) braziliensis","container-title":"Pathogens and Disease","volume":"75","issue":"7","source":"PubMed","abstract":"Platelet-activating factor (PAF) is produced by macrophages during inflammation and infections. We evaluated whether PAF is able to modulate the infection of human macrophages by Leishmania braziliensis, the main Leishmania sp. in Brazil. Monocyte-derived macrophages were incubated with promastigote forms in absence or presence of exogenous PAF. We observed that the treatment of macrophages with low concentrations of PAF prior to infection increased the phagocytosis of L. braziliensis. More importantly, exogenous PAF reduced the parasitism when it was added before, during or after infection. In addition, treatment with a PAF antagonist (PCA 4248) resulted in a significant increase of macrophage infection in a concentration-dependent manner, suggesting that endogenous PAF is important to control L. braziliensis infection. Mechanistically, while exogenous PAF increased production of reactive oxygen species (ROS) treatment with PCA 4248 reduced oxidative burst during L. braziliensis infection. The microbicidal effects of exogenous PAF were abolished when macrophages were treated with apocynin, an NADPH oxidase inhibitor. The data show that PAF promotes the production of ROS induced by L. braziliensis, suggesting that this lipid mediator may be relevant to control L. braziliensis infection in human macrophages.","DOI":"10.1093/femspd/ftx082","ISSN":"2049-632X","note":"PMID: 28830073","journalAbbreviation":"Pathog Dis","language":"eng","author":[{"family":"Borges","given":"Arissa Felipe"},{"family":"Morato","given":"Camila Imai"},{"family":"Gomes","given":"Rodrigo Saar"},{"family":"Dorta","given":"Miriam Leandro"},{"family":"Oliveira","given":"Milton Adriano Pelli","non-dropping-particle":"de"},{"family":"Ribeiro-Dias","given":"Fátima"}],"issued":{"date-parts":[["2017"]],"season":"29"}}}],"schema":"https://github.com/citation-style-language/schema/raw/master/csl-citation.json"} </w:instrText>
            </w:r>
            <w:r>
              <w:fldChar w:fldCharType="separate"/>
            </w:r>
            <w:r w:rsidR="00A53A6B" w:rsidRPr="00A53A6B">
              <w:rPr>
                <w:rFonts w:ascii="Calibri" w:hAnsi="Calibri" w:cs="Times New Roman"/>
                <w:szCs w:val="24"/>
              </w:rPr>
              <w:t>(350–352)</w:t>
            </w:r>
            <w:r>
              <w:fldChar w:fldCharType="end"/>
            </w:r>
          </w:p>
        </w:tc>
      </w:tr>
      <w:tr w:rsidR="004B5501" w:rsidRPr="00035F13" w14:paraId="74B2219A" w14:textId="77777777" w:rsidTr="00C220ED">
        <w:trPr>
          <w:trHeight w:val="1139"/>
        </w:trPr>
        <w:tc>
          <w:tcPr>
            <w:tcW w:w="1255" w:type="dxa"/>
            <w:vMerge w:val="restart"/>
            <w:vAlign w:val="center"/>
            <w:hideMark/>
          </w:tcPr>
          <w:p w14:paraId="27990381" w14:textId="77777777" w:rsidR="004B5501" w:rsidRPr="00035F13" w:rsidRDefault="004B5501" w:rsidP="000A0B44">
            <w:pPr>
              <w:spacing w:after="200" w:line="276" w:lineRule="auto"/>
              <w:jc w:val="center"/>
            </w:pPr>
            <w:r w:rsidRPr="00035F13">
              <w:t>VT57089</w:t>
            </w:r>
          </w:p>
        </w:tc>
        <w:tc>
          <w:tcPr>
            <w:tcW w:w="1062" w:type="dxa"/>
            <w:vAlign w:val="center"/>
            <w:hideMark/>
          </w:tcPr>
          <w:p w14:paraId="342834EB" w14:textId="77777777" w:rsidR="004B5501" w:rsidRPr="00105213" w:rsidRDefault="004B5501" w:rsidP="000A0B44">
            <w:pPr>
              <w:spacing w:after="200" w:line="276" w:lineRule="auto"/>
              <w:jc w:val="center"/>
              <w:rPr>
                <w:i/>
              </w:rPr>
            </w:pPr>
            <w:r w:rsidRPr="00105213">
              <w:rPr>
                <w:i/>
              </w:rPr>
              <w:t>ovo</w:t>
            </w:r>
          </w:p>
        </w:tc>
        <w:tc>
          <w:tcPr>
            <w:tcW w:w="2453" w:type="dxa"/>
            <w:vAlign w:val="center"/>
            <w:hideMark/>
          </w:tcPr>
          <w:p w14:paraId="0582F909" w14:textId="77777777" w:rsidR="004B5501" w:rsidRPr="00035F13" w:rsidRDefault="004B5501" w:rsidP="000A0B44">
            <w:pPr>
              <w:spacing w:after="200" w:line="276" w:lineRule="auto"/>
              <w:jc w:val="center"/>
            </w:pPr>
            <w:r w:rsidRPr="00035F13">
              <w:t>Required for the survival and differentiation of female germline cells</w:t>
            </w:r>
          </w:p>
        </w:tc>
        <w:tc>
          <w:tcPr>
            <w:tcW w:w="1281" w:type="dxa"/>
            <w:vMerge w:val="restart"/>
            <w:vAlign w:val="center"/>
            <w:hideMark/>
          </w:tcPr>
          <w:p w14:paraId="0C9883B2" w14:textId="77777777" w:rsidR="004B5501" w:rsidRPr="00035F13" w:rsidRDefault="004B5501" w:rsidP="000A0B44">
            <w:pPr>
              <w:spacing w:after="200" w:line="276" w:lineRule="auto"/>
              <w:jc w:val="center"/>
            </w:pPr>
            <w:r w:rsidRPr="00035F13">
              <w:t>M2?</w:t>
            </w:r>
          </w:p>
        </w:tc>
        <w:tc>
          <w:tcPr>
            <w:tcW w:w="1716" w:type="dxa"/>
            <w:vAlign w:val="center"/>
            <w:hideMark/>
          </w:tcPr>
          <w:p w14:paraId="52010AB2" w14:textId="77777777" w:rsidR="004B5501" w:rsidRPr="00035F13" w:rsidRDefault="004B5501" w:rsidP="000A0B44">
            <w:pPr>
              <w:spacing w:after="200" w:line="276" w:lineRule="auto"/>
              <w:jc w:val="center"/>
            </w:pPr>
            <w:r>
              <w:t>?</w:t>
            </w:r>
          </w:p>
        </w:tc>
        <w:tc>
          <w:tcPr>
            <w:tcW w:w="1249" w:type="dxa"/>
            <w:vAlign w:val="center"/>
          </w:tcPr>
          <w:p w14:paraId="0D043000" w14:textId="77777777" w:rsidR="004B5501" w:rsidRPr="00035F13" w:rsidRDefault="004B5501" w:rsidP="000A0B44">
            <w:pPr>
              <w:jc w:val="center"/>
            </w:pPr>
          </w:p>
        </w:tc>
      </w:tr>
      <w:tr w:rsidR="004B5501" w:rsidRPr="00035F13" w14:paraId="2701D37C" w14:textId="77777777" w:rsidTr="00C220ED">
        <w:trPr>
          <w:trHeight w:val="1453"/>
        </w:trPr>
        <w:tc>
          <w:tcPr>
            <w:tcW w:w="1255" w:type="dxa"/>
            <w:vMerge/>
            <w:vAlign w:val="center"/>
            <w:hideMark/>
          </w:tcPr>
          <w:p w14:paraId="70BFF439" w14:textId="77777777" w:rsidR="004B5501" w:rsidRPr="00035F13" w:rsidRDefault="004B5501" w:rsidP="000A0B44">
            <w:pPr>
              <w:spacing w:after="200" w:line="276" w:lineRule="auto"/>
              <w:jc w:val="center"/>
            </w:pPr>
          </w:p>
        </w:tc>
        <w:tc>
          <w:tcPr>
            <w:tcW w:w="1062" w:type="dxa"/>
            <w:vAlign w:val="center"/>
            <w:hideMark/>
          </w:tcPr>
          <w:p w14:paraId="0F092279" w14:textId="77777777" w:rsidR="004B5501" w:rsidRPr="00105213" w:rsidRDefault="004B5501" w:rsidP="000A0B44">
            <w:pPr>
              <w:spacing w:after="200" w:line="276" w:lineRule="auto"/>
              <w:jc w:val="center"/>
              <w:rPr>
                <w:i/>
              </w:rPr>
            </w:pPr>
            <w:r w:rsidRPr="00105213">
              <w:rPr>
                <w:i/>
                <w:lang w:val="fr-FR"/>
              </w:rPr>
              <w:t>CG32767</w:t>
            </w:r>
          </w:p>
        </w:tc>
        <w:tc>
          <w:tcPr>
            <w:tcW w:w="2453" w:type="dxa"/>
            <w:vAlign w:val="center"/>
            <w:hideMark/>
          </w:tcPr>
          <w:p w14:paraId="6C7C47DB" w14:textId="77777777" w:rsidR="004B5501" w:rsidRPr="00035F13" w:rsidRDefault="004B5501" w:rsidP="000A0B44">
            <w:pPr>
              <w:spacing w:after="200" w:line="276" w:lineRule="auto"/>
              <w:jc w:val="center"/>
            </w:pPr>
            <w:r>
              <w:t>M</w:t>
            </w:r>
            <w:r w:rsidRPr="00035F13">
              <w:t>etal ion binding, nucleic acid binding. Zinc finger transcription factor?</w:t>
            </w:r>
          </w:p>
        </w:tc>
        <w:tc>
          <w:tcPr>
            <w:tcW w:w="1281" w:type="dxa"/>
            <w:vMerge/>
            <w:vAlign w:val="center"/>
            <w:hideMark/>
          </w:tcPr>
          <w:p w14:paraId="76DD9CD5" w14:textId="77777777" w:rsidR="004B5501" w:rsidRPr="00035F13" w:rsidRDefault="004B5501" w:rsidP="000A0B44">
            <w:pPr>
              <w:spacing w:after="200" w:line="276" w:lineRule="auto"/>
              <w:jc w:val="center"/>
            </w:pPr>
          </w:p>
        </w:tc>
        <w:tc>
          <w:tcPr>
            <w:tcW w:w="1716" w:type="dxa"/>
            <w:vAlign w:val="center"/>
            <w:hideMark/>
          </w:tcPr>
          <w:p w14:paraId="2ED69662" w14:textId="77777777" w:rsidR="004B5501" w:rsidRPr="00035F13" w:rsidRDefault="004B5501" w:rsidP="000A0B44">
            <w:pPr>
              <w:spacing w:after="200" w:line="276" w:lineRule="auto"/>
              <w:jc w:val="center"/>
            </w:pPr>
            <w:r>
              <w:t>M2? Overexpression reduces inflammatory markers</w:t>
            </w:r>
          </w:p>
        </w:tc>
        <w:tc>
          <w:tcPr>
            <w:tcW w:w="1249" w:type="dxa"/>
            <w:vAlign w:val="center"/>
          </w:tcPr>
          <w:p w14:paraId="795402F1" w14:textId="3EB02DF0" w:rsidR="004B5501" w:rsidRPr="00035F13" w:rsidRDefault="004B5501" w:rsidP="000A0B44">
            <w:pPr>
              <w:jc w:val="center"/>
            </w:pPr>
            <w:r>
              <w:fldChar w:fldCharType="begin"/>
            </w:r>
            <w:r w:rsidR="000A209C">
              <w:instrText xml:space="preserve"> ADDIN ZOTERO_ITEM CSL_CITATION {"citationID":"aSrXvs6X","properties":{"formattedCitation":"(353)","plainCitation":"(353)","noteIndex":0},"citationItems":[{"id":1752,"uris":["http://zotero.org/users/952979/items/A5NCU7WZ"],"uri":["http://zotero.org/users/952979/items/A5NCU7WZ"],"itemData":{"id":1752,"type":"article-journal","title":"JAZF1 Inhibits Adipose Tissue Macrophages and Adipose Tissue Inflammation in Diet-Induced Diabetic Mice","container-title":"BioMed Research International","volume":"2018","source":"PubMed Central","abstract":"Background\n Juxtaposed with another zinc finger gene 1 (JAZF1) affects gluconeogenesis, insulin sensitivity, lipid metabolism, and inflammation, but its exact role in chronic inflammation remains unclear. This study aimed to examine JAZF1 overexpression in vivo on adipose tissue macrophages (ATMs).\n\n Methods\n Mouse models of high-fat diet- (HFD-) induced insulin resistance were induced using C57BL/6J and JAZF1-overexpressing (JAZF1-OX) mice. The mice were randomized (8–10/group) to C57BL/6J mice fed regular diet (RD) (NC group), C57BL/6J mice fed HFD (HF group), JAZF1-OX mice fed RD (NJ group), and JAZF1-OX mice fed HFD (HJ group). Adipose tissue was harvested 12 weeks later. ATMs were evaluated by flow cytometry. Inflammatory markers were evaluated by ELISA.\n\n Results\n JAZF1-OX mice had lower blood lipids, blood glucose, body weight, fat weight, and inflammatory markers compared with HF mice (all P &lt; 0.05). JAZF1 overexpression decreased ATM number and secretion of proinflammatory cytokines. JAZF1 overexpression decreased total CD4+ T cells, active T cells, and memory T cells and increased Treg cells. JAZF1 overexpression downregulated IFN-γ and IL-17 levels and upregulated IL-4 levels. JAZF1 overexpression decreased MHCII, CD40, and CD86 in total ATM, CD11c+ ATM, and CD206+ ATM.\n\n Conclusions\n JAZF1 limits adipose tissue inflammation by limiting macrophage populations and restricting their antigen presentation function.","URL":"https://www.ncbi.nlm.nih.gov/pmc/articles/PMC5885486/","DOI":"10.1155/2018/4507659","ISSN":"2314-6133","note":"PMID: 29765984\nPMCID: PMC5885486","journalAbbreviation":"Biomed Res Int","author":[{"family":"Meng","given":"Fanping"},{"family":"Lin","given":"Yao"},{"family":"Yang","given":"Min"},{"family":"Li","given":"Minyan"},{"family":"Yang","given":"Gangyi"},{"family":"Hao","given":"Po"},{"family":"Li","given":"Ling"}],"issued":{"date-parts":[["2018",3,22]]},"accessed":{"date-parts":[["2019",2,19]]}}}],"schema":"https://github.com/citation-style-language/schema/raw/master/csl-citation.json"} </w:instrText>
            </w:r>
            <w:r>
              <w:fldChar w:fldCharType="separate"/>
            </w:r>
            <w:r w:rsidR="00A53A6B" w:rsidRPr="00A53A6B">
              <w:rPr>
                <w:rFonts w:ascii="Calibri" w:hAnsi="Calibri"/>
              </w:rPr>
              <w:t>(353)</w:t>
            </w:r>
            <w:r>
              <w:fldChar w:fldCharType="end"/>
            </w:r>
          </w:p>
        </w:tc>
      </w:tr>
      <w:tr w:rsidR="004B5501" w:rsidRPr="00035F13" w14:paraId="587FFA13" w14:textId="77777777" w:rsidTr="00C220ED">
        <w:trPr>
          <w:trHeight w:val="1068"/>
        </w:trPr>
        <w:tc>
          <w:tcPr>
            <w:tcW w:w="1255" w:type="dxa"/>
            <w:vMerge w:val="restart"/>
            <w:vAlign w:val="center"/>
            <w:hideMark/>
          </w:tcPr>
          <w:p w14:paraId="0C1B004F" w14:textId="77777777" w:rsidR="004B5501" w:rsidRPr="00035F13" w:rsidRDefault="004B5501" w:rsidP="000A0B44">
            <w:pPr>
              <w:spacing w:after="200" w:line="276" w:lineRule="auto"/>
              <w:jc w:val="center"/>
            </w:pPr>
            <w:r w:rsidRPr="00035F13">
              <w:t>VT32897</w:t>
            </w:r>
          </w:p>
        </w:tc>
        <w:tc>
          <w:tcPr>
            <w:tcW w:w="1062" w:type="dxa"/>
            <w:vAlign w:val="center"/>
            <w:hideMark/>
          </w:tcPr>
          <w:p w14:paraId="02E79C63" w14:textId="77777777" w:rsidR="004B5501" w:rsidRPr="00105213" w:rsidRDefault="004B5501" w:rsidP="000A0B44">
            <w:pPr>
              <w:spacing w:after="200" w:line="276" w:lineRule="auto"/>
              <w:jc w:val="center"/>
              <w:rPr>
                <w:i/>
              </w:rPr>
            </w:pPr>
            <w:r w:rsidRPr="00105213">
              <w:rPr>
                <w:i/>
              </w:rPr>
              <w:t>MYPT-75D</w:t>
            </w:r>
          </w:p>
        </w:tc>
        <w:tc>
          <w:tcPr>
            <w:tcW w:w="2453" w:type="dxa"/>
            <w:vAlign w:val="center"/>
            <w:hideMark/>
          </w:tcPr>
          <w:p w14:paraId="0A673299" w14:textId="77777777" w:rsidR="004B5501" w:rsidRPr="00035F13" w:rsidRDefault="004B5501" w:rsidP="000A0B44">
            <w:pPr>
              <w:spacing w:after="200" w:line="276" w:lineRule="auto"/>
              <w:jc w:val="center"/>
            </w:pPr>
            <w:r>
              <w:t>W</w:t>
            </w:r>
            <w:r w:rsidRPr="00035F13">
              <w:t>ing morphogenesis</w:t>
            </w:r>
          </w:p>
        </w:tc>
        <w:tc>
          <w:tcPr>
            <w:tcW w:w="1281" w:type="dxa"/>
            <w:vMerge w:val="restart"/>
            <w:vAlign w:val="center"/>
            <w:hideMark/>
          </w:tcPr>
          <w:p w14:paraId="340CC6A4" w14:textId="77777777" w:rsidR="004B5501" w:rsidRPr="00035F13" w:rsidRDefault="004B5501" w:rsidP="000A0B44">
            <w:pPr>
              <w:spacing w:after="200" w:line="276" w:lineRule="auto"/>
              <w:jc w:val="center"/>
            </w:pPr>
            <w:r w:rsidRPr="00035F13">
              <w:t>M1</w:t>
            </w:r>
          </w:p>
        </w:tc>
        <w:tc>
          <w:tcPr>
            <w:tcW w:w="1716" w:type="dxa"/>
            <w:vAlign w:val="center"/>
            <w:hideMark/>
          </w:tcPr>
          <w:p w14:paraId="692D4EBE" w14:textId="77777777" w:rsidR="004B5501" w:rsidRPr="00035F13" w:rsidRDefault="004B5501" w:rsidP="000A0B44">
            <w:pPr>
              <w:spacing w:after="200" w:line="276" w:lineRule="auto"/>
              <w:jc w:val="center"/>
            </w:pPr>
            <w:r w:rsidRPr="00035F13">
              <w:t>?</w:t>
            </w:r>
          </w:p>
        </w:tc>
        <w:tc>
          <w:tcPr>
            <w:tcW w:w="1249" w:type="dxa"/>
            <w:vAlign w:val="center"/>
          </w:tcPr>
          <w:p w14:paraId="0A32C36E" w14:textId="77777777" w:rsidR="004B5501" w:rsidRPr="00035F13" w:rsidRDefault="004B5501" w:rsidP="000A0B44">
            <w:pPr>
              <w:jc w:val="center"/>
            </w:pPr>
          </w:p>
        </w:tc>
      </w:tr>
      <w:tr w:rsidR="004B5501" w:rsidRPr="00035F13" w14:paraId="6552D048" w14:textId="77777777" w:rsidTr="00C220ED">
        <w:trPr>
          <w:trHeight w:val="1477"/>
        </w:trPr>
        <w:tc>
          <w:tcPr>
            <w:tcW w:w="1255" w:type="dxa"/>
            <w:vMerge/>
            <w:vAlign w:val="center"/>
            <w:hideMark/>
          </w:tcPr>
          <w:p w14:paraId="40A97DB3" w14:textId="77777777" w:rsidR="004B5501" w:rsidRPr="00035F13" w:rsidRDefault="004B5501" w:rsidP="000A0B44">
            <w:pPr>
              <w:spacing w:after="200" w:line="276" w:lineRule="auto"/>
              <w:jc w:val="center"/>
            </w:pPr>
          </w:p>
        </w:tc>
        <w:tc>
          <w:tcPr>
            <w:tcW w:w="1062" w:type="dxa"/>
            <w:vAlign w:val="center"/>
            <w:hideMark/>
          </w:tcPr>
          <w:p w14:paraId="41480ADA" w14:textId="77777777" w:rsidR="004B5501" w:rsidRPr="00105213" w:rsidRDefault="004B5501" w:rsidP="000A0B44">
            <w:pPr>
              <w:spacing w:after="200" w:line="276" w:lineRule="auto"/>
              <w:jc w:val="center"/>
              <w:rPr>
                <w:i/>
              </w:rPr>
            </w:pPr>
            <w:r w:rsidRPr="00105213">
              <w:rPr>
                <w:i/>
              </w:rPr>
              <w:t>not</w:t>
            </w:r>
          </w:p>
        </w:tc>
        <w:tc>
          <w:tcPr>
            <w:tcW w:w="2453" w:type="dxa"/>
            <w:vAlign w:val="center"/>
            <w:hideMark/>
          </w:tcPr>
          <w:p w14:paraId="03D52A56" w14:textId="77777777" w:rsidR="004B5501" w:rsidRPr="00035F13" w:rsidRDefault="004B5501" w:rsidP="000A0B44">
            <w:pPr>
              <w:spacing w:after="200" w:line="276" w:lineRule="auto"/>
              <w:jc w:val="center"/>
            </w:pPr>
            <w:r>
              <w:t>Glial cell migration. Catalys</w:t>
            </w:r>
            <w:r w:rsidRPr="00035F13">
              <w:t>es deubiquitination of histone H2B</w:t>
            </w:r>
          </w:p>
        </w:tc>
        <w:tc>
          <w:tcPr>
            <w:tcW w:w="1281" w:type="dxa"/>
            <w:vMerge/>
            <w:vAlign w:val="center"/>
            <w:hideMark/>
          </w:tcPr>
          <w:p w14:paraId="23C5D041" w14:textId="77777777" w:rsidR="004B5501" w:rsidRPr="00035F13" w:rsidRDefault="004B5501" w:rsidP="000A0B44">
            <w:pPr>
              <w:spacing w:after="200" w:line="276" w:lineRule="auto"/>
              <w:jc w:val="center"/>
            </w:pPr>
          </w:p>
        </w:tc>
        <w:tc>
          <w:tcPr>
            <w:tcW w:w="1716" w:type="dxa"/>
            <w:vAlign w:val="center"/>
            <w:hideMark/>
          </w:tcPr>
          <w:p w14:paraId="76D30B20" w14:textId="77777777" w:rsidR="004B5501" w:rsidRPr="00035F13" w:rsidRDefault="004B5501" w:rsidP="000A0B44">
            <w:pPr>
              <w:spacing w:after="200" w:line="276" w:lineRule="auto"/>
              <w:jc w:val="center"/>
            </w:pPr>
            <w:r>
              <w:t xml:space="preserve">M2? Downregulation promotes neuronal inflammation </w:t>
            </w:r>
          </w:p>
        </w:tc>
        <w:tc>
          <w:tcPr>
            <w:tcW w:w="1249" w:type="dxa"/>
            <w:vAlign w:val="center"/>
          </w:tcPr>
          <w:p w14:paraId="195ECFB3" w14:textId="2F0019D5" w:rsidR="004B5501" w:rsidRPr="00035F13" w:rsidRDefault="004B5501" w:rsidP="000A0B44">
            <w:pPr>
              <w:jc w:val="center"/>
            </w:pPr>
            <w:r>
              <w:fldChar w:fldCharType="begin"/>
            </w:r>
            <w:r w:rsidR="000A209C">
              <w:instrText xml:space="preserve"> ADDIN ZOTERO_ITEM CSL_CITATION {"citationID":"UnC7LjC9","properties":{"formattedCitation":"(354)","plainCitation":"(354)","noteIndex":0},"citationItems":[{"id":1751,"uris":["http://zotero.org/users/952979/items/MTHGFBP9"],"uri":["http://zotero.org/users/952979/items/MTHGFBP9"],"itemData":{"id":1751,"type":"article-journal","title":"Downregulation of USP22 promotes activation of microglia and subsequent neuronal inflammation in rat spinal cord after injury","source":"www.biomedres.info","abstract":"NF-κB is implicated in microglia activation, and tends to stimulate Secondary Spinal Cord Injury (SCI). The method entails activation of NF-κB signaling pathway by TRAF6 &lt;em&gt;via&lt;/em&gt; the function of polyubiquitination. It is renowned that deubiquitination of TRAF6 that is mediated &lt;em&gt;via&lt;/em&gt; Deubiquitinating enzyme (DUB) can considerably impede NF-κB pathway activation. The ubiquitinspecific protease 22 (USP22) is a member of the deubiquitinase family. We, therefore, put forward that USP22 is involved in the activation of microglial as well as successive neuronal inflammation subsequent to SCI. We investigated the manifestation and the function of USP22 after SCI. The Western blot analysis indicated that expression of USP22 had been downregulated while the p-p65 expression had been upregulated in the spinal cord subsequent to SCI. Immunohistochemical along with staining of immunofluorescence demonstrated that USP22 had been manifested in microglia even though its expression declined subsequent to SCI. &lt;em&gt;In vitro&lt;/em&gt; LPS-induced microglia activation demonstrated a declined USP22 expression as well as an improvement of p-p65 and TRAF6 expressions. Furthermore, silencing of USP22 in LPS-induced microglia activation supported the p-p65 and TRAF6 expression of in addition to TNF-α and IL-1β secretion. Summarily, this study details the initial proof that in microglial cells expression of USP22 declines subsequent to SCI in rats. USP22 expression’ downregulation may endorse activation of microglia as well as successive neuronal inflammation &lt;em&gt;via&lt;/em&gt; NF- κB through attenuation of the deubiquitination of the TRAF6. The mechanism can be said to be of great importance in the secondary SCL’s pathophysiology.","URL":"http://www.biomedres.info/abstract/downregulation-of-usp22-promotes-activation-of-microglia-and-subsequent-neuronal-inflammation-in-rat-spinal-cord-after-injury-9237.html","language":"en","author":[{"family":"Fang","given":"Weizhi"},{"family":"Zheng","given":"Qixin"}],"issued":{"date-parts":[["2017"]]},"accessed":{"date-parts":[["2019",2,19]]}}}],"schema":"https://github.com/citation-style-language/schema/raw/master/csl-citation.json"} </w:instrText>
            </w:r>
            <w:r>
              <w:fldChar w:fldCharType="separate"/>
            </w:r>
            <w:r w:rsidR="00A53A6B" w:rsidRPr="00A53A6B">
              <w:rPr>
                <w:rFonts w:ascii="Calibri" w:hAnsi="Calibri"/>
              </w:rPr>
              <w:t>(354)</w:t>
            </w:r>
            <w:r>
              <w:fldChar w:fldCharType="end"/>
            </w:r>
          </w:p>
        </w:tc>
      </w:tr>
    </w:tbl>
    <w:p w14:paraId="350D3439" w14:textId="77777777" w:rsidR="004B5501" w:rsidRDefault="004B5501" w:rsidP="004B5501">
      <w:pPr>
        <w:pStyle w:val="NoSpacing"/>
      </w:pPr>
      <w:r>
        <w:t xml:space="preserve">*N.b. Comments on potential M1/M2 polarisation from literature are gained from both </w:t>
      </w:r>
      <w:r w:rsidRPr="00436535">
        <w:rPr>
          <w:i/>
        </w:rPr>
        <w:t>Drosophila</w:t>
      </w:r>
      <w:r>
        <w:t xml:space="preserve"> and mammalian literature (for homologs). Question marks indicate a lack of relevant literature.</w:t>
      </w:r>
    </w:p>
    <w:p w14:paraId="4DA9E0C3" w14:textId="77777777" w:rsidR="004B5501" w:rsidRDefault="004B5501" w:rsidP="004B5501">
      <w:pPr>
        <w:pStyle w:val="Thesisnormal"/>
      </w:pPr>
    </w:p>
    <w:p w14:paraId="09206831" w14:textId="0846600E" w:rsidR="004B5501" w:rsidRDefault="004B5501" w:rsidP="004B5501">
      <w:pPr>
        <w:pStyle w:val="Heading3"/>
        <w:spacing w:line="360" w:lineRule="auto"/>
      </w:pPr>
      <w:bookmarkStart w:id="154" w:name="_Toc4589328"/>
      <w:r>
        <w:t>3.2.1</w:t>
      </w:r>
      <w:r w:rsidR="0054108A">
        <w:t>2</w:t>
      </w:r>
      <w:r>
        <w:t xml:space="preserve"> Overexpression of calnexin in hemocytes increases </w:t>
      </w:r>
      <w:r w:rsidR="006A0DEC">
        <w:t xml:space="preserve">hemocyte recruitment to </w:t>
      </w:r>
      <w:r>
        <w:t>wound</w:t>
      </w:r>
      <w:r w:rsidR="006A0DEC">
        <w:t>s</w:t>
      </w:r>
      <w:bookmarkEnd w:id="154"/>
      <w:r>
        <w:t xml:space="preserve"> </w:t>
      </w:r>
    </w:p>
    <w:p w14:paraId="3B49E0FD" w14:textId="77777777" w:rsidR="004B5501" w:rsidRPr="00893800" w:rsidRDefault="004B5501" w:rsidP="004B5501"/>
    <w:p w14:paraId="1C4924CD" w14:textId="493CCC1E" w:rsidR="004B5501" w:rsidRDefault="004B5501" w:rsidP="004B5501">
      <w:pPr>
        <w:pStyle w:val="Thesisnormal"/>
      </w:pPr>
      <w:r>
        <w:t xml:space="preserve">In investigating the VT-enhancer lines further, we identified multiple genes that may be under the control of the VT enhancers (Table 3.1). One such candidate for VT62766 was </w:t>
      </w:r>
      <w:r w:rsidRPr="00A633BD">
        <w:rPr>
          <w:i/>
        </w:rPr>
        <w:t xml:space="preserve">calnexin 14D </w:t>
      </w:r>
      <w:r>
        <w:t>(</w:t>
      </w:r>
      <w:r w:rsidRPr="00A633BD">
        <w:rPr>
          <w:i/>
        </w:rPr>
        <w:t>cnx14D</w:t>
      </w:r>
      <w:r>
        <w:t>). Cnx14D is involved in Ca</w:t>
      </w:r>
      <w:r>
        <w:rPr>
          <w:vertAlign w:val="superscript"/>
        </w:rPr>
        <w:t>2+</w:t>
      </w:r>
      <w:r>
        <w:t xml:space="preserve"> sequestration in the endoplasmic reticulum </w:t>
      </w:r>
      <w:r>
        <w:fldChar w:fldCharType="begin"/>
      </w:r>
      <w:r w:rsidR="000A209C">
        <w:instrText xml:space="preserve"> ADDIN ZOTERO_ITEM CSL_CITATION {"citationID":"xeGWowTl","properties":{"formattedCitation":"(355,356)","plainCitation":"(355,356)","noteIndex":0},"citationItems":[{"id":1598,"uris":["http://zotero.org/users/952979/items/H96DKR5P"],"uri":["http://zotero.org/users/952979/items/H96DKR5P"],"itemData":{"id":1598,"type":"article-journal","title":"SSR alpha and associated calnexin are major calcium binding proteins of the endoplasmic reticulum membrane","container-title":"The Journal of Biological Chemistry","page":"19599-19610","volume":"266","issue":"29","source":"PubMed","abstract":"GTP phosphorylation of rough microsomes in vitro is limited to four integral membrane proteins. Two of these, a phosphoprotein (pp90) and a phosphoglycoprotein (pgp35) were purified as a complex with two nonphosphorylated membrane glycoproteins, gp25H and gp25L. The authenticity of this complex was confirmed using two different purification procedures and by coimmunoprecipitation. By immunofluorescence a reticulated cytoplasmic network was revealed for the proteins which was similar to that for Louvard et al. (Louvard, D., Reggio, H., and Warren, G. (1982) J. Cell Biol. 92, 92-107) marker antisera which also recognized purified pp90 on immunoblots. Amino acid sequencing of peptides derived from pgp35 identified this protein as SSR alpha, an endoplasmic reticulum constituent as identified by cross-linking of translocating nascent chains (Görlich, D, Prehn, S., Hartmann, E., Herz, J., Otto, A., Kraft, R., Wiedmann, M., Knespel, S., Dobberstein, B., and Rapoport, T. A. (1990) J. Cell Biol. 111, 2283-2294). The sequence of gp25H was determined from cDNA clones and was identical with SSR beta identified by Görlich et al. (1990) as being tightly bound to SSR alpha. Sequencing of gp25L revealed no similarity of the deduced sequence with other proteins. However, pp90 revealed a high degree of sequence identity with the Ca(2+)-binding protein, calreticulin. 45Ca2+ overlay studies indicated that pp90 bound Ca2+ and the name calnexin is proposed. Surprisingly, pgp25 (SSR alpha) also bound Ca2+ although gp25H (SSR beta) and gp25L did not. Triton X-114 partitioning of the integral membrane proteins of rough microsomes suggested that pgp35 (SSR alpha) and calnexin were major Ca(2+)-binding proteins of the endoplasmic reticulum membrane. We propose that the function of the complex is to regulate Ca(2+)-dependent retention mechanisms for luminal proteins of the endoplasmic reticulum.","ISSN":"0021-9258","note":"PMID: 1918067","journalAbbreviation":"J. Biol. Chem.","language":"eng","author":[{"family":"Wada","given":"I."},{"family":"Rindress","given":"D."},{"family":"Cameron","given":"P. H."},{"family":"Ou","given":"W. J."},{"family":"Doherty","given":"J. J."},{"family":"Louvard","given":"D."},{"family":"Bell","given":"A. W."},{"family":"Dignard","given":"D."},{"family":"Thomas","given":"D. Y."},{"family":"Bergeron","given":"J. J."}],"issued":{"date-parts":[["1991",10,15]]}}},{"id":1597,"uris":["http://zotero.org/users/952979/items/IVDBH7W3"],"uri":["http://zotero.org/users/952979/items/IVDBH7W3"],"itemData":{"id":1597,"type":"article-journal","title":"Cytosolic phosphorylation of calnexin controls intracellular Ca(2+) oscillations via an interaction with SERCA2b","container-title":"The Journal of Cell Biology","page":"1235-1248","volume":"149","issue":"6","source":"PubMed","abstract":"Calreticulin (CRT) and calnexin (CLNX) are lectin chaperones that participate in protein folding in the endoplasmic reticulum (ER). CRT is a soluble ER lumenal protein, whereas CLNX is a transmembrane protein with a cytosolic domain that contains two consensus motifs for protein kinase (PK) C/proline- directed kinase (PDK) phosphorylation. Using confocal Ca(2+) imaging in Xenopus oocytes, we report here that coexpression of CLNX with sarco endoplasmic reticulum calcium ATPase (SERCA) 2b results in inhibition of intracellular Ca(2+) oscillations, suggesting a functional inhibition of the pump. By site-directed mutagenesis, we demonstrate that this interaction is regulated by a COOH-terminal serine residue (S562) in CLNX. Furthermore, inositol 1,4,5-trisphosphate- mediated Ca(2+) release results in a dephosphorylation of this residue. We also demonstrate by coimmunoprecipitation that CLNX physically interacts with the COOH terminus of SERCA2b and that after dephosphorylation treatment, this interaction is significantly reduced. Together, our results suggest that CRT is uniquely regulated by ER lumenal conditions, whereas CLNX is, in addition, regulated by the phosphorylation status of its cytosolic domain. The S562 residue in CLNX acts as a molecular switch that regulates the interaction of the chaperone with SERCA2b, thereby affecting Ca(2+) signaling and controlling Ca(2+)-sensitive chaperone functions in the ER.","ISSN":"0021-9525","note":"PMID: 10851021\nPMCID: PMC2175122","journalAbbreviation":"J. Cell Biol.","language":"eng","author":[{"family":"Roderick","given":"H. L."},{"family":"Lechleiter","given":"J. D."},{"family":"Camacho","given":"P."}],"issued":{"date-parts":[["2000",6,12]]}}}],"schema":"https://github.com/citation-style-language/schema/raw/master/csl-citation.json"} </w:instrText>
      </w:r>
      <w:r>
        <w:fldChar w:fldCharType="separate"/>
      </w:r>
      <w:r w:rsidR="00A53A6B" w:rsidRPr="00A53A6B">
        <w:rPr>
          <w:rFonts w:ascii="Calibri" w:hAnsi="Calibri"/>
        </w:rPr>
        <w:t>(355,356)</w:t>
      </w:r>
      <w:r>
        <w:fldChar w:fldCharType="end"/>
      </w:r>
      <w:r>
        <w:t>. A previous study showed a role for Ca</w:t>
      </w:r>
      <w:r>
        <w:rPr>
          <w:vertAlign w:val="superscript"/>
        </w:rPr>
        <w:t>2+</w:t>
      </w:r>
      <w:r>
        <w:t xml:space="preserve"> ahead of hemocyte responses to wounding </w:t>
      </w:r>
      <w:r>
        <w:fldChar w:fldCharType="begin"/>
      </w:r>
      <w:r w:rsidR="000A209C">
        <w:instrText xml:space="preserve"> ADDIN ZOTERO_ITEM CSL_CITATION {"citationID":"GfJJfOZg","properties":{"formattedCitation":"(251)","plainCitation":"(251)","noteIndex":0},"citationItems":[{"id":1086,"uris":["http://zotero.org/users/952979/items/CNMFRE8U"],"uri":["http://zotero.org/users/952979/items/CNMFRE8U"],"itemData":{"id":1086,"type":"article-journal","title":"Calcium flashes orchestrate the wound inflammatory response through DUOX activation and hydrogen peroxide release","container-title":"Current biology: CB","page":"424-429","volume":"23","issue":"5","source":"PubMed","abstract":"A crucial early wound response is the recruitment of inflammatory cells drawn by danger cues released by the damaged tissue. Hydrogen peroxide (H2O2) has recently been identified as the earliest wound attractant in Drosophila embryos and zebrafish larvae. The H2O2 signal is generated by activation of an NADPH oxidase, DUOX, and as a consequence, the first inflammatory cells are recruited to the wound within minutes. To date, nothing is known about how wounding activates DUOX. Here, we show that laser wounding of the Drosophila embryo epidermis triggers an instantaneous calcium flash, which travels as a wave via gap junctions several cell rows back from the wound edge. Blocking this calcium flash inhibits H2O2 release at the wound site and leads to a reduction in the number of immune cells migrating to the wound. We suggest that the wound-induced calcium flash activates DUOX via an EF hand calcium-binding motif and thus triggers the production of the attractant damage cue H2O2. Therefore, calcium represents the earliest signal in the wound inflammatory response.","DOI":"10.1016/j.cub.2013.01.058","ISSN":"1879-0445","note":"PMID: 23394834\nPMCID: PMC3629559","journalAbbreviation":"Curr. Biol.","language":"eng","author":[{"family":"Razzell","given":"William"},{"family":"Evans","given":"Iwan Robert"},{"family":"Martin","given":"Paul"},{"family":"Wood","given":"Will"}],"issued":{"date-parts":[["2013",3,4]]}}}],"schema":"https://github.com/citation-style-language/schema/raw/master/csl-citation.json"} </w:instrText>
      </w:r>
      <w:r>
        <w:fldChar w:fldCharType="separate"/>
      </w:r>
      <w:r w:rsidR="004A1963" w:rsidRPr="004A1963">
        <w:rPr>
          <w:rFonts w:ascii="Calibri" w:hAnsi="Calibri"/>
        </w:rPr>
        <w:t>(251)</w:t>
      </w:r>
      <w:r>
        <w:fldChar w:fldCharType="end"/>
      </w:r>
      <w:r>
        <w:t xml:space="preserve">, thus this represented an interesting gene to investigate further. To do this, we overexpressed </w:t>
      </w:r>
      <w:r w:rsidRPr="00A633BD">
        <w:rPr>
          <w:i/>
        </w:rPr>
        <w:t xml:space="preserve">cnx14D </w:t>
      </w:r>
      <w:r>
        <w:t>in hemocytes (</w:t>
      </w:r>
      <w:r>
        <w:rPr>
          <w:i/>
        </w:rPr>
        <w:t>w;UAS-cnx14D/srp-GAL4,UAS-GFP;crq-GAL4,UAS-GFP/+)</w:t>
      </w:r>
      <w:r>
        <w:t xml:space="preserve"> and then produced a wound via laser ablation. Wounding embryos containing hemocytes overexpressing </w:t>
      </w:r>
      <w:r w:rsidRPr="00A633BD">
        <w:rPr>
          <w:i/>
        </w:rPr>
        <w:t xml:space="preserve">cnx14D </w:t>
      </w:r>
      <w:r>
        <w:t>resulted in a significantly increased number of hemocytes per µm of wound area compared to controls (</w:t>
      </w:r>
      <w:r w:rsidRPr="009D4387">
        <w:t>n=21 and 30 embryos for control and UAS-cnx14D</w:t>
      </w:r>
      <w:r>
        <w:t>,</w:t>
      </w:r>
      <w:r w:rsidRPr="009D4387">
        <w:t xml:space="preserve"> respectively, </w:t>
      </w:r>
      <w:r>
        <w:t>Student’s t-test</w:t>
      </w:r>
      <w:r w:rsidRPr="009D4387">
        <w:t xml:space="preserve">, p&lt;0.05, </w:t>
      </w:r>
      <w:r>
        <w:t>F</w:t>
      </w:r>
      <w:r w:rsidRPr="009D4387">
        <w:t>ig</w:t>
      </w:r>
      <w:r>
        <w:t xml:space="preserve"> 3.14 A &amp; B). There was no significant difference in the numbers of hemocytes on the ventral midline pre-wounding, suggesting that the increased </w:t>
      </w:r>
      <w:r w:rsidR="006A0DEC">
        <w:t xml:space="preserve">recruitment to </w:t>
      </w:r>
      <w:r>
        <w:t>wound</w:t>
      </w:r>
      <w:r w:rsidR="006A0DEC">
        <w:t>s</w:t>
      </w:r>
      <w:r>
        <w:t xml:space="preserve"> was not due to differing numbers of hemocytes in the immediate vicinity to the wounds (n=30 and 38 for control and </w:t>
      </w:r>
      <w:r w:rsidRPr="00105213">
        <w:rPr>
          <w:i/>
        </w:rPr>
        <w:t>UAS-cnx14D</w:t>
      </w:r>
      <w:r>
        <w:t xml:space="preserve"> embryos respectively. Student’s t-test, p=0.0669, Fig 3.14 C). Given the enhanced </w:t>
      </w:r>
      <w:r w:rsidR="006A0DEC">
        <w:t xml:space="preserve">recruitment to </w:t>
      </w:r>
      <w:r>
        <w:t>wound</w:t>
      </w:r>
      <w:r w:rsidR="006A0DEC">
        <w:t>s</w:t>
      </w:r>
      <w:r>
        <w:t xml:space="preserve"> undertaken by VT62766-labelled hemocytes this suggests that </w:t>
      </w:r>
      <w:r w:rsidRPr="00A633BD">
        <w:rPr>
          <w:i/>
        </w:rPr>
        <w:t>cnx14D</w:t>
      </w:r>
      <w:r>
        <w:t xml:space="preserve"> may play a </w:t>
      </w:r>
      <w:r>
        <w:lastRenderedPageBreak/>
        <w:t xml:space="preserve">role in these enhanced responses. Furthermore, this is the first time that an enhanced </w:t>
      </w:r>
      <w:r w:rsidR="006A0DEC">
        <w:t xml:space="preserve">hemocyte recruitment to </w:t>
      </w:r>
      <w:r>
        <w:t>wound</w:t>
      </w:r>
      <w:r w:rsidR="006A0DEC">
        <w:t>ing</w:t>
      </w:r>
      <w:r>
        <w:t xml:space="preserve"> has been observed in </w:t>
      </w:r>
      <w:r w:rsidRPr="004F4446">
        <w:rPr>
          <w:i/>
        </w:rPr>
        <w:t>Drosophila</w:t>
      </w:r>
      <w:r>
        <w:t xml:space="preserve"> embryos. </w:t>
      </w:r>
    </w:p>
    <w:p w14:paraId="3D158C9D" w14:textId="77777777" w:rsidR="004B5501" w:rsidRDefault="004B5501" w:rsidP="004B5501">
      <w:pPr>
        <w:pStyle w:val="Thesisnormal"/>
      </w:pPr>
    </w:p>
    <w:p w14:paraId="7EC02917" w14:textId="77777777" w:rsidR="004B5501" w:rsidRDefault="004B5501" w:rsidP="004B5501">
      <w:pPr>
        <w:pStyle w:val="Thesisnormal"/>
      </w:pPr>
      <w:r>
        <w:rPr>
          <w:noProof/>
          <w:lang w:eastAsia="en-GB"/>
        </w:rPr>
        <w:drawing>
          <wp:inline distT="0" distB="0" distL="0" distR="0" wp14:anchorId="605E08D2" wp14:editId="7CDA7275">
            <wp:extent cx="5429250" cy="7056954"/>
            <wp:effectExtent l="0" t="0" r="0" b="0"/>
            <wp:docPr id="75" name="Picture 75" descr="D:\Dropbox\PhD\Writing\Thesis\Chapter 3 Identification of hemocyte subpopulations\Figures\cnx14D wounding fig\cnx14D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3 Identification of hemocyte subpopulations\Figures\cnx14D wounding fig\cnx14D wounding fig.ti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9302" b="17003"/>
                    <a:stretch/>
                  </pic:blipFill>
                  <pic:spPr bwMode="auto">
                    <a:xfrm>
                      <a:off x="0" y="0"/>
                      <a:ext cx="5437139" cy="7067208"/>
                    </a:xfrm>
                    <a:prstGeom prst="rect">
                      <a:avLst/>
                    </a:prstGeom>
                    <a:noFill/>
                    <a:ln>
                      <a:noFill/>
                    </a:ln>
                    <a:extLst>
                      <a:ext uri="{53640926-AAD7-44D8-BBD7-CCE9431645EC}">
                        <a14:shadowObscured xmlns:a14="http://schemas.microsoft.com/office/drawing/2010/main"/>
                      </a:ext>
                    </a:extLst>
                  </pic:spPr>
                </pic:pic>
              </a:graphicData>
            </a:graphic>
          </wp:inline>
        </w:drawing>
      </w:r>
    </w:p>
    <w:p w14:paraId="2CF55131" w14:textId="3120C1D1" w:rsidR="004B5501" w:rsidRPr="00A722C7" w:rsidRDefault="004B5501" w:rsidP="004B5501">
      <w:pPr>
        <w:pStyle w:val="NoSpacing"/>
        <w:rPr>
          <w:b/>
        </w:rPr>
      </w:pPr>
      <w:r>
        <w:rPr>
          <w:b/>
        </w:rPr>
        <w:t>Figure 3.14</w:t>
      </w:r>
      <w:r w:rsidRPr="00A722C7">
        <w:rPr>
          <w:b/>
        </w:rPr>
        <w:t xml:space="preserve">. Overexpression of </w:t>
      </w:r>
      <w:r w:rsidRPr="00105213">
        <w:rPr>
          <w:b/>
          <w:i/>
        </w:rPr>
        <w:t>calnexin-14D</w:t>
      </w:r>
      <w:r w:rsidRPr="00A722C7">
        <w:rPr>
          <w:b/>
        </w:rPr>
        <w:t xml:space="preserve"> within hemocytes increases hemocyte </w:t>
      </w:r>
      <w:r w:rsidR="006A0DEC">
        <w:rPr>
          <w:b/>
        </w:rPr>
        <w:t>recruitment to</w:t>
      </w:r>
      <w:r w:rsidRPr="00A722C7">
        <w:rPr>
          <w:b/>
        </w:rPr>
        <w:t xml:space="preserve"> wound</w:t>
      </w:r>
      <w:r w:rsidR="006A0DEC">
        <w:rPr>
          <w:b/>
        </w:rPr>
        <w:t>s</w:t>
      </w:r>
      <w:r w:rsidRPr="00A722C7">
        <w:rPr>
          <w:b/>
        </w:rPr>
        <w:t xml:space="preserve">. </w:t>
      </w:r>
    </w:p>
    <w:p w14:paraId="5A3885C3" w14:textId="58CDB398" w:rsidR="004B5501" w:rsidRDefault="004B5501" w:rsidP="004B5501">
      <w:pPr>
        <w:pStyle w:val="NoSpacing"/>
      </w:pPr>
      <w:r>
        <w:t xml:space="preserve">(A) Representative stills of GFP labelled hemocyte </w:t>
      </w:r>
      <w:r w:rsidR="006A0DEC">
        <w:t>recruitment</w:t>
      </w:r>
      <w:r>
        <w:t xml:space="preserve"> to wounds at 60 minutes post-wounding in stage 15 embryos for control (</w:t>
      </w:r>
      <w:r>
        <w:rPr>
          <w:i/>
        </w:rPr>
        <w:t>w;srp-GAL4,UAS-GFP;crq-GAL4,UAS-GFP</w:t>
      </w:r>
      <w:r>
        <w:t xml:space="preserve">) </w:t>
      </w:r>
      <w:r>
        <w:lastRenderedPageBreak/>
        <w:t xml:space="preserve">and </w:t>
      </w:r>
      <w:r w:rsidRPr="00105213">
        <w:rPr>
          <w:i/>
        </w:rPr>
        <w:t>UAS-cnx14D</w:t>
      </w:r>
      <w:r>
        <w:t xml:space="preserve"> (</w:t>
      </w:r>
      <w:r>
        <w:rPr>
          <w:i/>
        </w:rPr>
        <w:t>w;srp-GAL4,UAS-GFP/UAS-cnx14D;crq-GAL4,UAS-GFP</w:t>
      </w:r>
      <w:r>
        <w:t xml:space="preserve">). (B) Scatterplot of the hemocyte </w:t>
      </w:r>
      <w:r w:rsidR="00126602">
        <w:t>recruitment to wounds</w:t>
      </w:r>
      <w:r>
        <w:t xml:space="preserve"> per embryo (number of hemocytes per μm</w:t>
      </w:r>
      <w:r>
        <w:rPr>
          <w:vertAlign w:val="superscript"/>
        </w:rPr>
        <w:t>2</w:t>
      </w:r>
      <w:r>
        <w:t xml:space="preserve"> of wound area, normalised to control average). Lines and error bars represent mean ± SD, n=21 and 30 for control and UAS-cnx14D embryos respectively. Student’s t-test, *p&lt;0.05. White dashed ovals outline wound perimeter. (C) Scatterplot of the number of hemocytes on the ventral midline pre-wounding.  Lines and error bars represent mean ± SD, n=30 and 38 for control and UAS-cnx14D embryos respectively. Student’s t-test, p=0.0669. Scale bars represent 20μm. </w:t>
      </w:r>
    </w:p>
    <w:p w14:paraId="45707630" w14:textId="77777777" w:rsidR="004B5501" w:rsidRDefault="004B5501" w:rsidP="004B5501">
      <w:pPr>
        <w:pStyle w:val="Thesisnormal"/>
      </w:pPr>
    </w:p>
    <w:p w14:paraId="7F6C717B" w14:textId="77777777" w:rsidR="004B5501" w:rsidRDefault="004B5501" w:rsidP="004B5501">
      <w:pPr>
        <w:pStyle w:val="Heading2"/>
        <w:spacing w:line="360" w:lineRule="auto"/>
      </w:pPr>
      <w:bookmarkStart w:id="155" w:name="_Toc4589329"/>
      <w:r>
        <w:t>3.3 Discussion</w:t>
      </w:r>
      <w:bookmarkEnd w:id="155"/>
    </w:p>
    <w:p w14:paraId="7E4A8014" w14:textId="77777777" w:rsidR="004B5501" w:rsidRPr="000E079B" w:rsidRDefault="004B5501" w:rsidP="004B5501"/>
    <w:p w14:paraId="0B207DF9" w14:textId="15055EEA" w:rsidR="004B5501" w:rsidRPr="003607C3" w:rsidRDefault="004B5501" w:rsidP="004B5501">
      <w:pPr>
        <w:pStyle w:val="Thesisnormal"/>
        <w:rPr>
          <w:i/>
        </w:rPr>
      </w:pPr>
      <w:r>
        <w:t xml:space="preserve">In this chapter, we demonstrate the existence of </w:t>
      </w:r>
      <w:r>
        <w:rPr>
          <w:i/>
        </w:rPr>
        <w:t>Drosophila</w:t>
      </w:r>
      <w:r>
        <w:t xml:space="preserve"> hemocyte subpopulations that persist throughout development. We also show that these subpopulations display functional differences in responses to wounding and phagocytosis of apoptotic cells. VT57089 displayed a reduction in the number of vacuoles (efferocytosis) but no differences in migration or </w:t>
      </w:r>
      <w:r w:rsidR="006A0DEC">
        <w:t xml:space="preserve">recruitment to </w:t>
      </w:r>
      <w:r>
        <w:t>wound</w:t>
      </w:r>
      <w:r w:rsidR="006A0DEC">
        <w:t>s</w:t>
      </w:r>
      <w:r>
        <w:t xml:space="preserve">. VT32897 displayed increased </w:t>
      </w:r>
      <w:r w:rsidR="006A0DEC">
        <w:t>recruitment to w</w:t>
      </w:r>
      <w:r>
        <w:t>ounds but no differences in migration or efferocytosis.</w:t>
      </w:r>
    </w:p>
    <w:p w14:paraId="788D72ED" w14:textId="77777777" w:rsidR="004B5501" w:rsidRDefault="004B5501" w:rsidP="004B5501">
      <w:pPr>
        <w:pStyle w:val="Thesisnormal"/>
      </w:pPr>
    </w:p>
    <w:p w14:paraId="657ED426" w14:textId="77777777" w:rsidR="004B5501" w:rsidRDefault="004B5501" w:rsidP="004B5501">
      <w:pPr>
        <w:pStyle w:val="Heading3"/>
      </w:pPr>
      <w:bookmarkStart w:id="156" w:name="_Toc4589330"/>
      <w:r>
        <w:t xml:space="preserve">3.3.1 </w:t>
      </w:r>
      <w:r>
        <w:rPr>
          <w:i/>
        </w:rPr>
        <w:t>Drosophila</w:t>
      </w:r>
      <w:r>
        <w:t xml:space="preserve"> hemocytes exist as a heterogeneous population</w:t>
      </w:r>
      <w:bookmarkEnd w:id="156"/>
    </w:p>
    <w:p w14:paraId="4D9D9EEE" w14:textId="77777777" w:rsidR="004B5501" w:rsidRDefault="004B5501" w:rsidP="004B5501">
      <w:pPr>
        <w:pStyle w:val="Thesisnormal"/>
      </w:pPr>
    </w:p>
    <w:p w14:paraId="32E6E43B" w14:textId="1CE0E3F6" w:rsidR="004B5501" w:rsidRDefault="004B5501" w:rsidP="004B5501">
      <w:pPr>
        <w:pStyle w:val="Thesisnormal"/>
      </w:pPr>
      <w:r>
        <w:t xml:space="preserve">There are numerous suggestions in the literature that hemocytes might exist as distinct subpopulations. However, this has only been investigated in the context of crystal cells or wider hemocyte subtypes, such as pro-hemocytes or lamellocytes </w:t>
      </w:r>
      <w:r>
        <w:fldChar w:fldCharType="begin"/>
      </w:r>
      <w:r w:rsidR="000A209C">
        <w:instrText xml:space="preserve"> ADDIN ZOTERO_ITEM CSL_CITATION {"citationID":"Kqf8lfMp","properties":{"formattedCitation":"(262,276,292)","plainCitation":"(262,276,292)","noteIndex":0},"citationItems":[{"id":1321,"uris":["http://zotero.org/users/952979/items/M9P8DVM2"],"uri":["http://zotero.org/users/952979/items/M9P8DVM2"],"itemData":{"id":1321,"type":"thesis","title":"Towards the characterization of plasmatocyte heterogeneity in Drosophila melanogaster","publisher":"Universidade de Lisboa","source":"repositorio.ul.pt","abstract":"Resumo alargado em português disponível no documento","URL":"http://repositorio.ul.pt/handle/10451/1442","language":"eng","author":[{"family":"Leitão","given":"Alexandre Castanho Barata"}],"issued":{"date-parts":[["2009"]]},"accessed":{"date-parts":[["2015",10,13]]}}},{"id":1358,"uris":["http://zotero.org/users/952979/items/9A7JXAIM"],"uri":["http://zotero.org/users/952979/items/9A7JXAIM"],"itemData":{"id":1358,"type":"article-journal","title":"Cell lineage tracing reveals the plasticity of the hemocyte lineages and of the hematopoietic compartments in Drosophila melanogaster","container-title":"Molecular Immunology","page":"1997-2004","volume":"47","issue":"11-12","source":"PubMed","abstract":"Much of our knowledge on hematopoiesis, hematopoietic compartments, hematopoietic cell lineages and immunity has been derived from studies on the vertebrate immune system. The sophisticated innate immunity of insects, the phylogenetic conservation and the power of Drosophila genetics allowed the investigation of immune cell (hemocyte) lineage relationships in Drosophila melanogaster. The development of the hemocyte lineages in Drosophila is a result of a precisely regulated succession of intracellular and intercellular events, though the nature and extent of these interactions are not known. We describe here a cell lineage tracing system set up to analyze the development of hemocyte lineages and functionally distinct hemocyte subsets. This system allowed us to distinguish two major embryonic hemocyte lineages, the crq and Dot lineages, in two, physically separated compartments, the embryonic macrophages and the embryonic lymph gland. We followed the fate and development of these lineages in the construction of the larval hematopoietic compartments and during the cell-mediated immune response, the encapsulation reaction. Our results revealed the considerable plasticity and concerted action of the hematopoietic compartments and the hemocyte lineages in the development of the innate immune system and in the course of the cell-mediated immune response in Drosophila.","DOI":"10.1016/j.molimm.2010.04.017","ISSN":"1872-9142","note":"PMID: 20483458","journalAbbreviation":"Mol. Immunol.","language":"eng","author":[{"family":"Honti","given":"Viktor"},{"family":"Csordás","given":"Gábor"},{"family":"Márkus","given":"Róbert"},{"family":"Kurucz","given":"Eva"},{"family":"Jankovics","given":"Ferenc"},{"family":"Andó","given":"István"}],"issued":{"date-parts":[["2010",7]]}}},{"id":1326,"uris":["http://zotero.org/users/952979/items/IGPCI8FJ"],"uri":["http://zotero.org/users/952979/items/IGPCI8FJ"],"itemData":{"id":1326,"type":"article-journal","title":"Definition of Drosophila hemocyte subsets by cell-type specific antigens","container-title":"Acta Biologica Hungarica","page":"95-111","volume":"58 Suppl","source":"PubMed","abstract":"We analyzed the heterogeneity of Drosophila hemocytes on the basis of the expression of cell-type specific antigens. The antigens characterize distinct subsets which partially overlap with those defined by morphological criteria. On the basis of the expression or the lack of expression of blood cell antigens the following hemocyte populations have been defined: crystal cells, plasmatocytes, lamellocytes and precursor cells. The expression of the antigens and thus the different cell types are developmentally regulated. The hemocytes are arranged in four main compartments: the circulating blood cells, the sessile tissue, the lymph glands and the posterior hematopoietic tissue. Each hemocyte compartment has a specific and characteristic composition of the various cell types. The described markers represent the first successful attempt to define hemocyte lineages by immunological markers in Drosophila and help to define morphologically, functionally, spatially and developmentally distinct subsets of hemocytes.","DOI":"10.1556/ABiol.58.2007.Suppl.8","ISSN":"0236-5383","note":"PMID: 18297797","journalAbbreviation":"Acta. Biol. Hung.","language":"eng","author":[{"family":"Kurucz","given":"Eva"},{"family":"Váczi","given":"B."},{"family":"Márkus","given":"R."},{"family":"Laurinyecz","given":"Barbara"},{"family":"Vilmos","given":"P."},{"family":"Zsámboki","given":"J."},{"family":"Csorba","given":"Kinga"},{"family":"Gateff","given":"Elisabeth"},{"family":"Hultmark","given":"D."},{"family":"Andó","given":"I."}],"issued":{"date-parts":[["2007"]]}}}],"schema":"https://github.com/citation-style-language/schema/raw/master/csl-citation.json"} </w:instrText>
      </w:r>
      <w:r>
        <w:fldChar w:fldCharType="separate"/>
      </w:r>
      <w:r w:rsidR="004A1963" w:rsidRPr="004A1963">
        <w:rPr>
          <w:rFonts w:ascii="Calibri" w:hAnsi="Calibri"/>
        </w:rPr>
        <w:t>(262,276,292)</w:t>
      </w:r>
      <w:r>
        <w:fldChar w:fldCharType="end"/>
      </w:r>
      <w:r>
        <w:t xml:space="preserve">. The only study in which hemocyte subtypes were directly investigated was a masters student thesis from 2009, which investigated plasmatocyte heterogeneity using FACS </w:t>
      </w:r>
      <w:r>
        <w:fldChar w:fldCharType="begin"/>
      </w:r>
      <w:r w:rsidR="000A209C">
        <w:instrText xml:space="preserve"> ADDIN ZOTERO_ITEM CSL_CITATION {"citationID":"X9Dfwrlc","properties":{"formattedCitation":"(292)","plainCitation":"(292)","noteIndex":0},"citationItems":[{"id":1321,"uris":["http://zotero.org/users/952979/items/M9P8DVM2"],"uri":["http://zotero.org/users/952979/items/M9P8DVM2"],"itemData":{"id":1321,"type":"thesis","title":"Towards the characterization of plasmatocyte heterogeneity in Drosophila melanogaster","publisher":"Universidade de Lisboa","source":"repositorio.ul.pt","abstract":"Resumo alargado em português disponível no documento","URL":"http://repositorio.ul.pt/handle/10451/1442","language":"eng","author":[{"family":"Leitão","given":"Alexandre Castanho Barata"}],"issued":{"date-parts":[["2009"]]},"accessed":{"date-parts":[["2015",10,13]]}}}],"schema":"https://github.com/citation-style-language/schema/raw/master/csl-citation.json"} </w:instrText>
      </w:r>
      <w:r>
        <w:fldChar w:fldCharType="separate"/>
      </w:r>
      <w:r w:rsidR="004A1963" w:rsidRPr="004A1963">
        <w:rPr>
          <w:rFonts w:ascii="Calibri" w:hAnsi="Calibri"/>
        </w:rPr>
        <w:t>(292)</w:t>
      </w:r>
      <w:r>
        <w:fldChar w:fldCharType="end"/>
      </w:r>
      <w:r>
        <w:t xml:space="preserve">. This study found that 80% of larval hemocytes express hemese. However, this study was performed </w:t>
      </w:r>
      <w:r>
        <w:rPr>
          <w:i/>
        </w:rPr>
        <w:t>in vitro</w:t>
      </w:r>
      <w:r>
        <w:t xml:space="preserve"> and the authors failed to find any functional difference between hemese positive and hemese negative cells. However, this data has not yet been published as a peer reviewed paper. Therefore, our study is the first to directly investigate plasmatocyte heterogeneity across all developmental stages, utilising novel reporter lines.  </w:t>
      </w:r>
    </w:p>
    <w:p w14:paraId="5ECE881E" w14:textId="77777777" w:rsidR="004B5501" w:rsidRDefault="004B5501" w:rsidP="004B5501">
      <w:pPr>
        <w:pStyle w:val="Thesisnormal"/>
      </w:pPr>
    </w:p>
    <w:p w14:paraId="3448DB30" w14:textId="516CDDF2" w:rsidR="004B5501" w:rsidRDefault="004B5501" w:rsidP="004B5501">
      <w:pPr>
        <w:pStyle w:val="Thesisnormal"/>
      </w:pPr>
      <w:r>
        <w:t xml:space="preserve">We utilised 3 different fluorophore reporters (TdTomato, eGFP and nlsGFP) to demonstrate that enhancer regions are differentially expressed specifically within hemocytes. We found 4 enhancers that were robustly expressed by subpopulations of hemocytes that we then </w:t>
      </w:r>
      <w:r>
        <w:lastRenderedPageBreak/>
        <w:t xml:space="preserve">functionally characterised. A further 7 </w:t>
      </w:r>
      <w:r w:rsidRPr="00673EDB">
        <w:t>enhancers showed similar expression patterns of GFP (i.e. in a subpopulation of hemocytes) but these were only investigated in a limited manner (Table 3.1)</w:t>
      </w:r>
      <w:r>
        <w:t xml:space="preserve">. Functional evaluation of these remaining 7 enhancer lines is highly desirable, which was not possible in this thesis due to time restrictions. The expression system we have used confirms the original </w:t>
      </w:r>
      <w:r>
        <w:rPr>
          <w:i/>
        </w:rPr>
        <w:t>in situ</w:t>
      </w:r>
      <w:r w:rsidRPr="00C73DAE">
        <w:rPr>
          <w:i/>
        </w:rPr>
        <w:t xml:space="preserve"> </w:t>
      </w:r>
      <w:r w:rsidRPr="00E27665">
        <w:t>hybridisation data</w:t>
      </w:r>
      <w:r>
        <w:t xml:space="preserve"> from the Kvon </w:t>
      </w:r>
      <w:r>
        <w:rPr>
          <w:i/>
        </w:rPr>
        <w:t>et al</w:t>
      </w:r>
      <w:r>
        <w:t xml:space="preserve"> study </w:t>
      </w:r>
      <w:r>
        <w:fldChar w:fldCharType="begin"/>
      </w:r>
      <w:r w:rsidR="000A209C">
        <w:instrText xml:space="preserve"> ADDIN ZOTERO_ITEM CSL_CITATION {"citationID":"w8cZgmon","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and has enabled us to functionally characterize these lines in detail. We found 4 enhancers that did not appear to be active in hemocytes, despite being annotated as such by Kvon </w:t>
      </w:r>
      <w:r>
        <w:rPr>
          <w:i/>
        </w:rPr>
        <w:t xml:space="preserve">et al </w:t>
      </w:r>
      <w:r>
        <w:fldChar w:fldCharType="begin"/>
      </w:r>
      <w:r w:rsidR="000A209C">
        <w:instrText xml:space="preserve"> ADDIN ZOTERO_ITEM CSL_CITATION {"citationID":"5kP0eJ1z","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This discrepancy could be due to the different systems used. For example, we can be more certain of hemocyte expression as we are using a hemocyte specific co-label (</w:t>
      </w:r>
      <w:r w:rsidRPr="004F4446">
        <w:rPr>
          <w:i/>
        </w:rPr>
        <w:t>serpent</w:t>
      </w:r>
      <w:r>
        <w:t xml:space="preserve">) and we are imaging </w:t>
      </w:r>
      <w:r>
        <w:rPr>
          <w:i/>
        </w:rPr>
        <w:t>in vivo</w:t>
      </w:r>
      <w:r>
        <w:t xml:space="preserve">, in real-time so can track additional metrics such as behaviour (e.g. migration) and morphology. Indeed, we illustrated that the subpopulations investigated further conformed to hemocyte morphology (Fig 3.7). </w:t>
      </w:r>
      <w:r w:rsidR="00FF62AF">
        <w:t xml:space="preserve">However, there was high variability in the morphology data. The hemocytes imaged were located within a restricted spatial environment which could account for the variability in the data. Restricting our analysis to specific locations may reduce this variability and potentially reveal any differences that are hidden in the data presented here. </w:t>
      </w:r>
      <w:r>
        <w:t xml:space="preserve">Furthermore, the 4 enhancers investigated in detail were persistent throughout development, labelling subpopulations of hemocytes in both larvae and adults. However, two enhancers (VT57089 &amp; VT17559) did not appear to be expressed in L3 larvae, suggesting a potential downregulation or loss of these populations. Co-labelling with a hemocyte specific marker (e.g. </w:t>
      </w:r>
      <w:r w:rsidRPr="008620F5">
        <w:rPr>
          <w:i/>
        </w:rPr>
        <w:t>hml-GAL4</w:t>
      </w:r>
      <w:r>
        <w:t xml:space="preserve">) would enable us to confirm the larval and adult observations are indeed hemocytes. </w:t>
      </w:r>
      <w:r w:rsidRPr="00505C72">
        <w:rPr>
          <w:i/>
        </w:rPr>
        <w:t>Hemolectin</w:t>
      </w:r>
      <w:r>
        <w:t xml:space="preserve"> expression is active from early larval stages and persists through to adulthood, a developmental process which takes up to 9 days </w:t>
      </w:r>
      <w:r>
        <w:fldChar w:fldCharType="begin"/>
      </w:r>
      <w:r w:rsidR="000A209C">
        <w:instrText xml:space="preserve"> ADDIN ZOTERO_ITEM CSL_CITATION {"citationID":"NhwatoTL","properties":{"formattedCitation":"(316)","plainCitation":"(316)","noteIndex":0},"citationItems":[{"id":1769,"uris":["http://zotero.org/users/952979/items/LPR3F5UY"],"uri":["http://zotero.org/users/952979/items/LPR3F5UY"],"itemData":{"id":1769,"type":"book","title":"Atlas of Drosophila development","publisher":"Cold Spring Harbor Laboratory Press","author":[{"family":"Hartenstein","given":"Volker"}],"issued":{"date-parts":[["1995"]]}}}],"schema":"https://github.com/citation-style-language/schema/raw/master/csl-citation.json"} </w:instrText>
      </w:r>
      <w:r>
        <w:fldChar w:fldCharType="separate"/>
      </w:r>
      <w:r w:rsidR="004A1963" w:rsidRPr="004A1963">
        <w:rPr>
          <w:rFonts w:ascii="Calibri" w:hAnsi="Calibri"/>
        </w:rPr>
        <w:t>(316)</w:t>
      </w:r>
      <w:r>
        <w:fldChar w:fldCharType="end"/>
      </w:r>
      <w:r>
        <w:t xml:space="preserve">. </w:t>
      </w:r>
      <w:r w:rsidR="00DB2F76">
        <w:t>Indeed, this 9</w:t>
      </w:r>
      <w:r w:rsidR="00806502">
        <w:t>-</w:t>
      </w:r>
      <w:r w:rsidR="00DB2F76">
        <w:t xml:space="preserve">day development period </w:t>
      </w:r>
      <w:r>
        <w:t xml:space="preserve">is </w:t>
      </w:r>
      <w:r w:rsidR="00DB2F76">
        <w:t xml:space="preserve">a </w:t>
      </w:r>
      <w:r>
        <w:t>sufficient time to allow for a slower rate of fluorophore accumulation to have reached visible levels. As we did not observe an increase in the apparent numbers of the hemocyte subpopulations, this suggests that enhancer activity is relatively stable and that we are not observing a false-positive result in the labelling of subpopulations.</w:t>
      </w:r>
      <w:r w:rsidR="00DB2F76">
        <w:t xml:space="preserve"> This further demonstrates that the half-life of fluorophores is not impacting our observations as GFP has a relatively long half-life (</w:t>
      </w:r>
      <w:r w:rsidR="00A53A6B">
        <w:t xml:space="preserve">26 hours; </w:t>
      </w:r>
      <w:r w:rsidR="00A53A6B">
        <w:fldChar w:fldCharType="begin"/>
      </w:r>
      <w:r w:rsidR="000A209C">
        <w:instrText xml:space="preserve"> ADDIN ZOTERO_ITEM CSL_CITATION {"citationID":"wMaK6TWc","properties":{"formattedCitation":"(357)","plainCitation":"(357)","noteIndex":0},"citationItems":[{"id":4759,"uris":["http://zotero.org/users/952979/items/7YJ5CY83"],"uri":["http://zotero.org/users/952979/items/7YJ5CY83"],"itemData":{"id":4759,"type":"article-journal","title":"Attenuation of green fluorescent protein half-life in mammalian cells","container-title":"Protein Engineering","page":"1035-1040","volume":"12","issue":"12","source":"PubMed","abstract":"The half-life of the green fluorescent protein (GFP) was determined biochemically in cultured mouse LA-9 cells. The wild-type protein was found to be stable with a half-life of approximately 26 h, but could be destabilized by the addition of putative proteolytic signal sequences derived from proteins with shorter half-lives. A C-terminal fusion of a PEST sequence from the mouse ornithine decarboxylase gene reduced the half-life to 9.8 h, resulting in a GFP variant suitable for the study of dynamic cellular processes. In an N-terminal fusion containing the mouse cyclin B1 destruction box, it was reduced to 5.8 h, with most degradation taking place at metaphase. The combination of both sequences produced a similar GFP half-life of 5.5 h. Thus, the stability of this marker protein can be controlled in predetermined ways by addition of the appropriate proteolytic signals.","ISSN":"0269-2139","note":"PMID: 10611396","journalAbbreviation":"Protein Eng.","language":"eng","author":[{"family":"Corish","given":"P."},{"family":"Tyler-Smith","given":"C."}],"issued":{"date-parts":[["1999",12]]}}}],"schema":"https://github.com/citation-style-language/schema/raw/master/csl-citation.json"} </w:instrText>
      </w:r>
      <w:r w:rsidR="00A53A6B">
        <w:fldChar w:fldCharType="separate"/>
      </w:r>
      <w:r w:rsidR="00A53A6B" w:rsidRPr="00A53A6B">
        <w:rPr>
          <w:rFonts w:ascii="Calibri" w:hAnsi="Calibri"/>
        </w:rPr>
        <w:t>(357)</w:t>
      </w:r>
      <w:r w:rsidR="00A53A6B">
        <w:fldChar w:fldCharType="end"/>
      </w:r>
      <w:r w:rsidR="00DB2F76">
        <w:t xml:space="preserve">) which could have been causing false-positives in our identification of subpopulations </w:t>
      </w:r>
      <w:r w:rsidR="00A53A6B">
        <w:t>during embryonic</w:t>
      </w:r>
      <w:r w:rsidR="00DB2F76">
        <w:t xml:space="preserve"> developmental stages. </w:t>
      </w:r>
      <w:r>
        <w:t xml:space="preserve">Together, this demonstrates, importantly, that subpopulations are not restricted to a single developmental stage and that those that label smaller numbers of cells are unlikely to do so purely due to a slower rate of GAL4/fluorophore accumulation. </w:t>
      </w:r>
      <w:r>
        <w:lastRenderedPageBreak/>
        <w:t xml:space="preserve">Measuring the intensity of fluorophore expression within hemocytes would further confirm this. </w:t>
      </w:r>
    </w:p>
    <w:p w14:paraId="6A0D96AD" w14:textId="77777777" w:rsidR="004B5501" w:rsidRDefault="004B5501" w:rsidP="004B5501">
      <w:pPr>
        <w:pStyle w:val="Thesisnormal"/>
      </w:pPr>
    </w:p>
    <w:p w14:paraId="265A6DAD" w14:textId="1E2AA0EE" w:rsidR="004B5501" w:rsidRDefault="004B5501" w:rsidP="004B5501">
      <w:pPr>
        <w:pStyle w:val="Thesisnormal"/>
      </w:pPr>
      <w:r>
        <w:t xml:space="preserve">Although not undertaken here, it would be interesting to lineage trace the enhancer lines to determine the fate of the individual populations, for example do any of these subpopulations correspond to the hemocytes that then undergo proliferation in the larvae </w:t>
      </w:r>
      <w:r>
        <w:fldChar w:fldCharType="begin"/>
      </w:r>
      <w:r w:rsidR="000A209C">
        <w:instrText xml:space="preserve"> ADDIN ZOTERO_ITEM CSL_CITATION {"citationID":"ULmwkcXt","properties":{"formattedCitation":"(277,278)","plainCitation":"(277,278)","noteIndex":0},"citationItems":[{"id":1241,"uris":["http://zotero.org/users/952979/items/ESTS5MCU"],"uri":["http://zotero.org/users/952979/items/ESTS5MCU"],"itemData":{"id":1241,"type":"article-journal","title":"The peripheral nervous system supports blood cell homing and survival in the Drosophila larva","container-title":"Development (Cambridge, England)","page":"5379-5391","volume":"138","issue":"24","source":"PubMed","abstract":"Interactions of hematopoietic cells with their microenvironment control blood cell colonization, homing and hematopoiesis. Here, we introduce larval hematopoiesis as the first Drosophila model for hematopoietic colonization and the role of the peripheral nervous system (PNS) as a microenvironment in hematopoiesis. The Drosophila larval hematopoietic system is founded by differentiated hemocytes of the embryo, which colonize segmentally repeated epidermal-muscular pockets and proliferate in these locations. Importantly, we show that these resident hemocytes tightly colocalize with peripheral neurons and we demonstrate that larval hemocytes depend on the PNS as an attractive and trophic microenvironment. atonal (ato) mutant or genetically ablated larvae, which are deficient for subsets of peripheral neurons, show a progressive apoptotic decline in hemocytes and an incomplete resident hemocyte pattern, whereas supernumerary peripheral neurons induced by ectopic expression of the proneural gene scute (sc) misdirect hemocytes to these ectopic locations. This PNS-hematopoietic connection in Drosophila parallels the emerging role of the PNS in hematopoiesis and immune functions in vertebrates, and provides the basis for the systematic genetic dissection of the PNS-hematopoietic axis in the future.","DOI":"10.1242/dev.067322","ISSN":"1477-9129","note":"PMID: 22071105\nPMCID: PMC3222213","journalAbbreviation":"Development","language":"eng","author":[{"family":"Makhijani","given":"Kalpana"},{"family":"Alexander","given":"Brandy"},{"family":"Tanaka","given":"Tsubasa"},{"family":"Rulifson","given":"Eric"},{"family":"Brückner","given":"Katja"}],"issued":{"date-parts":[["2011",12]]}}},{"id":1808,"uris":["http://zotero.org/users/952979/items/ZV2D2RUB"],"uri":["http://zotero.org/users/952979/items/ZV2D2RUB"],"itemData":{"id":1808,"type":"article-journal","title":"Regulation of Drosophila hematopoietic sites by Activin-β from active sensory neurons","container-title":"Nature Communications","page":"15990","volume":"8","source":"PubMed","abstract":"An outstanding question in animal development, tissue homeostasis and disease is how cell populations adapt to sensory inputs. During Drosophila larval development, hematopoietic sites are in direct contact with sensory neuron clusters of the peripheral nervous system (PNS), and blood cells (hemocytes) require the PNS for their survival and recruitment to these microenvironments, known as Hematopoietic Pockets. Here we report that Activin-β, a TGF-β family ligand, is expressed by sensory neurons of the PNS and regulates the proliferation and adhesion of hemocytes. These hemocyte responses depend on PNS activity, as shown by agonist treatment and transient silencing of sensory neurons. Activin-β has a key role in this regulation, which is apparent from reporter expression and mutant analyses. This mechanism of local sensory neurons controlling blood cell adaptation invites evolutionary parallels with vertebrate hematopoietic progenitors and the independent myeloid system of tissue macrophages, whose regulation by local microenvironments remain undefined.","DOI":"10.1038/ncomms15990","ISSN":"2041-1723","note":"PMID: 28748922\nPMCID: PMC5537569","journalAbbreviation":"Nat Commun","language":"eng","author":[{"family":"Makhijani","given":"Kalpana"},{"family":"Alexander","given":"Brandy"},{"family":"Rao","given":"Deepti"},{"family":"Petraki","given":"Sophia"},{"family":"Herboso","given":"Leire"},{"family":"Kukar","given":"Katelyn"},{"family":"Batool","given":"Itrat"},{"family":"Wachner","given":"Stephanie"},{"family":"Gold","given":"Katrina S."},{"family":"Wong","given":"Corinna"},{"family":"O'Connor","given":"Michael B."},{"family":"Brückner","given":"Katja"}],"issued":{"date-parts":[["2017"]],"season":"27"}}}],"schema":"https://github.com/citation-style-language/schema/raw/master/csl-citation.json"} </w:instrText>
      </w:r>
      <w:r>
        <w:fldChar w:fldCharType="separate"/>
      </w:r>
      <w:r w:rsidR="004A1963" w:rsidRPr="004A1963">
        <w:rPr>
          <w:rFonts w:ascii="Calibri" w:hAnsi="Calibri"/>
        </w:rPr>
        <w:t>(277,278)</w:t>
      </w:r>
      <w:r>
        <w:fldChar w:fldCharType="end"/>
      </w:r>
      <w:r>
        <w:t xml:space="preserve"> or adult hematopoietic sites </w:t>
      </w:r>
      <w:r>
        <w:fldChar w:fldCharType="begin"/>
      </w:r>
      <w:r w:rsidR="000A209C">
        <w:instrText xml:space="preserve"> ADDIN ZOTERO_ITEM CSL_CITATION {"citationID":"lLX2xNnw","properties":{"formattedCitation":"(279)","plainCitation":"(279)","noteIndex":0},"citationItems":[{"id":1265,"uris":["http://zotero.org/users/952979/items/ZGMUVFKX"],"uri":["http://zotero.org/users/952979/items/ZGMUVFKX"],"itemData":{"id":1265,"type":"article-journal","title":"Active Hematopoietic Hubs in Drosophila Adults Generate Hemocytes and Contribute to Immune Response","container-title":"Developmental Cell","page":"478-488","volume":"33","issue":"4","source":"ScienceDirect","abstract":"Summary\nBlood cell development in Drosophila shares significant similarities with vertebrate. The conservation ranges from biphasic mode of hematopoiesis to signaling molecules crucial for progenitor cell formation, maintenance, and differentiation. Primitive hematopoiesis in Drosophila ensues in embryonic head mesoderm, whereas definitive hematopoiesis happens in larval hematopoietic organ, the lymph gland. This organ, with the onset of pupation, ruptures to release hemocytes into circulation. It is believed that the adult lacks a hematopoietic organ and survives on the contribution of both embryonic and larval hematopoiesis. However, our studies revealed a surge of blood cell development in the dorsal abdominal hemocyte clusters of adult fly. These active hematopoietic hubs are capable of blood cell specification and can respond to bacterial challenges. The presence of progenitors and differentiated hemocytes embedded in a functional network of Laminin A and Pericardin within this hematopoietic hub projects it as a simple version of the vertebrate bone marrow.","DOI":"10.1016/j.devcel.2015.03.014","ISSN":"1534-5807","journalAbbreviation":"Developmental Cell","author":[{"family":"Ghosh","given":"Saikat"},{"family":"Singh","given":"Arashdeep"},{"family":"Mandal","given":"Sudip"},{"family":"Mandal","given":"Lolitika"}],"issued":{"date-parts":[["2015",5,26]]}}}],"schema":"https://github.com/citation-style-language/schema/raw/master/csl-citation.json"} </w:instrText>
      </w:r>
      <w:r>
        <w:fldChar w:fldCharType="separate"/>
      </w:r>
      <w:r w:rsidR="004A1963" w:rsidRPr="004A1963">
        <w:rPr>
          <w:rFonts w:ascii="Calibri" w:hAnsi="Calibri"/>
        </w:rPr>
        <w:t>(279)</w:t>
      </w:r>
      <w:r>
        <w:fldChar w:fldCharType="end"/>
      </w:r>
      <w:r>
        <w:t xml:space="preserve">. Moreover, this would reveal if these populations seed or reside within specific tissues or locations in the larvae or adult, such as the sessile patches </w:t>
      </w:r>
      <w:r>
        <w:fldChar w:fldCharType="begin"/>
      </w:r>
      <w:r w:rsidR="000A209C">
        <w:instrText xml:space="preserve"> ADDIN ZOTERO_ITEM CSL_CITATION {"citationID":"rewQHqFV","properties":{"formattedCitation":"(263,274)","plainCitation":"(263,274)","noteIndex":0},"citationItems":[{"id":1338,"uris":["http://zotero.org/users/952979/items/8ZS7DKZG"],"uri":["http://zotero.org/users/952979/items/8ZS7DKZG"],"itemData":{"id":1338,"type":"article-journal","title":"Drosophila sessile hemocyte clusters are true hematopoietic tissues that regulate larval blood cell differentiation","container-title":"eLife","volume":"4","source":"PubMed Central","abstract":"Virtually all species of coelomate animals contain blood cells that display a division of labor necessary for homeostasis. This functional partition depends upon the balance between proliferation and differentiation mostly accomplished in the hematopoietic organs. In Drosophila melanogaster, the lymph gland produces plasmatocytes and crystal cells that are not released until pupariation. Yet, throughout larval development, both hemocyte types increase in numbers. Mature plasmatocytes can proliferate but it is not known if crystal cell numbers increase by self-renewal or by de novo differentiation. We show that new crystal cells in third instar larvae originate through a Notch-dependent process of plasmatocyte transdifferentiation. This process occurs in the sessile clusters and is contingent upon the integrity of these structures. The existence of this hematopoietic tissue, relying on structure-dependent signaling events to promote blood homeostasis, creates a new paradigm for addressing outstanding questions in Drosophila hematopoiesis and establishing further parallels with vertebrate systems., DOI:\nhttp://dx.doi.org/10.7554/eLife.06166.001, Insects have several different types of blood cell, many of which are unable to divide to form new cells once they have matured. Instead, fresh blood cells are normally generated in specialized ‘hematopoietic’ organs, such as the lymph gland in the Drosophila species of fruit fly. The structure of these organs plays an important role in controlling how new blood cells develop., Drosophila embryos make two types of blood cell: plasmatocytes and crystal cells. Both defend against harmful microorganisms, but in different ways. Plasmatocytes engulf and destroy invaders, whereas crystal cells release chemicals that encase microbes in a hardened gel. The blood cells made in the Drosophila embryo are still present once the fly enters its larval stages. At this stage of development, most of the blood cells are found in clusters attached to the cuticle that covers the larva's surface, but a few circulate freely around the larva's body., As a Drosophila larva develops, the number of blood cells in the larva increases. However, previous work has shown these additional blood cells are not normally released from the lymph gland of the larva. Furthermore, mature crystal cells do not appear to form new cells by dividing in two., Leitão and Sucena now show that the stationary clusters of blood cells produce new crystal cells in Drosophila larvae. Within the clusters, plasmatocytes are made to turn into crystal cells via a signaling pathway controlled by a protein called Notch. This pathway was already known to be essential for forming crystal cells. Leitão and Sucena also show that the structure of the clusters influences whether crystal cells are made, which means that the clusters can be considered to be hematopoietic tissue., It is now important to compare how the production of the same cell type is controlled in two distinct hematopoietic structures: the clusters and the lymph gland. From this comparison, general principles may be drawn and tested in other systems, including vertebrates., DOI:\nhttp://dx.doi.org/10.7554/eLife.06166.002","URL":"http://www.ncbi.nlm.nih.gov/pmc/articles/PMC4357286/","DOI":"10.7554/eLife.06166","ISSN":"2050-084X","note":"PMID: 25650737\nPMCID: PMC4357286","journalAbbreviation":"eLife","author":[{"family":"Leitão","given":"Alexandre B"},{"family":"Sucena","given":"Élio"}],"issued":{"date-parts":[["2015"]]},"accessed":{"date-parts":[["2015",10,2]]}}},{"id":1237,"uris":["http://zotero.org/users/952979/items/KHBA5MKA"],"uri":["http://zotero.org/users/952979/items/KHBA5MKA"],"itemData":{"id":1237,"type":"article-journal","title":"In vivo immunostaining of hemocyte compartments in Drosophila for live imaging","container-title":"PloS One","page":"e98191","volume":"9","issue":"6","source":"PubMed","abstract":"In recent years, Drosophila melanogaster has become an attractive model organism in which to study the structure and development of the cellular immune components. The emergence of immunological markers greatly accelerated the identification of the immune cells (hemocytes), while the creation of genetic reporter constructs allowed unique insight into the structural organization of hematopoietic tissues. However, investigation of the hemocyte compartments by the means of immunological markers requires dissection and fixation, which regularly disrupt the delicate structure and hamper the microanatomical characterization. Moreover, the investigation of transgenic reporters alone can be misleading as their expression often differs from the native expression pattern of their respective genes. We describe here a method that combines the reporter constructs and the immunological tools in live imaging, thereby allowing use of the array of available immunological markers while retaining the structural integrity of the hematopoietic compartments. The procedure allows the reversible immobilization of Drosophila larvae for high-resolution confocal imaging and the time-lapse video analysis of in vivo reporters. When combined with our antibody injection-based in situ immunostaining assay, the resulting double labeling of the hemocyte compartments can provide new information on the microanatomy and functional properties of the hematopoietic tissues in an intact state. Although this method was developed to study the immune system of Drosophila melanogaster, we anticipate that such a combination of genetic and immunological markers could become a versatile technique for in vivo studies in other biological systems too.","DOI":"10.1371/journal.pone.0098191","ISSN":"1932-6203","note":"PMID: 24892745\nPMCID: PMC4043501","journalAbbreviation":"PLoS ONE","language":"eng","author":[{"family":"Csordás","given":"Gábor"},{"family":"Varga","given":"Gergely I. B."},{"family":"Honti","given":"Viktor"},{"family":"Jankovics","given":"Ferenc"},{"family":"Kurucz","given":"Éva"},{"family":"Andó","given":"István"}],"issued":{"date-parts":[["2014"]]}}}],"schema":"https://github.com/citation-style-language/schema/raw/master/csl-citation.json"} </w:instrText>
      </w:r>
      <w:r>
        <w:fldChar w:fldCharType="separate"/>
      </w:r>
      <w:r w:rsidR="004A1963" w:rsidRPr="004A1963">
        <w:rPr>
          <w:rFonts w:ascii="Calibri" w:hAnsi="Calibri"/>
        </w:rPr>
        <w:t>(263,274)</w:t>
      </w:r>
      <w:r>
        <w:fldChar w:fldCharType="end"/>
      </w:r>
      <w:r>
        <w:t xml:space="preserve">. If this were true, then this would further the similarities between hemocytes and mammalian macrophages, which exist as tissue resident populations that originate from embryonic precursors </w:t>
      </w:r>
      <w:r>
        <w:fldChar w:fldCharType="begin"/>
      </w:r>
      <w:r w:rsidR="000A209C">
        <w:instrText xml:space="preserve"> ADDIN ZOTERO_ITEM CSL_CITATION {"citationID":"S9gz0YdE","properties":{"formattedCitation":"(8\\uc0\\u8211{}11)","plainCitation":"(8–11)","noteIndex":0},"citationItems":[{"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id":32,"uris":["http://zotero.org/users/952979/items/99NC5UPT"],"uri":["http://zotero.org/users/952979/items/99NC5UPT"],"itemData":{"id":32,"type":"article-journal","title":"Fate mapping reveals origins and dynamics of monocytes and tissue macrophages under homeostasis","container-title":"Immunity","page":"79-91","volume":"38","issue":"1","source":"PubMed","abstract":"Mononuclear phagocytes, including monocytes, macrophages, and dendritic cells, contribute to tissue integrity as well as to innate and adaptive immune defense. Emerging evidence for labor division indicates that manipulation of these cells could bear therapeutic potential. However, specific ontogenies of individual populations and the overall functional organization of this cellular network are not well defined. Here we report a fate-mapping study of the murine monocyte and macrophage compartment taking advantage of constitutive and conditional CX(3)CR1 promoter-driven Cre recombinase expression. We have demonstrated that major tissue-resident macrophage populations, including liver Kupffer cells and lung alveolar, splenic, and peritoneal macrophages, are established prior to birth and maintain themselves subsequently during adulthood independent of replenishment by blood monocytes. Furthermore, we have established that short-lived Ly6C(+) monocytes constitute obligatory steady-state precursors of blood-resident Ly6C(-) cells and that the abundance of Ly6C(+) blood monocytes dynamically controls the circulation lifespan of their progeny.","DOI":"10.1016/j.immuni.2012.12.001","ISSN":"1097-4180","note":"PMID: 23273845\nPMCID: PMC3908543","journalAbbreviation":"Immunity","language":"eng","author":[{"family":"Yona","given":"Simon"},{"family":"Kim","given":"Ki-Wook"},{"family":"Wolf","given":"Yochai"},{"family":"Mildner","given":"Alexander"},{"family":"Varol","given":"Diana"},{"family":"Breker","given":"Michal"},{"family":"Strauss-Ayali","given":"Dalit"},{"family":"Viukov","given":"Sergey"},{"family":"Guilliams","given":"Martin"},{"family":"Misharin","given":"Alexander"},{"family":"Hume","given":"David A."},{"family":"Perlman","given":"Harris"},{"family":"Malissen","given":"Bernard"},{"family":"Zelzer","given":"Elazar"},{"family":"Jung","given":"Steffen"}],"issued":{"date-parts":[["2013",1,24]]}}},{"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fldChar w:fldCharType="separate"/>
      </w:r>
      <w:r w:rsidR="00A53A6B" w:rsidRPr="00A53A6B">
        <w:rPr>
          <w:rFonts w:ascii="Calibri" w:hAnsi="Calibri" w:cs="Times New Roman"/>
        </w:rPr>
        <w:t>(8–11)</w:t>
      </w:r>
      <w:r>
        <w:fldChar w:fldCharType="end"/>
      </w:r>
      <w:r>
        <w:t xml:space="preserve">. In relation to this, another outstanding question relates to the role of the tissue environment in shaping hemocyte phenotypes/behaviours. It is possible that the identified subpopulations are exposed to different environments within the embryo during developmental migration (for example, hemocytes undergoing migration along the dorsal side of the embryo must penetrate the germband which requires TNF </w:t>
      </w:r>
      <w:r>
        <w:fldChar w:fldCharType="begin"/>
      </w:r>
      <w:r w:rsidR="000A209C">
        <w:instrText xml:space="preserve"> ADDIN ZOTERO_ITEM CSL_CITATION {"citationID":"Pip1NfKz","properties":{"formattedCitation":"(221,223)","plainCitation":"(221,223)","noteIndex":0},"citationItems":[{"id":7,"uris":["http://zotero.org/users/952979/items/9FA499N8"],"uri":["http://zotero.org/users/952979/items/9FA499N8"],"itemData":{"id":7,"type":"article-journal","title":"Drosophila TNF Modulates Tissue Tension in the Embryo to Facilitate Macrophage Invasive Migration","container-title":"Developmental Cell","page":"331-346.e7","volume":"45","issue":"3","source":"PubMed","abstract":"Migrating cells penetrate tissue barriers during development, inflammatory responses, and tumor metastasis. We study if migration in vivo in such three-dimensionally confined environments requires changes in the mechanical properties of the surrounding cells using embryonic Drosophila melanogaster hemocytes, also called macrophages, as a model. We find that macrophage invasion into the germband through transient separation of the apposing ectoderm and mesoderm requires cell deformations and reductions in apical tension in the ectoderm. Interestingly, the genetic pathway governing these mechanical shifts acts downstream of the only known tumor necrosis factor superfamily member in Drosophila, Eiger, and its receptor, Grindelwald. Eiger-Grindelwald signaling reduces levels of active Myosin in the germband ectodermal cortex through the localization of a Crumbs complex component, Patj (Pals-1-associated tight junction protein). We therefore elucidate a distinct molecular pathway that controls tissue tension and demonstrate the importance of such regulation for invasive migration in vivo.","DOI":"10.1016/j.devcel.2018.04.002","ISSN":"1878-1551","note":"PMID: 29738712","journalAbbreviation":"Dev. Cell","language":"eng","author":[{"family":"Ratheesh","given":"Aparna"},{"family":"Biebl","given":"Julia"},{"family":"Vesela","given":"Jana"},{"family":"Smutny","given":"Michael"},{"family":"Papusheva","given":"Ekaterina"},{"family":"Krens","given":"S. F. Gabriel"},{"family":"Kaufmann","given":"Walter"},{"family":"Gyoergy","given":"Attila"},{"family":"Casano","given":"Alessandra Maria"},{"family":"Siekhaus","given":"Daria E."}],"issued":{"date-parts":[["2018"]],"season":"07"}}},{"id":1269,"uris":["http://zotero.org/users/952979/items/EE4A5MIV"],"uri":["http://zotero.org/users/952979/items/EE4A5MIV"],"itemData":{"id":1269,"type":"article-journal","title":"Drosophila immune cell migration and adhesion during embryonic development and larval immune responses","container-title":"Current Opinion in Cell Biology","collection-title":"Cell adhesion and migration","page":"71-79","volume":"36","source":"ScienceDirect","abstract":"The majority of immune cells in Drosophila melanogaster are plasmatocytes; they carry out similar functions to vertebrate macrophages, influencing development as well as protecting against infection and cancer. Plasmatocytes, sometimes referred to with the broader term of hemocytes, migrate widely during embryonic development and cycle in the larvae between sessile and circulating positions. Here we discuss the similarities of plasmatocyte developmental migration and its functions to that of vertebrate macrophages, considering the recent controversy regarding the functions of Drosophila PDGF/VEGF related ligands. We also examine recent findings on the significance of adhesion for plasmatocyte migration in the embryo, as well as proliferation, trans-differentiation, and tumor responses in the larva. We spotlight parallels throughout to vertebrate immune responses.","DOI":"10.1016/j.ceb.2015.07.003","ISSN":"0955-0674","journalAbbreviation":"Current Opinion in Cell Biology","author":[{"family":"Ratheesh","given":"Aparna"},{"family":"Belyaeva","given":"Vera"},{"family":"Siekhaus","given":"Daria E"}],"issued":{"date-parts":[["2015",10]]}}}],"schema":"https://github.com/citation-style-language/schema/raw/master/csl-citation.json"} </w:instrText>
      </w:r>
      <w:r>
        <w:fldChar w:fldCharType="separate"/>
      </w:r>
      <w:r w:rsidR="004A1963" w:rsidRPr="004A1963">
        <w:rPr>
          <w:rFonts w:ascii="Calibri" w:hAnsi="Calibri"/>
        </w:rPr>
        <w:t>(221,223)</w:t>
      </w:r>
      <w:r>
        <w:fldChar w:fldCharType="end"/>
      </w:r>
      <w:r>
        <w:t xml:space="preserve">). For example, VT32897 appears to be mostly localised along the dorsal side of the embryo </w:t>
      </w:r>
      <w:r w:rsidRPr="00DD149E">
        <w:t>(Fig 3.11).</w:t>
      </w:r>
      <w:r>
        <w:t xml:space="preserve"> It is not clear if this is true or what effect this may have on the activation of enhancers within hemocytes. However, there is precedent for this in the mammalian macrophage literature </w:t>
      </w:r>
      <w:r>
        <w:fldChar w:fldCharType="begin"/>
      </w:r>
      <w:r w:rsidR="000A209C">
        <w:instrText xml:space="preserve"> ADDIN ZOTERO_ITEM CSL_CITATION {"citationID":"CSoDNPUx","properties":{"formattedCitation":"(108,113)","plainCitation":"(108,113)","noteIndex":0},"citationItems":[{"id":1675,"uris":["http://zotero.org/users/952979/items/BSPBKZ6Q"],"uri":["http://zotero.org/users/952979/items/BSPBKZ6Q"],"itemData":{"id":1675,"type":"article-journal","title":"Environment drives selection and function of enhancers controlling tissue-specific macrophage identities","container-title":"Cell","page":"1327-1340","volume":"159","issue":"6","source":"PubMed Central","abstract":"Macrophages reside in essentially all tissues of the body and play key roles in innate and adaptive immune responses. Distinct populations of tissue macrophages also acquire context-specific functions that are important for normal tissue homeostasis. To investigate mechanisms responsible for tissue-specific functions, we analyzed the transcriptomes and enhancer landscapes of brain microglia and resident macrophages of the peritoneal cavity. In addition, we exploited natural genetic variation as a genome-wide ‘mutagenesis’ strategy to identify DNA recognition motifs for transcription factors that promote common or subset-specific binding of the macrophage lineage-determining factor PU.1. We find that distinct tissue environments drive divergent programs of gene expression by differentially activating a common enhancer repertoire and by inducing the expression of divergent secondary transcription factors that collaborate with PU.1 to establish tissue–specific enhancers. These findings provide insights into molecular mechanisms by which tissue environment influences macrophage phenotypes that are likely to be broadly applicable to other cell types.","DOI":"10.1016/j.cell.2014.11.023","ISSN":"0092-8674","note":"PMID: 25480297\nPMCID: PMC4364385","journalAbbreviation":"Cell","author":[{"family":"Gosselin","given":"David"},{"family":"Link","given":"Verena"},{"family":"Romanoski","given":"Casey E."},{"family":"Fonseca","given":"Gregory J."},{"family":"Eichenfield","given":"Dawn Z."},{"family":"Spann","given":"Nathaneal J."},{"family":"Stender","given":"Joshua D."},{"family":"Chun","given":"Hyun B."},{"family":"Garner","given":"Hannah"},{"family":"Geissmann","given":"Frederic"},{"family":"Glass","given":"Christopher K."}],"issued":{"date-parts":[["2014",12,4]]}}},{"id":1877,"uris":["http://zotero.org/users/952979/items/W2LQ989H"],"uri":["http://zotero.org/users/952979/items/W2LQ989H"],"itemData":{"id":1877,"type":"article-journal","title":"The human heart contains distinct macrophage subsets with divergent origins and functions","container-title":"Nature Medicine","page":"1234","volume":"24","issue":"8","source":"www-nature-com.sheffield.idm.oclc.org","abstract":"Study of macrophage heterogeneity in human hearts reveals a subset of inflammatory macrophages that is associated with cardiac dysfunction in patients with heart failure.","DOI":"10.1038/s41591-018-0059-x","ISSN":"1546-170X","language":"En","author":[{"family":"Bajpai","given":"Geetika"},{"family":"Schneider","given":"Caralin"},{"family":"Wong","given":"Nicole"},{"family":"Bredemeyer","given":"Andrea"},{"family":"Hulsmans","given":"Maarten"},{"family":"Nahrendorf","given":"Matthias"},{"family":"Epelman","given":"Slava"},{"family":"Kreisel","given":"Daniel"},{"family":"Liu","given":"Yongjian"},{"family":"Itoh","given":"Akinobu"},{"family":"Shankar","given":"Thirupura S."},{"family":"Selzman","given":"Craig H."},{"family":"Drakos","given":"Stavros G."},{"family":"Lavine","given":"Kory J."}],"issued":{"date-parts":[["2018",8]]}}}],"schema":"https://github.com/citation-style-language/schema/raw/master/csl-citation.json"} </w:instrText>
      </w:r>
      <w:r>
        <w:fldChar w:fldCharType="separate"/>
      </w:r>
      <w:r w:rsidR="004A1963" w:rsidRPr="004A1963">
        <w:rPr>
          <w:rFonts w:ascii="Calibri" w:hAnsi="Calibri"/>
        </w:rPr>
        <w:t>(108,113)</w:t>
      </w:r>
      <w:r>
        <w:fldChar w:fldCharType="end"/>
      </w:r>
      <w:r>
        <w:t xml:space="preserve">. It may therefore be useful to perform longer timelapse imaging from earlier developmental stages. An additional outstanding question relates to the potential overlap, or lack of, between the VT subpopulations. I have created transgenic constructs with each VT enhancer directly promoting the expression of either nlsGFP or nlsRFP. These lines could be used to determine if the identified subpopulations are distinct or have some overlap. Indeed, there are some similarities in the functions of the populations, which VT17559 and VT62766 demonstrating very similar </w:t>
      </w:r>
      <w:r w:rsidR="006A0DEC">
        <w:t xml:space="preserve">percentages of hemocytes recruited to </w:t>
      </w:r>
      <w:r>
        <w:t>wound</w:t>
      </w:r>
      <w:r w:rsidR="006A0DEC">
        <w:t>s</w:t>
      </w:r>
      <w:r>
        <w:t xml:space="preserve"> and rates of efferocytosis (Figs 3.11 and 3.12). However, without performing experiments in which the nlsGFP and nlsRFP transgenic constructs are crossed together, we cannot be certain if the populations are indeed distinct or if they display some degree of overlap. </w:t>
      </w:r>
    </w:p>
    <w:p w14:paraId="762E3EDD" w14:textId="77777777" w:rsidR="004B5501" w:rsidRDefault="004B5501" w:rsidP="004B5501">
      <w:pPr>
        <w:pStyle w:val="Thesisnormal"/>
      </w:pPr>
    </w:p>
    <w:p w14:paraId="672EAD41" w14:textId="74A87329" w:rsidR="004B5501" w:rsidRDefault="004B5501" w:rsidP="004B5501">
      <w:pPr>
        <w:pStyle w:val="Thesisnormal"/>
      </w:pPr>
      <w:r>
        <w:t xml:space="preserve">In 2007, antibodies developed by the Ando lab were shown to bind to unknown antigens on a subset of plasmatocytes </w:t>
      </w:r>
      <w:r>
        <w:fldChar w:fldCharType="begin"/>
      </w:r>
      <w:r w:rsidR="000A209C">
        <w:instrText xml:space="preserve"> ADDIN ZOTERO_ITEM CSL_CITATION {"citationID":"nwFGqx4p","properties":{"formattedCitation":"(276)","plainCitation":"(276)","noteIndex":0},"citationItems":[{"id":1326,"uris":["http://zotero.org/users/952979/items/IGPCI8FJ"],"uri":["http://zotero.org/users/952979/items/IGPCI8FJ"],"itemData":{"id":1326,"type":"article-journal","title":"Definition of Drosophila hemocyte subsets by cell-type specific antigens","container-title":"Acta Biologica Hungarica","page":"95-111","volume":"58 Suppl","source":"PubMed","abstract":"We analyzed the heterogeneity of Drosophila hemocytes on the basis of the expression of cell-type specific antigens. The antigens characterize distinct subsets which partially overlap with those defined by morphological criteria. On the basis of the expression or the lack of expression of blood cell antigens the following hemocyte populations have been defined: crystal cells, plasmatocytes, lamellocytes and precursor cells. The expression of the antigens and thus the different cell types are developmentally regulated. The hemocytes are arranged in four main compartments: the circulating blood cells, the sessile tissue, the lymph glands and the posterior hematopoietic tissue. Each hemocyte compartment has a specific and characteristic composition of the various cell types. The described markers represent the first successful attempt to define hemocyte lineages by immunological markers in Drosophila and help to define morphologically, functionally, spatially and developmentally distinct subsets of hemocytes.","DOI":"10.1556/ABiol.58.2007.Suppl.8","ISSN":"0236-5383","note":"PMID: 18297797","journalAbbreviation":"Acta. Biol. Hung.","language":"eng","author":[{"family":"Kurucz","given":"Eva"},{"family":"Váczi","given":"B."},{"family":"Márkus","given":"R."},{"family":"Laurinyecz","given":"Barbara"},{"family":"Vilmos","given":"P."},{"family":"Zsámboki","given":"J."},{"family":"Csorba","given":"Kinga"},{"family":"Gateff","given":"Elisabeth"},{"family":"Hultmark","given":"D."},{"family":"Andó","given":"I."}],"issued":{"date-parts":[["2007"]]}}}],"schema":"https://github.com/citation-style-language/schema/raw/master/csl-citation.json"} </w:instrText>
      </w:r>
      <w:r>
        <w:fldChar w:fldCharType="separate"/>
      </w:r>
      <w:r w:rsidR="004A1963" w:rsidRPr="004A1963">
        <w:rPr>
          <w:rFonts w:ascii="Calibri" w:hAnsi="Calibri"/>
        </w:rPr>
        <w:t>(276)</w:t>
      </w:r>
      <w:r>
        <w:fldChar w:fldCharType="end"/>
      </w:r>
      <w:r>
        <w:t xml:space="preserve">. As we have not examined membrane antigen expression within our identified subpopulations, it would be a useful to utilise these antibodies in </w:t>
      </w:r>
      <w:r>
        <w:lastRenderedPageBreak/>
        <w:t xml:space="preserve">conjunction with our enhancer-labelled subpopulations in </w:t>
      </w:r>
      <w:r w:rsidRPr="00EA3813">
        <w:t>future</w:t>
      </w:r>
      <w:r>
        <w:t xml:space="preserve"> work. Additionally, due to the labelling of non-hemocyte enhancer positive cells, additional labels and markers would be highly useful for future studies (for example, a split GAL4 approach using VT enhancer regions and hemocyte-specific enhancers, e.g. </w:t>
      </w:r>
      <w:r w:rsidRPr="00A633BD">
        <w:rPr>
          <w:i/>
        </w:rPr>
        <w:t>srp</w:t>
      </w:r>
      <w:r>
        <w:t>). However, it is clear that the enhancer based-labelling is robust and we have therefore successfully developed novel tools that can be utilised by other research groups to investigate hemocyte subpopulations.</w:t>
      </w:r>
    </w:p>
    <w:p w14:paraId="04B971F4" w14:textId="77777777" w:rsidR="004B5501" w:rsidRDefault="004B5501" w:rsidP="004B5501">
      <w:pPr>
        <w:pStyle w:val="Thesisnormal"/>
      </w:pPr>
    </w:p>
    <w:p w14:paraId="5955613A" w14:textId="05C03F20" w:rsidR="004B5501" w:rsidRDefault="004B5501" w:rsidP="004B5501">
      <w:pPr>
        <w:pStyle w:val="Thesisnormal"/>
      </w:pPr>
      <w:r>
        <w:t xml:space="preserve">Enhancers act over large distances, independent of their orientation </w:t>
      </w:r>
      <w:r>
        <w:fldChar w:fldCharType="begin"/>
      </w:r>
      <w:r w:rsidR="000A209C">
        <w:instrText xml:space="preserve"> ADDIN ZOTERO_ITEM CSL_CITATION {"citationID":"zLAm7bSr","properties":{"formattedCitation":"(327,328)","plainCitation":"(327,328)","noteIndex":0},"citationItems":[{"id":1677,"uris":["http://zotero.org/users/952979/items/XH2INXG2"],"uri":["http://zotero.org/users/952979/items/XH2INXG2"],"itemData":{"id":1677,"type":"article-journal","title":"Enhancers, enhancers - from their discovery to today's universe of transcription enhancers","container-title":"Biological Chemistry","page":"311-327","volume":"396","issue":"4","source":"PubMed","abstract":"Transcriptional enhancers are short (200-1500 base pairs) DNA segments that are able to dramatically boost transcription from the promoter of a target gene. Originally discovered in simian virus 40 (SV40), a small DNA virus, transcription enhancers were soon also found in immunoglobulin genes and other cellular genes as key determinants of cell-type-specific gene expression. Enhancers can exert their effect over long distances of thousands, even hundreds of thousands of base pairs, either from upstream, downstream, or from within a transcription unit. The number of enhancers in eukaryotic genomes correlates with the complexity of the organism; a typical mammalian gene is likely controlled by several enhancers to fine-tune its expression at different developmental stages, in different cell types and in response to different signaling cues. Here, I provide a personal account of how enhancers were discovered more than 30 years ago, and also address the amazing development of the field since then.","DOI":"10.1515/hsz-2014-0303","ISSN":"1437-4315","note":"PMID: 25719310","journalAbbreviation":"Biol. Chem.","language":"eng","author":[{"family":"Schaffner","given":"Walter"}],"issued":{"date-parts":[["2015",4]]}}},{"id":1483,"uris":["http://zotero.org/users/952979/items/FSGPFFT2"],"uri":["http://zotero.org/users/952979/items/FSGPFFT2"],"itemData":{"id":1483,"type":"article-journal","title":"Enhancer transcription: what, where, when, and why?","container-title":"Genes &amp; Development","page":"1-3","volume":"32","issue":"1","source":"PubMed","abstract":"Following the discovery of widespread enhancer transcription, enhancers and promoters have been found to be far more similar than previously thought. In this issue ofGenes &amp; Development, two studies (Henriques and colleagues [pp. 26-41] and Mikhaylichenko and colleagues [pp. 42-57]) shine new light on the transcriptional nature of promoters and enhancers inDrosophilaTogether, these studies support recent work in mammalian cells that indicates that most active enhancers drive local transcription using factors and mechanisms similar to those of promoters. Intriguingly, enhancer transcription is shown to be coordinated by SPT5- and P-TEFb-mediated pause-release, but the pause half-life is shorter, and termination is more rapid at enhancers than at promoters. Moreover, bidirectional transcription from promoters is associated with enhancer activity, lending further credence to models in which regulatory elements exist along a spectrum of promoter-ness and enhancer-ness. We propose a general unified model to explain possible functions of transcription at enhancers.","DOI":"10.1101/gad.311605.118","ISSN":"1549-5477","note":"PMID: 29440223","shortTitle":"Enhancer transcription","journalAbbreviation":"Genes Dev.","language":"eng","author":[{"family":"Tippens","given":"Nathaniel D."},{"family":"Vihervaara","given":"Anniina"},{"family":"Lis","given":"John T."}],"issued":{"date-parts":[["2018",1,1]]}}}],"schema":"https://github.com/citation-style-language/schema/raw/master/csl-citation.json"} </w:instrText>
      </w:r>
      <w:r>
        <w:fldChar w:fldCharType="separate"/>
      </w:r>
      <w:r w:rsidR="004A1963" w:rsidRPr="004A1963">
        <w:rPr>
          <w:rFonts w:ascii="Calibri" w:hAnsi="Calibri"/>
        </w:rPr>
        <w:t>(327,328)</w:t>
      </w:r>
      <w:r>
        <w:fldChar w:fldCharType="end"/>
      </w:r>
      <w:r>
        <w:t xml:space="preserve">, making it difficult to determine which genes are being controlled by specific enhancers. Indeed, there are limited techniques available for determining, which genes are controlled by an enhancer. One such method involves cross-linking of the enhancer and the promoter DNA sequence with formaldehyde </w:t>
      </w:r>
      <w:r>
        <w:fldChar w:fldCharType="begin"/>
      </w:r>
      <w:r w:rsidR="000A209C">
        <w:instrText xml:space="preserve"> ADDIN ZOTERO_ITEM CSL_CITATION {"citationID":"ilvZynRX","properties":{"formattedCitation":"(326)","plainCitation":"(326)","noteIndex":0},"citationItems":[{"id":1680,"uris":["http://zotero.org/users/952979/items/R2GSCW6N"],"uri":["http://zotero.org/users/952979/items/R2GSCW6N"],"itemData":{"id":1680,"type":"article-journal","title":"Enhancers: five essential questions","container-title":"Nature reviews. Genetics","page":"288-295","volume":"14","issue":"4","source":"PubMed Central","abstract":"It is estimated that the human genome contains hundreds of thousands of enhancers, so understanding these gene-regulatory elements is a crucial goal. Several fundamental questions need to be addressed about enhancers, such as how do we identify them all, how do they work, and how do they contribute to disease and evolution? Five prominent researchers in this field look at how much we know already and what needs to be done to answer these questions.","DOI":"10.1038/nrg3458","ISSN":"1471-0056","note":"PMID: 23503198\nPMCID: PMC4445073","shortTitle":"Enhancers","journalAbbreviation":"Nat Rev Genet","author":[{"family":"Pennacchio","given":"Len A."},{"family":"Bickmore","given":"Wendy"},{"family":"Dean","given":"Ann"},{"family":"Nobrega","given":"Marcelo A."},{"family":"Bejerano","given":"Gill"}],"issued":{"date-parts":[["2013",4]]}}}],"schema":"https://github.com/citation-style-language/schema/raw/master/csl-citation.json"} </w:instrText>
      </w:r>
      <w:r>
        <w:fldChar w:fldCharType="separate"/>
      </w:r>
      <w:r w:rsidR="004A1963" w:rsidRPr="004A1963">
        <w:rPr>
          <w:rFonts w:ascii="Calibri" w:hAnsi="Calibri"/>
        </w:rPr>
        <w:t>(326)</w:t>
      </w:r>
      <w:r>
        <w:fldChar w:fldCharType="end"/>
      </w:r>
      <w:r>
        <w:t xml:space="preserve">. Utilising </w:t>
      </w:r>
      <w:r w:rsidRPr="00226919">
        <w:rPr>
          <w:i/>
        </w:rPr>
        <w:t>in situ</w:t>
      </w:r>
      <w:r>
        <w:t xml:space="preserve"> hybridisation (ISH) would be an informative future experiment that could confirm or reject the potential genes being controlled by the enhancer (Table 3.1) based on overlap of staining with individual genes. This would enable further, gene-specific, investigations to </w:t>
      </w:r>
      <w:r w:rsidRPr="00283BB0">
        <w:t xml:space="preserve">understand </w:t>
      </w:r>
      <w:r>
        <w:t>the potential mechanisms underlying the subpopulations. Experiments utilising qPCR are currently being undertaken with a collaborating research group to investigate the potential roles of the possible VT-associated genes in promoting pro- or anti-inflammatory genes in larval hemocytes. By assessing a panel of classical pro- and anti-inflammatory genes, the effects of overexpression or knockdown of VT-controlled genes specifically in hemocytes (</w:t>
      </w:r>
      <w:r w:rsidRPr="00283BB0">
        <w:rPr>
          <w:i/>
        </w:rPr>
        <w:t>hml-GAL4</w:t>
      </w:r>
      <w:r>
        <w:t xml:space="preserve">) can be evaluated with regards to their potential mechanisms. </w:t>
      </w:r>
    </w:p>
    <w:p w14:paraId="3B7FC1C4" w14:textId="77777777" w:rsidR="004B5501" w:rsidRDefault="004B5501" w:rsidP="004B5501">
      <w:pPr>
        <w:pStyle w:val="Thesisnormal"/>
      </w:pPr>
    </w:p>
    <w:p w14:paraId="2F3951EC" w14:textId="4FE7C3E7" w:rsidR="004B5501" w:rsidRDefault="004B5501" w:rsidP="004B5501">
      <w:pPr>
        <w:pStyle w:val="Thesisnormal"/>
      </w:pPr>
      <w:r>
        <w:t xml:space="preserve">One of the most important, and biggest, remaining questions is in relation to the transcriptional profile of the identified subpopulations. Due to time restrictions, it was not possible to perform transcriptional profiling on the subpopulations. However, RNA-sequencing experiments could be performed using either laser-capture micro-dissection of single hemocytes from embryos followed by single-cell RNAseq </w:t>
      </w:r>
      <w:r>
        <w:fldChar w:fldCharType="begin"/>
      </w:r>
      <w:r w:rsidR="000A209C">
        <w:instrText xml:space="preserve"> ADDIN ZOTERO_ITEM CSL_CITATION {"citationID":"kPRnT89X","properties":{"formattedCitation":"(358,359)","plainCitation":"(358,359)","noteIndex":0},"citationItems":[{"id":1763,"uris":["http://zotero.org/users/952979/items/9QFFBWBK"],"uri":["http://zotero.org/users/952979/items/9QFFBWBK"],"itemData":{"id":1763,"type":"article-journal","title":"Laser Capture Microdissection of Drosophila Peripheral Neurons","container-title":"Journal of Visualized Experiments : JoVE","issue":"39","source":"PubMed Central","abstract":"The dendritic arborization (da) neurons of the Drosophila peripheral nervous system (PNS) provide an excellent model system in which to investigate the molecular mechanisms underlying class-specific dendrite morphogenesis1,2. To facilitate molecular analyses of class-specific da neuron development, it is vital to obtain these cells in a pure population. Although a range of different cell, and tissue-specific RNA isolation techniques exist for Drosophila cells, including magnetic bead based cell purification3,4, Fluorescent Activated Cell Sorting (FACS)5-8, and RNA binding protein based strategies9, none of these methods can be readily utilized for isolating single or multiple class-specific Drosophila da neurons with a high degree of spatial precision. Laser Capture Microdissection (LCM) has emerged as an extremely powerful tool that can be used to isolate specific cell types from tissue sections with a high degree of spatial resolution and accuracy. RNA obtained from isolated cells can then be used for analyses including qRT-PCR and microarray expression profiling within a given cell type10-16. To date, LCM has not been widely applied in the analysis of Drosophila tissues and cells17,18, including da neurons at the third instar larval stage of development., Here we present our optimized protocol for isolation of Drosophila da neurons using the infrared (IR) class of LCM. This method allows for the capture of single, class-specific or multiple da neurons with high specificity and spatial resolution. Age-matched third instar larvae expressing a UAS-mCD8::GFP19 transgene under the control of either the class IV da neuron specific ppk-GAL420 driver or the pan-da neuron specific 21-7-GAL421 driver were used for these experiments. RNA obtained from the isolated da neurons is of very high quality and can be directly used for downstream applications, including qRT-PCR or microarray analyses. Furthermore, this LCM protocol can be readily adapted to capture other Drosophila cell types a various stages of development dependent upon the cell type specific, GAL4-driven expression pattern of GFP.","URL":"https://www.ncbi.nlm.nih.gov/pmc/articles/PMC3152851/","DOI":"10.3791/2016","ISSN":"1940-087X","note":"PMID: 20502436\nPMCID: PMC3152851","journalAbbreviation":"J Vis Exp","author":[{"family":"Iyer","given":"Eswar Prasad R."},{"family":"Cox","given":"Daniel N."}],"issued":{"date-parts":[["2010",5,24]]},"accessed":{"date-parts":[["2019",2,19]]}}},{"id":1762,"uris":["http://zotero.org/users/952979/items/Y3RUDNE9"],"uri":["http://zotero.org/users/952979/items/Y3RUDNE9"],"itemData":{"id":1762,"type":"article-journal","title":"Single Cell RNA Sequencing of Rare Immune Cell Populations","container-title":"Frontiers in Immunology","volume":"9","source":"PubMed Central","abstract":"Single-cell RNA sequencing (scRNA-Seq) is transforming our ability to characterize cells, particularly rare cells that are often overlooked in bulk population analytical approaches. This has lead to the discovery of new cell types and cellular states that echo the underlying heterogeneity and plasticity in the immune system. Technologies for the capture, sequencing, and bioinformatic analysis of single cells are rapidly improving, and scRNA-Seq is now becoming much more accessible to non-specialized laboratories. Here, we describe our experiences in adopting scRNA-Seq to the study of rare immune cells in their microanatomical niches.","URL":"https://www.ncbi.nlm.nih.gov/pmc/articles/PMC6039576/","DOI":"10.3389/fimmu.2018.01553","ISSN":"1664-3224","note":"PMID: 30022984\nPMCID: PMC6039576","journalAbbreviation":"Front Immunol","author":[{"family":"Nguyen","given":"Akira"},{"family":"Khoo","given":"Weng Hua"},{"family":"Moran","given":"Imogen"},{"family":"Croucher","given":"Peter I."},{"family":"Phan","given":"Tri Giang"}],"issued":{"date-parts":[["2018",7,4]]},"accessed":{"date-parts":[["2019",2,19]]}}}],"schema":"https://github.com/citation-style-language/schema/raw/master/csl-citation.json"} </w:instrText>
      </w:r>
      <w:r>
        <w:fldChar w:fldCharType="separate"/>
      </w:r>
      <w:r w:rsidR="00A53A6B" w:rsidRPr="00A53A6B">
        <w:rPr>
          <w:rFonts w:ascii="Calibri" w:hAnsi="Calibri"/>
        </w:rPr>
        <w:t>(358,359)</w:t>
      </w:r>
      <w:r>
        <w:fldChar w:fldCharType="end"/>
      </w:r>
      <w:r>
        <w:t xml:space="preserve"> or via DamID (</w:t>
      </w:r>
      <w:r>
        <w:rPr>
          <w:rStyle w:val="ilfuvd"/>
        </w:rPr>
        <w:t xml:space="preserve">DNA adenine methyltransferase identification) </w:t>
      </w:r>
      <w:r>
        <w:rPr>
          <w:rStyle w:val="ilfuvd"/>
        </w:rPr>
        <w:fldChar w:fldCharType="begin"/>
      </w:r>
      <w:r w:rsidR="000A209C">
        <w:rPr>
          <w:rStyle w:val="ilfuvd"/>
        </w:rPr>
        <w:instrText xml:space="preserve"> ADDIN ZOTERO_ITEM CSL_CITATION {"citationID":"uPrG3OeO","properties":{"formattedCitation":"(360,361)","plainCitation":"(360,361)","noteIndex":0},"citationItems":[{"id":1765,"uris":["http://zotero.org/users/952979/items/3F2BCB2Q"],"uri":["http://zotero.org/users/952979/items/3F2BCB2Q"],"itemData":{"id":1765,"type":"article-journal","title":"DamID-seq: Genome-wide Mapping of Protein-DNA Interactions by High Throughput Sequencing of Adenine-methylated DNA Fragments","container-title":"Journal of Visualized Experiments: JoVE","page":"e53620","issue":"107","source":"PubMed","abstract":"The DNA adenine methyltransferase identification (DamID) assay is a powerful method to detect protein-DNA interactions both locally and genome-wide. It is an alternative approach to chromatin immunoprecipitation (ChIP). An expressed fusion protein consisting of the protein of interest and the E. coli DNA adenine methyltransferase can methylate the adenine base in GATC motifs near the sites of protein-DNA interactions. Adenine-methylated DNA fragments can then be specifically amplified and detected. The original DamID assay detects the genomic locations of methylated DNA fragments by hybridization to DNA microarrays, which is limited by the availability of microarrays and the density of predetermined probes. In this paper, we report the detailed protocol of integrating high throughput DNA sequencing into DamID (DamID-seq). The large number of short reads generated from DamID-seq enables detecting and localizing protein-DNA interactions genome-wide with high precision and sensitivity. We have used the DamID-seq assay to study genome-nuclear lamina (NL) interactions in mammalian cells, and have noticed that DamID-seq provides a high resolution and a wide dynamic range in detecting genome-NL interactions. The DamID-seq approach enables probing NL associations within gene structures and allows comparing genome-NL interaction maps with other functional genomic data, such as ChIP-seq and RNA-seq.","DOI":"10.3791/53620","ISSN":"1940-087X","note":"PMID: 26862720\nPMCID: PMC4781701","shortTitle":"DamID-seq","journalAbbreviation":"J Vis Exp","language":"eng","author":[{"family":"Wu","given":"Feinan"},{"family":"Olson","given":"Brennan G."},{"family":"Yao","given":"Jie"}],"issued":{"date-parts":[["2016",1,27]]}}},{"id":1764,"uris":["http://zotero.org/users/952979/items/DYC4YUEL"],"uri":["http://zotero.org/users/952979/items/DYC4YUEL"],"itemData":{"id":1764,"type":"article-journal","title":"Cell-type-specific profiling of protein-DNA interactions without cell isolation using targeted DamID with next-generation sequencing","container-title":"Nature Protocols","page":"1586-1598","volume":"11","issue":"9","source":"PubMed","abstract":"This protocol is an extension to: Nat. Protoc. 2, 1467-1478 (2007); doi:10.1038/nprot.2007.148; published online 7 June 2007The ability to profile transcription and chromatin binding in a cell-type-specific manner is a powerful aid to understanding cell-fate specification and cellular function in multicellular organisms. We recently developed targeted DamID (TaDa) to enable genome-wide, cell-type-specific profiling of DNA- and chromatin-binding proteins in vivo without cell isolation. As a protocol extension, this article describes substantial modifications to an existing protocol, and it offers additional applications. TaDa builds upon DamID, a technique for detecting genome-wide DNA-binding profiles of proteins, by coupling it with the GAL4 system in Drosophila to enable both temporal and spatial resolution. TaDa ensures that Dam-fusion proteins are expressed at very low levels, thus avoiding toxicity and potential artifacts from overexpression. The modifications to the core DamID technique presented here also increase the speed of sample processing and throughput, and adapt the method to next-generation sequencing technology. TaDa is robust, reproducible and highly sensitive. Compared with other methods for cell-type-specific profiling, the technique requires no cell-sorting, cross-linking or antisera, and binding profiles can be generated from as few as 10,000 total induced cells. By profiling the genome-wide binding of RNA polymerase II (Pol II), TaDa can also identify transcribed genes in a cell-type-specific manner. Here we describe a detailed protocol for carrying out TaDa experiments and preparing the material for next-generation sequencing. Although we developed TaDa in Drosophila, it should be easily adapted to other organisms with an inducible expression system. Once transgenic animals are obtained, the entire experimental procedure-from collecting tissue samples to generating sequencing libraries-can be accomplished within 5 d.","DOI":"10.1038/nprot.2016.084","ISSN":"1750-2799","note":"PMID: 27490632","journalAbbreviation":"Nat Protoc","language":"eng","author":[{"family":"Marshall","given":"Owen J."},{"family":"Southall","given":"Tony D."},{"family":"Cheetham","given":"Seth W."},{"family":"Brand","given":"Andrea H."}],"issued":{"date-parts":[["2016"]]}}}],"schema":"https://github.com/citation-style-language/schema/raw/master/csl-citation.json"} </w:instrText>
      </w:r>
      <w:r>
        <w:rPr>
          <w:rStyle w:val="ilfuvd"/>
        </w:rPr>
        <w:fldChar w:fldCharType="separate"/>
      </w:r>
      <w:r w:rsidR="00A53A6B" w:rsidRPr="00A53A6B">
        <w:rPr>
          <w:rFonts w:ascii="Calibri" w:hAnsi="Calibri"/>
        </w:rPr>
        <w:t>(360,361)</w:t>
      </w:r>
      <w:r>
        <w:rPr>
          <w:rStyle w:val="ilfuvd"/>
        </w:rPr>
        <w:fldChar w:fldCharType="end"/>
      </w:r>
      <w:r>
        <w:rPr>
          <w:rStyle w:val="ilfuvd"/>
        </w:rPr>
        <w:t xml:space="preserve">. This data would reveal potential underlying mechanisms controlling the different subpopulations. Moreover, this could uncover novel markers that could be used to further investigate hemocyte subpopulations. A full transcriptional profile would confirm the existence of subpopulations by revealing the full differences between the subpopulations demonstrating that they are distinct. </w:t>
      </w:r>
    </w:p>
    <w:p w14:paraId="45089CC8" w14:textId="77777777" w:rsidR="004B5501" w:rsidRDefault="004B5501" w:rsidP="004B5501">
      <w:pPr>
        <w:pStyle w:val="Thesisnormal"/>
      </w:pPr>
    </w:p>
    <w:p w14:paraId="76737A85" w14:textId="77777777" w:rsidR="004B5501" w:rsidRDefault="004B5501" w:rsidP="004B5501">
      <w:pPr>
        <w:pStyle w:val="Heading3"/>
        <w:spacing w:line="360" w:lineRule="auto"/>
      </w:pPr>
      <w:bookmarkStart w:id="157" w:name="_Toc4589331"/>
      <w:r>
        <w:t>3.3.2 Hemocyte subpopulations are functionally distinct</w:t>
      </w:r>
      <w:bookmarkEnd w:id="157"/>
    </w:p>
    <w:p w14:paraId="473046AA" w14:textId="77777777" w:rsidR="004B5501" w:rsidRPr="004B5BF6" w:rsidRDefault="004B5501" w:rsidP="004B5501"/>
    <w:p w14:paraId="2213B576" w14:textId="4FD124CA" w:rsidR="004B5501" w:rsidRDefault="004B5501" w:rsidP="004B5501">
      <w:pPr>
        <w:pStyle w:val="Thesisnormal"/>
      </w:pPr>
      <w:r>
        <w:t xml:space="preserve">Having demonstrated that hemocyte subpopulations exist throughout the life course in </w:t>
      </w:r>
      <w:r>
        <w:rPr>
          <w:i/>
        </w:rPr>
        <w:t>Drosophila</w:t>
      </w:r>
      <w:r>
        <w:t xml:space="preserve">, we next investigated the functional and behavioural differences between populations. We identified two enhancers (VT17559 &amp; VT62766) that labelled subpopulations of hemocytes, which displayed more potent responses to wounding, reduced efferocytosis and faster random migration speeds. VT57089 displayed a reduction in the number of vacuoles with VT32897 displaying an increased response to wounding. This represents the first time that an improved </w:t>
      </w:r>
      <w:r w:rsidR="006A0DEC">
        <w:t>recruitment to wounds</w:t>
      </w:r>
      <w:r>
        <w:t xml:space="preserve"> has be</w:t>
      </w:r>
      <w:r w:rsidR="006B0029">
        <w:t>en</w:t>
      </w:r>
      <w:r>
        <w:t xml:space="preserve"> observed in </w:t>
      </w:r>
      <w:r w:rsidRPr="009E335E">
        <w:rPr>
          <w:i/>
        </w:rPr>
        <w:t>Drosophila</w:t>
      </w:r>
      <w:r>
        <w:t xml:space="preserve"> embryos. </w:t>
      </w:r>
    </w:p>
    <w:p w14:paraId="69253134" w14:textId="77777777" w:rsidR="004B5501" w:rsidRDefault="004B5501" w:rsidP="004B5501">
      <w:pPr>
        <w:pStyle w:val="Thesisnormal"/>
      </w:pPr>
    </w:p>
    <w:p w14:paraId="52DD80B7" w14:textId="52F1AB90" w:rsidR="004B5501" w:rsidRDefault="004B5501" w:rsidP="004B5501">
      <w:pPr>
        <w:pStyle w:val="Thesisnormal"/>
      </w:pPr>
      <w:r>
        <w:t>Although there was insufficient time to fully investigate the mechanisms controlling the functional responses we observed, the literature may provide clues that could direct future experiments. We identified three populations of hemocytes that displayed improved hemocyte responses to pro-inflammatory wounding (VT32897, VT17559 and VT62766), with the latter two displaying very similar levels of response. This would suggest that there is perhaps some degree of overlap with these populations, which is further supported with the vacuole counts where these two enhancers again share similar results. There is limited literature investigating the genetic alterations that occur within hemocytes upon wounding an embryo. One study which compared microarray profiles of hemocytes pre- and post-wounding found that genes such as calmodulin (a protein involved in calcium binding) and phospholipase A2 (an enzyme that releases arachidonic acid) were up-regulated in hemocytes following wounding</w:t>
      </w:r>
      <w:r w:rsidR="00AA7281">
        <w:t xml:space="preserve"> </w:t>
      </w:r>
      <w:r w:rsidR="00AA7281">
        <w:fldChar w:fldCharType="begin"/>
      </w:r>
      <w:r w:rsidR="000A209C">
        <w:instrText xml:space="preserve"> ADDIN ZOTERO_ITEM CSL_CITATION {"citationID":"1EAYTXZK","properties":{"formattedCitation":"(248)","plainCitation":"(248)","noteIndex":0},"citationItems":[{"id":1408,"uris":["http://zotero.org/users/952979/items/8V5NZCDI"],"uri":["http://zotero.org/users/952979/items/8V5NZCDI"],"itemData":{"id":1408,"type":"article-journal","title":"Live imaging of wound inflammation in Drosophila embryos reveals key roles for small GTPases during in vivo cell migration","container-title":"The Journal of Cell Biology","page":"567-573","volume":"168","issue":"4","source":"PubMed","abstract":"Aa robust inflammatory response to tissue damage and infection is conserved across almost all animal phyla. Neutrophils and macrophages, or their equivalents, are drawn to the wound site where they engulf cell and matrix debris and release signals that direct components of the repair process. This orchestrated cell migration is clinically important, and yet, to date, leukocyte chemotaxis has largely been studied in vitro. Here, we describe a genetically tractable in vivo wound model of inflammation in the Drosophila melanogaster embryo that is amenable to cinemicroscopy. For the first time, we are able to examine the roles of Rho-family small GTPases during inflammation in vivo and show that Rac-mediated lamellae are essential for hemocyte motility and Rho signaling is necessary for cells to retract from sites of matrix- and cell-cell contacts. Cdc42 is necessary for maintaining cellular polarity and yet, despite in vitro evidence, is dispensable for sensing and crawling toward wound cues.","DOI":"10.1083/jcb.200405120","ISSN":"0021-9525","note":"PMID: 15699212\nPMCID: PMC2171743","journalAbbreviation":"J. Cell Biol.","language":"eng","author":[{"family":"Stramer","given":"Brian"},{"family":"Wood","given":"Will"},{"family":"Galko","given":"Michael J."},{"family":"Redd","given":"Michael J."},{"family":"Jacinto","given":"Antonio"},{"family":"Parkhurst","given":"Susan M."},{"family":"Martin","given":"Paul"}],"issued":{"date-parts":[["2005",2,14]]}}}],"schema":"https://github.com/citation-style-language/schema/raw/master/csl-citation.json"} </w:instrText>
      </w:r>
      <w:r w:rsidR="00AA7281">
        <w:fldChar w:fldCharType="separate"/>
      </w:r>
      <w:r w:rsidR="004A1963" w:rsidRPr="004A1963">
        <w:rPr>
          <w:rFonts w:ascii="Calibri" w:hAnsi="Calibri"/>
        </w:rPr>
        <w:t>(248)</w:t>
      </w:r>
      <w:r w:rsidR="00AA7281">
        <w:fldChar w:fldCharType="end"/>
      </w:r>
      <w:r>
        <w:t xml:space="preserve">. Phospholipase A2 is involved in increasing inflammatory responses in mammalian systems, largely through release of arachidonic acid which is involved in the biosynthesis of pro-inflammatory eicosanoids </w:t>
      </w:r>
      <w:r>
        <w:fldChar w:fldCharType="begin"/>
      </w:r>
      <w:r w:rsidR="000A209C">
        <w:instrText xml:space="preserve"> ADDIN ZOTERO_ITEM CSL_CITATION {"citationID":"5Awmuifs","properties":{"formattedCitation":"(362)","plainCitation":"(362)","noteIndex":0},"citationItems":[{"id":1815,"uris":["http://zotero.org/users/952979/items/FY8B6YPU"],"uri":["http://zotero.org/users/952979/items/FY8B6YPU"],"itemData":{"id":1815,"type":"article-journal","title":"Secretory phospholipases A2 in inflammatory and allergic diseases: not just enzymes","container-title":"The Journal of Allergy and Clinical Immunology","page":"1000-1006","volume":"116","issue":"5","source":"PubMed","abstract":"Secretory phospholipases A(2) (sPLA(2)s) are molecules released in plasma and biologic fluids of patients with systemic inflammatory, autoimmune, and allergic diseases. Several sPLA(2) isoforms are expressed and released by such human inflammatory cells as neutrophils, eosinophils, basophils, T cells, monocytes, macrophages, and mast cells. Certain sPLA(2)s release arachidonic acid, thereby providing the substrate for the biosynthesis of proinflammatory eicosanoids. However, there are other mechanisms by which sPLA(2)s might participate in the synthesis of lipid mediators. Interestingly, sPLA(2)s activate inflammatory cells through mechanisms unrelated to their enzymatic activity. Several sPLA(2)s induce degranulation of mast cells and eosinophils and activate exocytosis in macrophages. Furthermore, sPLA(2)s promote cytokine and chemokine production from macrophages, neutrophils, eosinophils, monocytes, and endothelial cells. Some of these effects are mediated by the binding of sPLA(2)s to specific receptors expressed on effector cells. Thus sPLA(2)s might play important roles in the initiation and amplification of the inflammatory reaction. Selective inhibitors of sPLA(2)s and specific antagonists of sPLA(2) receptors might prove useful in the treatment of allergic and autoimmune diseases, such as bronchial asthma and rheumatoid arthritis.","DOI":"10.1016/j.jaci.2005.08.011","ISSN":"0091-6749","note":"PMID: 16275367","shortTitle":"Secretory phospholipases A2 in inflammatory and allergic diseases","journalAbbreviation":"J. Allergy Clin. Immunol.","language":"eng","author":[{"family":"Triggiani","given":"Massimo"},{"family":"Granata","given":"Francescopaolo"},{"family":"Giannattasio","given":"Giorgio"},{"family":"Marone","given":"Gianni"}],"issued":{"date-parts":[["2005",11]]}}}],"schema":"https://github.com/citation-style-language/schema/raw/master/csl-citation.json"} </w:instrText>
      </w:r>
      <w:r>
        <w:fldChar w:fldCharType="separate"/>
      </w:r>
      <w:r w:rsidR="00A53A6B" w:rsidRPr="00A53A6B">
        <w:rPr>
          <w:rFonts w:ascii="Calibri" w:hAnsi="Calibri"/>
        </w:rPr>
        <w:t>(362)</w:t>
      </w:r>
      <w:r>
        <w:fldChar w:fldCharType="end"/>
      </w:r>
      <w:r>
        <w:t xml:space="preserve">. There is evidence that eicosanoids have active roles in insect immunity. For example, inhibitors of phospholipase A2, cyclooxygenase, and lipoxygenase, severely weakened the ability of hornworm larvae to clear bacterial infection </w:t>
      </w:r>
      <w:r>
        <w:fldChar w:fldCharType="begin"/>
      </w:r>
      <w:r w:rsidR="000A209C">
        <w:instrText xml:space="preserve"> ADDIN ZOTERO_ITEM CSL_CITATION {"citationID":"ock5gVJJ","properties":{"formattedCitation":"(363)","plainCitation":"(363)","noteIndex":0},"citationItems":[{"id":1746,"uris":["http://zotero.org/users/952979/items/Q4BU5W27"],"uri":["http://zotero.org/users/952979/items/Q4BU5W27"],"itemData":{"id":1746,"type":"article-journal","title":"Insect immune response to bacterial infection is mediated by eicosanoids","container-title":"Proceedings of the National Academy of Sciences","page":"1064-1068","volume":"88","issue":"3","source":"www-pnas-org.sheffield.idm.oclc.org","abstract":"Inhibition of eicosanoid formation in larvae of the tobacco hornworm Manduca sexta, using specific inhibitors of phospholipase A2, cyclooxygenase, and lipoxygenase, severely weakened the ability of larvae to clear the bacterium Serratia marscescens from their hemolymph. The reduced capability to remove bacteria is associated with increased mortality due to these bacteria. There is a dose-dependent relationship between the phospholipase A2 inhibitor dexamethasone and both the reduced bacterial clearance and increased larval mortality. The dexamethasone effects on larval survival were reversed by treatment with arachidonic acid. Maleic acid, a nonspecific antioxidant, did not interfere with the insects' ability to remove bacterial cells from hemolymph. The larvae were shown to contain all of the C20 polyunsaturated fatty acids necessary for eicosanoid biosynthesis and to be capable of converting radioactive arachidonic acid into several primary prostaglandins. These results strongly suggest that eicosanoids mediate transduction of bacterial infection signals into the complex of cellular and humoral responses that comprise invertebrate immunity.","DOI":"10.1073/pnas.88.3.1064","ISSN":"0027-8424, 1091-6490","note":"PMID: 1899480","journalAbbreviation":"PNAS","language":"en","author":[{"family":"Stanley-Samuelson","given":"D. W."},{"family":"Jensen","given":"E."},{"family":"Nickerson","given":"K. W."},{"family":"Tiebel","given":"K."},{"family":"Ogg","given":"C. L."},{"family":"Howard","given":"R. W."}],"issued":{"date-parts":[["1991",2,1]]}}}],"schema":"https://github.com/citation-style-language/schema/raw/master/csl-citation.json"} </w:instrText>
      </w:r>
      <w:r>
        <w:fldChar w:fldCharType="separate"/>
      </w:r>
      <w:r w:rsidR="00A53A6B" w:rsidRPr="00A53A6B">
        <w:rPr>
          <w:rFonts w:ascii="Calibri" w:hAnsi="Calibri"/>
        </w:rPr>
        <w:t>(363)</w:t>
      </w:r>
      <w:r>
        <w:fldChar w:fldCharType="end"/>
      </w:r>
      <w:r>
        <w:t xml:space="preserve">. Furthermore, injection of dexamethasone (an agonist of glucocorticoid receptors) into </w:t>
      </w:r>
      <w:r w:rsidRPr="00D76E8F">
        <w:rPr>
          <w:i/>
        </w:rPr>
        <w:t>Drosophila</w:t>
      </w:r>
      <w:r>
        <w:t xml:space="preserve"> larvae reduces the melanotic encapsulation of wasp eggs </w:t>
      </w:r>
      <w:r>
        <w:fldChar w:fldCharType="begin"/>
      </w:r>
      <w:r w:rsidR="000A209C">
        <w:instrText xml:space="preserve"> ADDIN ZOTERO_ITEM CSL_CITATION {"citationID":"jwACwMvI","properties":{"formattedCitation":"(364)","plainCitation":"(364)","noteIndex":0},"citationItems":[{"id":1745,"uris":["http://zotero.org/users/952979/items/WHMC2ACF"],"uri":["http://zotero.org/users/952979/items/WHMC2ACF"],"itemData":{"id":1745,"type":"article-journal","title":"Dexamethasone inhibition of the cellular immune response of Drosophila melanogaster against a parasitoid","container-title":"The Journal of Parasitology","page":"405-407","volume":"88","issue":"2","source":"PubMed","abstract":"Host larvae of Drosophila melanogaster injected with the eicosanoid biosynthesis inhibitor, dexamethasone, prior to parasitization by the wasp Leptopilina boulardi, exhibited significantly reduced rates of melanotic encapsulation in comparison with control and saline-injected larvae. The results of this investigation suggest that prostaglandins and other eicosanoids are involved as cell-signaling molecules in the hemocytic encapsulation reaction of D. melanogaster larvae.","DOI":"10.1645/0022-3395(2002)088[0405:DIOTCI]2.0.CO;2","ISSN":"0022-3395","note":"PMID: 12054022","journalAbbreviation":"J. Parasitol.","language":"eng","author":[{"family":"Carton","given":"Yves"},{"family":"Frey","given":"Francoise"},{"family":"Stanley","given":"David W."},{"family":"Vass","given":"Emily"},{"family":"Nappi","given":"Anthony J."}],"issued":{"date-parts":[["2002",4]]}}}],"schema":"https://github.com/citation-style-language/schema/raw/master/csl-citation.json"} </w:instrText>
      </w:r>
      <w:r>
        <w:fldChar w:fldCharType="separate"/>
      </w:r>
      <w:r w:rsidR="00A53A6B" w:rsidRPr="00A53A6B">
        <w:rPr>
          <w:rFonts w:ascii="Calibri" w:hAnsi="Calibri"/>
        </w:rPr>
        <w:t>(364)</w:t>
      </w:r>
      <w:r>
        <w:fldChar w:fldCharType="end"/>
      </w:r>
      <w:r>
        <w:t xml:space="preserve">. This suggests that eicosanoid signalling may be required for lamellocyte function, or </w:t>
      </w:r>
      <w:r>
        <w:lastRenderedPageBreak/>
        <w:t xml:space="preserve">activation of plasmatocytes. This is supported by evidence from other insects in which knockdown of prostaglandin-E2 impairs the immune response to bacterial challenge </w:t>
      </w:r>
      <w:r>
        <w:fldChar w:fldCharType="begin"/>
      </w:r>
      <w:r w:rsidR="000A209C">
        <w:instrText xml:space="preserve"> ADDIN ZOTERO_ITEM CSL_CITATION {"citationID":"ACusZwTs","properties":{"formattedCitation":"(365)","plainCitation":"(365)","noteIndex":0},"citationItems":[{"id":1744,"uris":["http://zotero.org/users/952979/items/4TA76LGE"],"uri":["http://zotero.org/users/952979/items/4TA76LGE"],"itemData":{"id":1744,"type":"article-journal","title":"An Insect Prostaglandin E2 Synthase Acts in Immunity and Reproduction","container-title":"Frontiers in Physiology","volume":"9","source":"Frontiers","abstract":"Eicosanoids, oxygenated metabolites of C20 polyunsaturated fatty acids, mediate fundamental physiological processes, including immune reactions and reproduction, in insects. Prostaglandins (PGs) make up one group of eicosanoids, of which PGE2 is a relatively well-known mediator in various insect taxa. While PG biosynthesis has been reported, the specific biosynthetic pathway for PGE2 is not known in insects. Here, we posed the hypothesis that Se-mPGES2 mediates biosynthesis of physiologically active PGE2 through its cognate protein. To test this hypothesis, we interrogated a transcriptome of the lepidopteran insect, Spodoptera exigua, to identify a candidate PGE2 synthase (Se-mPGES2) and analyzed its sequence and expression. Its predicted amino acid sequence contains a consensus thioredoxin homology sequence (Cys-x-x-Cys) responsible for catalytic activity along with an N-terminal membrane-associated hydrophobic domain and C-terminal cytosolic domain. It also shares sequence homology (36.5%) and shares almost overlapping three dimensional structures with a membrane-bound human PGES2 (mPGES2). Se-mPGES2 was expressed in all developmental stages with high peaks during the late larval instar and adult stages. Immune challenge significantly up-regulated its expression levels in hemocytes and fat body. Injecting double-stranded RNA (dsRNA) significantly impaired two cellular immune responses, hemocyte-spreading behavior and nodule formation following bacterial challenge. Humoral immunity was also significantly suppressed, registered as reduced phenoloxidase activity and antimicrobial peptide expression levels. The suppressed immune responses were reversed following PGE2, but not arachidonic acid, treatments. RNAi treatments also reduced the egg-laying behavior of females. Control females mated with the RNAi-treated males led to substantially reduced egg-laying behavior, which was also reversed following PGE2 injections into females. These results strongly bolster our hypothesis that Se-mPGES2 acts in the biosynthesis of PGE2, a crucial biochemical signal mediating immune and reproductive physiology of S. exigua.","URL":"http://www.frontiersin.org/articles/10.3389/fphys.2018.01231/full","DOI":"10.3389/fphys.2018.01231","ISSN":"1664-042X","journalAbbreviation":"Front. Physiol.","language":"English","author":[{"family":"Ahmed","given":"Shabbir"},{"family":"Stanley","given":"David"},{"family":"Kim","given":"Yonggyun"}],"issued":{"date-parts":[["2018"]]},"accessed":{"date-parts":[["2019",2,20]]}}}],"schema":"https://github.com/citation-style-language/schema/raw/master/csl-citation.json"} </w:instrText>
      </w:r>
      <w:r>
        <w:fldChar w:fldCharType="separate"/>
      </w:r>
      <w:r w:rsidR="00A53A6B" w:rsidRPr="00A53A6B">
        <w:rPr>
          <w:rFonts w:ascii="Calibri" w:hAnsi="Calibri"/>
        </w:rPr>
        <w:t>(365)</w:t>
      </w:r>
      <w:r>
        <w:fldChar w:fldCharType="end"/>
      </w:r>
      <w:r>
        <w:t xml:space="preserve">.  </w:t>
      </w:r>
    </w:p>
    <w:p w14:paraId="169FCABE" w14:textId="77777777" w:rsidR="004B5501" w:rsidRDefault="004B5501" w:rsidP="004B5501">
      <w:pPr>
        <w:pStyle w:val="Thesisnormal"/>
        <w:rPr>
          <w:color w:val="FF0000"/>
        </w:rPr>
      </w:pPr>
    </w:p>
    <w:p w14:paraId="0B31A1D6" w14:textId="64DC839A" w:rsidR="004B5501" w:rsidRPr="001B19AB" w:rsidRDefault="004B5501" w:rsidP="004B5501">
      <w:pPr>
        <w:pStyle w:val="Thesisnormal"/>
      </w:pPr>
      <w:r w:rsidRPr="00C96899">
        <w:t xml:space="preserve">We did not find any difference in the phagocytosis of pHRodo labelled </w:t>
      </w:r>
      <w:r w:rsidRPr="00C96899">
        <w:rPr>
          <w:i/>
        </w:rPr>
        <w:t>E. coli</w:t>
      </w:r>
      <w:r w:rsidRPr="00C96899">
        <w:t xml:space="preserve"> between our populations. </w:t>
      </w:r>
      <w:r>
        <w:t xml:space="preserve">However, we only investigated a single 60-minutes time point and so it is possible that there may be differences in the rates or amounts of phagocytosis. Furthermore, we did not measure the intensity of the pHRodo </w:t>
      </w:r>
      <w:r>
        <w:rPr>
          <w:i/>
        </w:rPr>
        <w:t>E. coli</w:t>
      </w:r>
      <w:r>
        <w:t xml:space="preserve">; this would have provided information relating the amount of </w:t>
      </w:r>
      <w:r>
        <w:rPr>
          <w:i/>
        </w:rPr>
        <w:t>E. coli</w:t>
      </w:r>
      <w:r>
        <w:t xml:space="preserve"> being phagocytosed by individual hemocytes. </w:t>
      </w:r>
      <w:r w:rsidRPr="00F30110">
        <w:t xml:space="preserve">Clearance of bacteria requires a pro-inflammatory response from macrophages </w:t>
      </w:r>
      <w:r w:rsidRPr="00F30110">
        <w:fldChar w:fldCharType="begin"/>
      </w:r>
      <w:r w:rsidR="000A209C">
        <w:instrText xml:space="preserve"> ADDIN ZOTERO_ITEM CSL_CITATION {"citationID":"a4LeauLs","properties":{"formattedCitation":"(366)","plainCitation":"(366)","noteIndex":0},"citationItems":[{"id":1814,"uris":["http://zotero.org/users/952979/items/VR7EAQ2W"],"uri":["http://zotero.org/users/952979/items/VR7EAQ2W"],"itemData":{"id":1814,"type":"article-journal","title":"Inflammatory response of macrophages in infection","container-title":"Hepatobiliary &amp; pancreatic diseases international: HBPD INT","page":"138-152","volume":"13","issue":"2","source":"PubMed","abstract":"BACKGROUND: Macrophages are widely-distributed innate immune cells playing diverse roles in various physiological and pathological processes. The primary function of macrophages is to phagocytize and clear invading pathogens.\nDATA SOURCES: A systematic search of PubMed was performed to identify relevant studies in English language literature using the key words such as macrophage and inflammation. A total of 122 articles related to inflammatory response of macrophages in infection were systematically reviewed.\nRESULTS: The inflammatory responses of macrophages triggered by infection comprise four interrelated phases: recognition of pathogen-associated molecular patterns by pattern-recognition receptors expressed on/in macrophages; enrichment of quantity of macrophages in local infected tissue by recruitment of circulating monocytes and/or in situ proliferation; macrophage-mediation of microbicidal activity and conversion to anti-inflammatory phenotype to terminate anti-infectious response and to promote tissue repair. Complicated regulation of macrophage activation at molecular level recognized in the past decade is also reviewed, including intracellular multiple signaling molecules, membrane molecules, microRNAs and even epigenetic-associated molecules.\nCONCLUSION: The inflammatory response of macrophages in infection is an orderly and complicated process under elaborate regulation at molecular level.","ISSN":"1499-3872","note":"PMID: 24686541","journalAbbreviation":"HBPD INT","language":"eng","author":[{"family":"Zhang","given":"Ling"},{"family":"Wang","given":"Cheng-Cai"}],"issued":{"date-parts":[["2014",4]]}}}],"schema":"https://github.com/citation-style-language/schema/raw/master/csl-citation.json"} </w:instrText>
      </w:r>
      <w:r w:rsidRPr="00F30110">
        <w:fldChar w:fldCharType="separate"/>
      </w:r>
      <w:r w:rsidR="00A53A6B" w:rsidRPr="00A53A6B">
        <w:rPr>
          <w:rFonts w:ascii="Calibri" w:hAnsi="Calibri"/>
        </w:rPr>
        <w:t>(366)</w:t>
      </w:r>
      <w:r w:rsidRPr="00F30110">
        <w:fldChar w:fldCharType="end"/>
      </w:r>
      <w:r w:rsidRPr="00F30110">
        <w:t xml:space="preserve">. </w:t>
      </w:r>
      <w:r>
        <w:t xml:space="preserve">We may therefore have expected to potentially see subpopulations that are more potent at responding to wounds showing similar behaviour with increased phagocytosis of bacteria. However, M2 macrophages have been shown to phagocytose </w:t>
      </w:r>
      <w:r>
        <w:rPr>
          <w:i/>
        </w:rPr>
        <w:t xml:space="preserve">E. coli </w:t>
      </w:r>
      <w:r>
        <w:t xml:space="preserve">at a higher rate than M1 macrophages </w:t>
      </w:r>
      <w:r>
        <w:fldChar w:fldCharType="begin"/>
      </w:r>
      <w:r w:rsidR="000A209C">
        <w:instrText xml:space="preserve"> ADDIN ZOTERO_ITEM CSL_CITATION {"citationID":"lcWQpH1l","properties":{"formattedCitation":"(367\\uc0\\u8211{}370)","plainCitation":"(367–370)","noteIndex":0},"citationItems":[{"id":1760,"uris":["http://zotero.org/users/952979/items/CJFYKRX6"],"uri":["http://zotero.org/users/952979/items/CJFYKRX6"],"itemData":{"id":1760,"type":"article-journal","title":"In-Depth Characterization of Monocyte-Derived Macrophages using a Mass Cytometry-Based Phagocytosis Assay","container-title":"Scientific Reports","page":"1925","volume":"9","issue":"1","source":"www-nature-com.sheffield.idm.oclc.org","abstract":"Phagocytosis is a process in which target cells or particles are engulfed and taken up by other cells, typically professional phagocytes; this process is crucial in many physiological processes and disease states. The detection of targets for phagocytosis is directed by a complex repertoire of cell surface receptors. Pattern recognition receptors directly detect targets for binding and uptake, while opsonic and complement receptors detect objects coated by soluble factors. However, the importance of single and combinatorial surface marker expression across different phenotypes of professional phagocytes is not known. Here we developed a novel mass cytometry-based phagocytosis assay that enables the simultaneous detection of phagocytic events in combination with up to 40 other protein markers. We applied this assay to distinct monocyte derived macrophage (MDM) populations and found that prototypic M2-like MDMs phagocytose more E. coli than M1-like MDMs. Surface markers such as CD14, CD206, and CD163 rendered macrophages phagocytosis competent, but only CD209 directly correlated with the amount of particle uptake. Similarly, M2-like MDMs also phagocytosed more cancer cells than M1-like MDMs but, unlike M1-like MDMs, were insensitive to anti-CD47 opsonization. Our approach facilitates the simultaneous study of single-cell phenotypes, phagocytic activity, signaling and transcriptional events in complex cell mixtures.","DOI":"10.1038/s41598-018-38127-9","ISSN":"2045-2322","language":"En","author":[{"family":"Schulz","given":"Daniel"},{"family":"Severin","given":"Yannik"},{"family":"Zanotelli","given":"Vito Riccardo Tomaso"},{"family":"Bodenmiller","given":"Bernd"}],"issued":{"date-parts":[["2019",2,13]]}}},{"id":1759,"uris":["http://zotero.org/users/952979/items/M28YY6P3"],"uri":["http://zotero.org/users/952979/items/M28YY6P3"],"itemData":{"id":1759,"type":"article-journal","title":"Interleukin-10 enhances the CD14-dependent phagocytosis of bacteria and apoptotic cells by human monocytes","container-title":"Human Immunology","page":"730-738","volume":"68","issue":"9","source":"ScienceDirect","abstract":"Summary\nMonocytes are centrally involved in both specific and nonspecific immunity by secretion of regulatory immune mediators, phagocytosis, and presentation of antigens. Recent work has shown that monocytes can phagocytose bacteria independently from Fcγ, complement, and scavenger receptors via a CD14-mediated process. Furthermore, incorporation of cells undergoing apoptosis is also mediated by CD14. In this study we investigated the regulation of monocytic CD14-dependent phagocytosis by the immunoregulatory cytokines interleukin-10 (IL-10), interferon-γ (IFN-γ) and transforming growth factor-β1 (TGF-β1). In this study an in vitro human whole-blood assay was used to test regulation of CD14-dependent phagocytosis of fluorescence-labeled E. coli by IL-10, IFN-γ, and TGF-β1 in monocytes from healthy donors. Phagocytosis by monocytes from a patient with paroxysmal nocturnal hemoglobinuria (PNH) and its regulation by IL-10 was also investigated. Finally, regulation of monocytic incorporation of apoptotic Jurkat cells by IL-10 was analyzed. For the CD14 blockade, murine anti-CD14 IgG2a antibody RMO52 was used. We observed that IL-10, suggested to be a monocyte-deactivating cytokine, strongly increased the monocytic CD14-dependent phagocytosis of E. coli. In contrast, IFN-γ and TGF-β1 depressed monocytic CD14 incorporation of E. coli. Compatible with this, IL-10 upregulated CD14 expression on monocytes, whereas IFN-γ and TGF-β1 downregulated its expression. IL-10 also increased the monocytic CD14-dependent and -independent phagocytosis of apoptotic cells. As expected, IL-10 strongly increased the CD14-independent phagocytosis but had no influence on the CD14-dependent phagocytosis of monocytes from a PNH patient. In conclusion, our data support a general role of IL-10 for activating monocytic scavenger functions, which are at least partly mediated by CD14. This is in line with the fact that IL-10 promotes the development of monocytes to macrophages. The contrasting effects of IL-10 and IFN-γ on monocytic CD14-dependent phagocytosis may reflect a further mechanism counterbalancing antigen-presentation and nonimmunogenic scavenging of bacterial and cellular debris. TGF-β, however, may be an inhibitor of both systems.","DOI":"10.1016/j.humimm.2007.06.004","ISSN":"0198-8859","journalAbbreviation":"Human Immunology","author":[{"family":"Lingnau","given":"Marcel"},{"family":"Höflich","given":"Conny"},{"family":"Volk","given":"Hans-Dieter"},{"family":"Sabat","given":"Robert"},{"family":"Döcke","given":"Wolf-Dietrich"}],"issued":{"date-parts":[["2007",9,1]]}}},{"id":1757,"uris":["http://zotero.org/users/952979/items/LCCF6GXZ"],"uri":["http://zotero.org/users/952979/items/LCCF6GXZ"],"itemData":{"id":1757,"type":"article-journal","title":"Interleukin-4 and Dexamethasone Counterregulate Extracellular Matrix Remodelling and Phagocytosis in Type-2 Macrophages","container-title":"Scandinavian Journal of Immunology","page":"10-17","volume":"61","issue":"1","source":"Wiley Online Library","abstract":"Alternatively activated macrophages (Mφ2) are induced by Th2 cytokines and by glucocorticoids (GC), and can be distinguished from classically activated effector macrophages (Mφ1) on the basis of their anti-inflammatory properties. In addition, Mφ2 are involved in Th2/Th1 skewing, enhance antigen uptake and processing and support tissue remodelling and healing. In order to elucidate the heterogeneity of Mφ2 population systematically, we analysed a number of genes involved in extracellular matrix (ECM) remodelling, inflammation and phagocytosis in Mφ2 populations generated with interleukin-4 (IL-4) or GC. Using real-time polymerase chain reaction, we demonstrated that the ECM component, tenascin-C, is stimulated by IL-4, whereas it is suppressed by dexamethasone. The ECM remodelling enzymes – MMP-1 and MMP-12 – and tissue transglutaminase (TG) showed a similar regulation pattern. FXIIIa, another putative Mφ2-associated TG, was synergistically regulated by IL-4 and GC. Enzyme-linked immunosorbent assay analysis revealed that the production of Mφ2-associated chemokines, AMAC-1, MCP-4 or TARC, was induced by IL-4 and was modulated by GC. Phagocytosis of opsonized and non-opsonized particles was stimulated by GC, whereas IL-4 had only a modulatory effect, what may be partially explained by the expression pattern of hMARCO, a scavenger receptor for non-opsonized particles, that was strongly and selectively induced by GC. In conclusion, stimulation of Mφ with IL-4 and GC regulate antagonistically the expression of ECM remodelling-related molecules and phagocytosis of opsonized and non-opsonized particles.","DOI":"10.1111/j.0300-9475.2005.01524.x","ISSN":"1365-3083","language":"en","author":[{"family":"Gratchev","given":"A."},{"family":"Kzhyshkowska","given":"J."},{"family":"Utikal","given":"J."},{"family":"Goerdt","given":"S."}],"issued":{"date-parts":[["2005"]]}}},{"id":1756,"uris":["http://zotero.org/users/952979/items/CXT3D72W"],"uri":["http://zotero.org/users/952979/items/CXT3D72W"],"itemData":{"id":1756,"type":"article-journal","title":"Interleukin-4 Regulates the Expression of CD209 and Subsequent Uptake of Mycobacterium leprae by Schwann Cells in Human Leprosy","container-title":"Infection and Immunity","page":"4634-4643","volume":"78","issue":"11","source":"iai-asm-org.sheffield.idm.oclc.org","abstract":"The ability of microbial pathogens to target specific cell types is a key aspect of the pathogenesis of infectious disease. Mycobacterium leprae, by infecting Schwann cells, contributes to nerve injury in patients with leprosy. Here, we investigated mechanisms of host-pathogen interaction in the peripheral nerve lesions of leprosy. We found that the expression of the C-type lectin, CD209, known to be expressed on tissue macrophages and to mediate the uptake of M. leprae, was present on Schwann cells, colocalizing with the Schwann cell marker, CNPase (2′,3′-cyclic nucleotide 3′-phosphodiesterase), along with the M. leprae antigen PGL-1 in the peripheral nerve biopsy specimens. In vitro, human CD209-positive Schwann cells, both from primary cultures and a long-term line, have a higher binding of M. leprae compared to CD209-negative Schwann cells. Interleukin-4, known to be expressed in skin lesions from multibacillary patients, increased CD209 expression on human Schwann cells and subsequent Schwann cell binding to M. leprae, whereas Th1 cytokines did not induce CD209 expression on these cells. Therefore, the regulated expression of CD209 represents a common mechanism by which Schwann cells and macrophages bind and take up M. leprae, contributing to the pathogenesis of leprosy.","DOI":"10.1128/IAI.00454-10","ISSN":"0019-9567, 1098-5522","note":"PMID: 20713631","language":"en","author":[{"family":"Teles","given":"Rosane M. B."},{"family":"Krutzik","given":"Stephan R."},{"family":"Ochoa","given":"Maria T."},{"family":"Oliveira","given":"Rosane B."},{"family":"Sarno","given":"Euzenir N."},{"family":"Modlin","given":"Robert L."}],"issued":{"date-parts":[["2010",11,1]]}}}],"schema":"https://github.com/citation-style-language/schema/raw/master/csl-citation.json"} </w:instrText>
      </w:r>
      <w:r>
        <w:fldChar w:fldCharType="separate"/>
      </w:r>
      <w:r w:rsidR="00A53A6B" w:rsidRPr="00A53A6B">
        <w:rPr>
          <w:rFonts w:ascii="Calibri" w:hAnsi="Calibri" w:cs="Times New Roman"/>
        </w:rPr>
        <w:t>(367–370)</w:t>
      </w:r>
      <w:r>
        <w:fldChar w:fldCharType="end"/>
      </w:r>
      <w:r>
        <w:t xml:space="preserve"> and display higher levels of receptors involved in phagocytosis, complicating this hypothesis. Following ingestion, an M1-type switch occurs to efficiently clear the phagocytosed bacteria via an oxidative burst </w:t>
      </w:r>
      <w:r>
        <w:fldChar w:fldCharType="begin"/>
      </w:r>
      <w:r w:rsidR="000A209C">
        <w:instrText xml:space="preserve"> ADDIN ZOTERO_ITEM CSL_CITATION {"citationID":"EnwCqVai","properties":{"formattedCitation":"(371)","plainCitation":"(371)","noteIndex":0},"citationItems":[{"id":1755,"uris":["http://zotero.org/users/952979/items/SLDKS6DR"],"uri":["http://zotero.org/users/952979/items/SLDKS6DR"],"itemData":{"id":1755,"type":"article-journal","title":"Unprimed, M1 and M2 Macrophages Differentially Interact with Porphyromonas gingivalis","container-title":"PLoS ONE","volume":"11","issue":"7","source":"PubMed Central","abstract":"Porphyromonas gingivalis is a keystone pathogen in the development of chronic periodontitis. Tissue macrophages are amongst the first immune cells to respond to bacteria and depending on the cytokine profile at the infection site, macrophages are primed to react to infection in different ways. Priming of naive macrophages with IFN-γ produces a classical pro-inflammatory, antibacterial M1 macrophage after TLR ligation, whereas priming with IL-4 induces an anti-inflammatory tissue-repair M2 phenotype. Previous work has shown that M1 are preferentially generated in gingival tissue following infection with P. gingivalis. However, few studies have investigated the interactions of macrophage subsets with P. gingivalis cells. The aim of this study was to determine the ability of naive, M1 and M2 macrophages to phagocytose P. gingivalis and investigate how this interaction affects both the bacterial cell and the macrophage. M1 and M2 macrophages were both found to have enhanced phagocytic capacity compared with that of naive macrophages, however only the naive and M1 macrophages were able to produce a respiratory burst in order to clear the bacteria from the phagosome. P. gingivalis was found to persist in naive and M2, but not M1 macrophages for 24 hours. Phagocytosis of P. gingivalis also induced high levels of TNF-α, IL-12 and iNOS in M1 macrophages, but not in naive or M2 macrophages. Furthermore, infection of macrophages with P. gingivalis at high bacteria to macrophage ratios, while inducing an inflammatory response, was also found to be deleterious to macrophage longevity, with high levels of apoptotic cell death found in macrophages after infection. The activation of M1 macrophages observed in this study may contribute to the initiation and maintenance of a pro-inflammatory state during chronic periodontitis.","URL":"https://www.ncbi.nlm.nih.gov/pmc/articles/PMC4934774/","DOI":"10.1371/journal.pone.0158629","ISSN":"1932-6203","note":"PMID: 27383471\nPMCID: PMC4934774","journalAbbreviation":"PLoS One","author":[{"family":"Lam","given":"Roselind S."},{"family":"O’Brien-Simpson","given":"Neil M."},{"family":"Holden","given":"James A."},{"family":"Lenzo","given":"Jason C."},{"family":"Fong","given":"Shao B."},{"family":"Reynolds","given":"Eric C."}],"issued":{"date-parts":[["2016",7,6]]},"accessed":{"date-parts":[["2019",2,19]]}}}],"schema":"https://github.com/citation-style-language/schema/raw/master/csl-citation.json"} </w:instrText>
      </w:r>
      <w:r>
        <w:fldChar w:fldCharType="separate"/>
      </w:r>
      <w:r w:rsidR="00A53A6B" w:rsidRPr="00A53A6B">
        <w:rPr>
          <w:rFonts w:ascii="Calibri" w:hAnsi="Calibri"/>
        </w:rPr>
        <w:t>(371)</w:t>
      </w:r>
      <w:r>
        <w:fldChar w:fldCharType="end"/>
      </w:r>
      <w:r>
        <w:t xml:space="preserve">. It is therefore possible that the lack of any difference across the subpopulations is not due to a lack of pro-inflammatory response. Indeed, longer time lapse imaging following injection may reveal differences as the populations switch to a pro-inflammatory response to clear the ingested bacteria. Alternatively, it is possible that challenge with alternative bacteria, or fly-specific pathogens, might reveal differences between the hemocyte subpopulations. Indeed, microarray analysis of hemocytes following larval exposure to </w:t>
      </w:r>
      <w:r w:rsidRPr="00F81561">
        <w:t>parasit</w:t>
      </w:r>
      <w:r>
        <w:t>ic wasps</w:t>
      </w:r>
      <w:r w:rsidRPr="00F81561">
        <w:t xml:space="preserve"> or</w:t>
      </w:r>
      <w:r>
        <w:rPr>
          <w:i/>
        </w:rPr>
        <w:t xml:space="preserve"> </w:t>
      </w:r>
      <w:r>
        <w:t xml:space="preserve">lipopolysaccharide (LPS) reveals that genes involved in glycolysis are upregulated alongside antimicrobial peptides (AMPs) </w:t>
      </w:r>
      <w:r>
        <w:fldChar w:fldCharType="begin"/>
      </w:r>
      <w:r w:rsidR="000A209C">
        <w:instrText xml:space="preserve"> ADDIN ZOTERO_ITEM CSL_CITATION {"citationID":"WLI56sr0","properties":{"formattedCitation":"(372,373)","plainCitation":"(372,373)","noteIndex":0},"citationItems":[{"id":1657,"uris":["http://zotero.org/users/952979/items/25LJ5ILV"],"uri":["http://zotero.org/users/952979/items/25LJ5ILV"],"itemData":{"id":1657,"type":"article-journal","title":"Microarray analysis of immune challenged Drosophila hemocytes","container-title":"Experimental Cell Research","page":"145-155","volume":"305","issue":"1","source":"PubMed","abstract":"Insect hemocytes play multiple roles in immunity and carry out cellular responses like phagocytosis, encapsulation and melanization as well as producing humoral effector proteins in the first line of defense after injury and invasion of microorganisms. In this work, we used the Drosophila melanogaster hemocyte-like cell line mbn-2 and Affymetrix Drosophila GeneChips to investigate the transcriptome of a single type of immune competent tissue exposed to Gram-negative cell wall components (crude LPS) or high dose infection with live Escherichia coli. We found that gene expression profiles of both treatments overlap but show important differences in expression levels of several genes involved in immunity. In addition, cell morphology during infection was monitored and revealed distinct alterations in cell shape and adhesion. Presence of large numbers of bacteria also increased the number of cells taking on crystal cell fate. Taken together, our results indicate that hemocytes sense and respond differently to purified bacterial surface molecules and infection with live and actively growing bacteria both at the level of gene expression and in cell behavior.","DOI":"10.1016/j.yexcr.2004.12.018","ISSN":"0014-4827","note":"PMID: 15777795","journalAbbreviation":"Exp. Cell Res.","language":"eng","author":[{"family":"Johansson","given":"Karin C."},{"family":"Metzendorf","given":"Christoph"},{"family":"Söderhäll","given":"Kenneth"}],"issued":{"date-parts":[["2005",4,15]]}}},{"id":1656,"uris":["http://zotero.org/users/952979/items/YYKCEQJQ"],"uri":["http://zotero.org/users/952979/items/YYKCEQJQ"],"itemData":{"id":1656,"type":"article-journal","title":"Contrasting Infection Strategies in Generalist and Specialist Wasp Parasitoids of Drosophila melanogaster","container-title":"PLOS Pathogens","page":"e158","volume":"3","issue":"10","source":"PLoS Journals","abstract":"Although host–parasitoid interactions are becoming well characterized at the organismal and cellular levels, much remains to be understood of the molecular bases for the host immune response and the parasitoids' ability to defeat this immune response. Leptopilina boulardi and L. heterotoma, two closely related, highly infectious natural parasitoids of Drosophila melanogaster, appear to use very different infection strategies at the cellular level. Here, we further characterize cellular level differences in the infection characteristics of these two wasp species using newly derived, virulent inbred strains, and then use whole genome microarrays to compare the transcriptional response of Drosophila to each. While flies attacked by the melanogaster group specialist L. boulardi (strain Lb17) up-regulate numerous genes encoding proteolytic enzymes, components of the Toll and JAK/STAT pathways, and the melanization cascade as part of a combined cellular and humoral innate immune response, flies attacked by the generalist L. heterotoma (strain Lh14) do not appear to initiate an immune transcriptional response at the time points post-infection we assayed, perhaps due to the rapid venom-mediated lysis of host hemocytes (blood cells). Thus, the specialist parasitoid appears to invoke a full-blown immune response in the host, but suppresses and/or evades downstream components of this response. Given that activation of the host immune response likely depletes the energetic resources of the host, the specialist's infection strategy seems relatively disadvantageous. However, we uncover the mechanism for one potentially important fitness tradeoff of the generalist's highly immune suppressive infection strategy.","DOI":"10.1371/journal.ppat.0030158","ISSN":"1553-7374","journalAbbreviation":"PLOS Pathogens","language":"en","author":[{"family":"Schlenke","given":"Todd A."},{"family":"Morales","given":"Jorge"},{"family":"Govind","given":"Shubha"},{"family":"Clark","given":"Andrew G."}],"issued":{"date-parts":[["2007",10,26]]}}}],"schema":"https://github.com/citation-style-language/schema/raw/master/csl-citation.json"} </w:instrText>
      </w:r>
      <w:r>
        <w:fldChar w:fldCharType="separate"/>
      </w:r>
      <w:r w:rsidR="00A53A6B" w:rsidRPr="00A53A6B">
        <w:rPr>
          <w:rFonts w:ascii="Calibri" w:hAnsi="Calibri"/>
        </w:rPr>
        <w:t>(372,373)</w:t>
      </w:r>
      <w:r>
        <w:fldChar w:fldCharType="end"/>
      </w:r>
      <w:r>
        <w:t xml:space="preserve">, suggesting that following infection, </w:t>
      </w:r>
      <w:r>
        <w:rPr>
          <w:i/>
        </w:rPr>
        <w:t>Drosophila</w:t>
      </w:r>
      <w:r>
        <w:t xml:space="preserve"> hemocytes become glycolytic and therefore possibly pro-inflammatory. Finally, it is clear that hemocyte behaviour differs across developmental stages, with embryonic hemocytes being highly motile whilst larval hemocytes are largely sessile </w:t>
      </w:r>
      <w:r>
        <w:fldChar w:fldCharType="begin"/>
      </w:r>
      <w:r w:rsidR="000A209C">
        <w:instrText xml:space="preserve"> ADDIN ZOTERO_ITEM CSL_CITATION {"citationID":"waHyVvsv","properties":{"formattedCitation":"(164)","plainCitation":"(164)","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fldChar w:fldCharType="separate"/>
      </w:r>
      <w:r w:rsidR="004A1963" w:rsidRPr="004A1963">
        <w:rPr>
          <w:rFonts w:ascii="Calibri" w:hAnsi="Calibri"/>
        </w:rPr>
        <w:t>(164)</w:t>
      </w:r>
      <w:r>
        <w:fldChar w:fldCharType="end"/>
      </w:r>
      <w:r>
        <w:t xml:space="preserve">. It is possible that embryonic hemocytes may be less capable of responding to bacterial challenge than adult hemocytes. Indeed, during metamorphosis the lymph gland bursts, expanding the hemocyte population </w:t>
      </w:r>
      <w:r>
        <w:fldChar w:fldCharType="begin"/>
      </w:r>
      <w:r w:rsidR="000A209C">
        <w:instrText xml:space="preserve"> ADDIN ZOTERO_ITEM CSL_CITATION {"citationID":"5bmbE3Xp","properties":{"formattedCitation":"(164)","plainCitation":"(164)","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fldChar w:fldCharType="separate"/>
      </w:r>
      <w:r w:rsidR="004A1963" w:rsidRPr="004A1963">
        <w:rPr>
          <w:rFonts w:ascii="Calibri" w:hAnsi="Calibri"/>
        </w:rPr>
        <w:t>(164)</w:t>
      </w:r>
      <w:r>
        <w:fldChar w:fldCharType="end"/>
      </w:r>
      <w:r>
        <w:t xml:space="preserve">. The steroid hormone, ecdysone, is also up-regulated at this point in development which enhances phagocytosis by hemocytes </w:t>
      </w:r>
      <w:r>
        <w:fldChar w:fldCharType="begin"/>
      </w:r>
      <w:r w:rsidR="000A209C">
        <w:instrText xml:space="preserve"> ADDIN ZOTERO_ITEM CSL_CITATION {"citationID":"5tjaCLPX","properties":{"formattedCitation":"(374)","plainCitation":"(374)","noteIndex":0},"citationItems":[{"id":1217,"uris":["http://zotero.org/users/952979/items/MA5GZZD7"],"uri":["http://zotero.org/users/952979/items/MA5GZZD7"],"itemData":{"id":1217,"type":"article-journal","title":"Steroid Hormone Signaling Is Essential to Regulate Innate Immune Cells and Fight Bacterial Infection in Drosophila","container-title":"PLoS Pathogens","volume":"9","issue":"10","source":"PubMed Central","abstract":"Coupling immunity and development is essential to ensure survival despite changing internal conditions in the organism. Drosophila metamorphosis represents a striking example of drastic and systemic physiological changes that need to be integrated with the innate immune system. However, nothing is known about the mechanisms that coordinate development and immune cell activity in the transition from larva to adult. Here, we reveal that regulation of macrophage-like cells (hemocytes) by the steroid hormone ecdysone is essential for an effective innate immune response over metamorphosis. Although it is generally accepted that steroid hormones impact immunity in mammals, their action on monocytes (e.g. macrophages and neutrophils) is still not well understood. Here in a simpler model system, we used an approach that allows in vivo, cell autonomous analysis of hormonal regulation of innate immune cells, by combining genetic manipulation with flow cytometry, high-resolution time-lapse imaging and tissue-specific transcriptomic analysis. We show that in response to ecdysone, hemocytes rapidly upregulate actin dynamics, motility and phagocytosis of apoptotic corpses, and acquire the ability to chemotax to damaged epithelia. Most importantly, individuals lacking ecdysone-activated hemocytes are defective in bacterial phagocytosis and are fatally susceptible to infection by bacteria ingested at larval stages, despite the normal systemic and local production of antimicrobial peptides. This decrease in survival is comparable to the one observed in pupae lacking immune cells altogether, indicating that ecdysone-regulation is essential for hemocyte immune functions and survival after infection. Microarray analysis of hemocytes revealed a large set of genes regulated at metamorphosis by EcR signaling, among which many are known to function in cell motility, cell shape or phagocytosis. This study demonstrates an important role for steroid hormone regulation of immunity in vivo in Drosophila, and paves the way for genetic dissection of the mechanisms at work behind steroid regulation of innate immune cells., Hormones orchestrate physiological processes such as metabolism, immunity and development, and allow the body to respond systemically to external stresses and resources. Steroid hormones, such as sex hormones and corticosteroids, affect the function of the immune system, but how they do so is not well understood. The fruit fly Drosophila relies on the innate immune system to protect itself from infection by microbes. The high level of functional conservation of Drosophila immune cells, or hemocytes, with mammalian monocytes, and the powerful genetic tools makes the fly a useful model to uncover new aspects of innate immunity. Here, we have analyzed the regulation of hemocytes by the steroid hormone ecdysone at the moment when the juvenile larval form begins the process of metamorphosis, the drastic change of body plan that gives rise to an adult fly. We reveal that ecdysone rapidly activates hemocytes, increasing their ability to move, respond to wounds and engulf dead cells or invading bacteria. Hemocytes rendered insensitive to the hormone are not activated and as a result, the fly becomes susceptible to bacterial infections, compromising its survival. This study contributes to our understanding of steroid regulation of monocyte function, which has broad implications for human immunity.","URL":"http://www.ncbi.nlm.nih.gov/pmc/articles/PMC3812043/","DOI":"10.1371/journal.ppat.1003720","ISSN":"1553-7366","note":"PMID: 24204269\nPMCID: PMC3812043","journalAbbreviation":"PLoS Pathog","author":[{"family":"Regan","given":"Jennifer C."},{"family":"Brandão","given":"Ana S."},{"family":"Leitão","given":"Alexandre B."},{"family":"Mantas Dias","given":"Ângela Raquel"},{"family":"Sucena","given":"Élio"},{"family":"Jacinto","given":"António"},{"family":"Zaidman-Rémy","given":"Anna"}],"issued":{"date-parts":[["2013",10]]},"accessed":{"date-parts":[["2016",11,17]]}}}],"schema":"https://github.com/citation-style-language/schema/raw/master/csl-citation.json"} </w:instrText>
      </w:r>
      <w:r>
        <w:fldChar w:fldCharType="separate"/>
      </w:r>
      <w:r w:rsidR="00A53A6B" w:rsidRPr="00A53A6B">
        <w:rPr>
          <w:rFonts w:ascii="Calibri" w:hAnsi="Calibri"/>
        </w:rPr>
        <w:t>(374)</w:t>
      </w:r>
      <w:r>
        <w:fldChar w:fldCharType="end"/>
      </w:r>
      <w:r>
        <w:t xml:space="preserve">. </w:t>
      </w:r>
    </w:p>
    <w:p w14:paraId="0A1A34CF" w14:textId="77777777" w:rsidR="004B5501" w:rsidRDefault="004B5501" w:rsidP="004B5501">
      <w:pPr>
        <w:pStyle w:val="Thesisnormal"/>
      </w:pPr>
    </w:p>
    <w:p w14:paraId="2A68A72B" w14:textId="62752276" w:rsidR="004B5501" w:rsidRDefault="004B5501" w:rsidP="004B5501">
      <w:pPr>
        <w:pStyle w:val="Thesisnormal"/>
      </w:pPr>
      <w:r>
        <w:lastRenderedPageBreak/>
        <w:t xml:space="preserve">The observation that a number of subpopulations displayed reduced efferocytosis suggests that these hemocytes are behaving in a </w:t>
      </w:r>
      <w:r w:rsidR="002354B9">
        <w:t>more pro</w:t>
      </w:r>
      <w:r>
        <w:t xml:space="preserve">-inflammatory capacity. Indeed, exposure of macrophages to apoptotic cells is sufficient to promote anti-inflammatory phenotypes </w:t>
      </w:r>
      <w:r>
        <w:fldChar w:fldCharType="begin"/>
      </w:r>
      <w:r w:rsidR="000A209C">
        <w:instrText xml:space="preserve"> ADDIN ZOTERO_ITEM CSL_CITATION {"citationID":"GheZqNRE","properties":{"formattedCitation":"(54)","plainCitation":"(54)","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B."}],"issued":{"date-parts":[["2018",12,27]]},"accessed":{"date-parts":[["2019",1,8]]}}}],"schema":"https://github.com/citation-style-language/schema/raw/master/csl-citation.json"} </w:instrText>
      </w:r>
      <w:r>
        <w:fldChar w:fldCharType="separate"/>
      </w:r>
      <w:r w:rsidR="004A1963" w:rsidRPr="004A1963">
        <w:rPr>
          <w:rFonts w:ascii="Calibri" w:hAnsi="Calibri"/>
        </w:rPr>
        <w:t>(54)</w:t>
      </w:r>
      <w:r>
        <w:fldChar w:fldCharType="end"/>
      </w:r>
      <w:r>
        <w:t xml:space="preserve"> through upregulation of solute carrier membrane transport proteins </w:t>
      </w:r>
      <w:r>
        <w:fldChar w:fldCharType="begin"/>
      </w:r>
      <w:r w:rsidR="000A209C">
        <w:instrText xml:space="preserve"> ADDIN ZOTERO_ITEM CSL_CITATION {"citationID":"vjGvk4eX","properties":{"formattedCitation":"(375)","plainCitation":"(375)","noteIndex":0},"citationItems":[{"id":1775,"uris":["http://zotero.org/users/952979/items/JAWFGTNF"],"uri":["http://zotero.org/users/952979/items/JAWFGTNF"],"itemData":{"id":1775,"type":"article-journal","title":"Efferocytosis induces a novel SLC program to promote glucose uptake and lactate release","container-title":"Nature","page":"714-718","volume":"563","issue":"7733","source":"PubMed","abstract":"Development and routine tissue homeostasis require a high turnover of apoptotic cells. These cells are removed by professional and non-professional phagocytes via efferocytosis1. How a phagocyte maintains its homeostasis while coordinating corpse uptake, processing ingested materials and secreting anti-inflammatory mediators is incompletely understood1,2. Here, using RNA sequencing to characterize the transcriptional program of phagocytes actively engulfing apoptotic cells, we identify a genetic signature involving 33 members of the solute carrier (SLC) family of membrane transport proteins, in which expression is specifically modulated during efferocytosis, but not during antibody-mediated phagocytosis. We assessed the functional relevance of these SLCs in efferocytic phagocytes and observed a robust induction of an aerobic glycolysis program, initiated by SLC2A1-mediated glucose uptake, with concurrent suppression of the oxidative phosphorylation program. The different steps of phagocytosis2-that is, 'smell' ('find-me' signals or sensing factors released by apoptotic cells), 'taste' (phagocyte-apoptotic cell contact) and 'ingestion' (corpse internalization)-activated distinct and overlapping sets of genes, including several SLC genes, to promote glycolysis. SLC16A1 was upregulated after corpse uptake, increasing the release of lactate, a natural by-product of aerobic glycolysis3. Whereas glycolysis within phagocytes contributed to actin polymerization and the continued uptake of corpses, lactate released via SLC16A1 promoted the establishment of an anti-inflammatory tissue environment. Collectively, these data reveal a SLC program that is activated during efferocytosis, identify a previously unknown reliance on aerobic glycolysis during apoptotic cell uptake and show that glycolytic by-products of efferocytosis can influence surrounding cells.","DOI":"10.1038/s41586-018-0735-5","ISSN":"1476-4687","note":"PMID: 30464343\nPMCID: PMC6331005","journalAbbreviation":"Nature","language":"eng","author":[{"family":"Morioka","given":"Sho"},{"family":"Perry","given":"Justin S. A."},{"family":"Raymond","given":"Michael H."},{"family":"Medina","given":"Christopher B."},{"family":"Zhu","given":"Yunlu"},{"family":"Zhao","given":"Liyang"},{"family":"Serbulea","given":"Vlad"},{"family":"Onengut-Gumuscu","given":"Suna"},{"family":"Leitinger","given":"Norbert"},{"family":"Kucenas","given":"Sarah"},{"family":"Rathmell","given":"Jeffrey C."},{"family":"Makowski","given":"Liza"},{"family":"Ravichandran","given":"Kodi S."}],"issued":{"date-parts":[["2018"]]}}}],"schema":"https://github.com/citation-style-language/schema/raw/master/csl-citation.json"} </w:instrText>
      </w:r>
      <w:r>
        <w:fldChar w:fldCharType="separate"/>
      </w:r>
      <w:r w:rsidR="00A53A6B" w:rsidRPr="00A53A6B">
        <w:rPr>
          <w:rFonts w:ascii="Calibri" w:hAnsi="Calibri"/>
        </w:rPr>
        <w:t>(375)</w:t>
      </w:r>
      <w:r>
        <w:fldChar w:fldCharType="end"/>
      </w:r>
      <w:r>
        <w:t xml:space="preserve">. To investigate the role of apoptotic cells in potentially controlling the hemocyte subpopulations, we could manipulate the levels of apoptotic cells in the embryo by using </w:t>
      </w:r>
      <w:r>
        <w:rPr>
          <w:i/>
        </w:rPr>
        <w:t>repo</w:t>
      </w:r>
      <w:r>
        <w:t xml:space="preserve"> or </w:t>
      </w:r>
      <w:r>
        <w:rPr>
          <w:i/>
        </w:rPr>
        <w:t>simu</w:t>
      </w:r>
      <w:r>
        <w:t xml:space="preserve"> mutants to increase the level of undigested apoptotic cells (Roddie </w:t>
      </w:r>
      <w:r w:rsidRPr="00B201B4">
        <w:rPr>
          <w:i/>
        </w:rPr>
        <w:t>et al</w:t>
      </w:r>
      <w:r>
        <w:t xml:space="preserve">, unpublished) or the H99 deletion, which removes apoptosis </w:t>
      </w:r>
      <w:r>
        <w:fldChar w:fldCharType="begin"/>
      </w:r>
      <w:r w:rsidR="000A209C">
        <w:instrText xml:space="preserve"> ADDIN ZOTERO_ITEM CSL_CITATION {"citationID":"AoG0R1cn","properties":{"formattedCitation":"(225)","plainCitation":"(225)","noteIndex":0},"citationItems":[{"id":1085,"uris":["http://zotero.org/users/952979/items/4F4Z9XXE"],"uri":["http://zotero.org/users/952979/items/4F4Z9XXE"],"itemData":{"id":1085,"type":"article-journal","title":"SCAR/WAVE-mediated processing of engulfed apoptotic corpses is essential for effective macrophage migration in Drosophila","container-title":"Cell Death and Differentiation","page":"709-720","volume":"20","issue":"5","source":"PubMed","abstract":"In vitro studies have shown that SCAR/WAVE activates the Arp2/3 complex to generate actin filaments, which in many cell types are organised into lamellipodia that are thought to have an important role in cell migration. Here we demonstrate that SCAR is utilised by Drosophila macrophages to drive their developmental and inflammatory migrations and that it is regulated via the Hem/Kette/Nap1-containing SCAR/WAVE complex. SCAR is also important in protecting against bacterial pathogens and in wound repair as SCAR mutant embryos succumb more readily to both sterile and infected wounds. However, in addition to driving the formation of lamellipodia in macrophages, SCAR is required cell autonomously for the correct processing of phagocytosed apoptotic corpses by these professional phagocytes. Removal of this phagocytic burden by preventing apoptosis rescues macrophage lamellipodia formation and partially restores motility. Our results show that efficient processing of phagosomes is critical for effective macrophage migration in vivo. These findings have important implications for the resolution of macrophages from chronic wounds and the behaviour of those associated with tumours, because phagocytosis of debris may serve to prolong the presence of these cells at these sites of pathology.","DOI":"10.1038/cdd.2012.166","ISSN":"1476-5403","note":"PMID: 23328632\nPMCID: PMC3619236","journalAbbreviation":"Cell Death Differ.","language":"eng","author":[{"family":"Evans","given":"I. R."},{"family":"Ghai","given":"P. A."},{"family":"Urbančič","given":"V."},{"family":"Tan","given":"K.-L."},{"family":"Wood","given":"W."}],"issued":{"date-parts":[["2013",5]]}}}],"schema":"https://github.com/citation-style-language/schema/raw/master/csl-citation.json"} </w:instrText>
      </w:r>
      <w:r>
        <w:fldChar w:fldCharType="separate"/>
      </w:r>
      <w:r w:rsidR="004A1963" w:rsidRPr="004A1963">
        <w:rPr>
          <w:rFonts w:ascii="Calibri" w:hAnsi="Calibri"/>
        </w:rPr>
        <w:t>(225)</w:t>
      </w:r>
      <w:r>
        <w:fldChar w:fldCharType="end"/>
      </w:r>
      <w:r>
        <w:t xml:space="preserve">. If the level of apoptosis can increase or decrease the numbers of enhancer-positive hemocytes, then this would suggest that apoptosis could drive the subpopulations. </w:t>
      </w:r>
    </w:p>
    <w:p w14:paraId="0BE1D86B" w14:textId="77777777" w:rsidR="004B5501" w:rsidRDefault="004B5501" w:rsidP="004B5501">
      <w:pPr>
        <w:pStyle w:val="Thesisnormal"/>
      </w:pPr>
    </w:p>
    <w:p w14:paraId="72383265" w14:textId="1C7EFF82" w:rsidR="004B5501" w:rsidRDefault="004B5501" w:rsidP="004B5501">
      <w:pPr>
        <w:pStyle w:val="Thesisnormal"/>
      </w:pPr>
      <w:r>
        <w:t>More interestingly are those subpopulations that display increased responses to wounding and decreased efferocytosis (</w:t>
      </w:r>
      <w:r w:rsidRPr="00B201B4">
        <w:t>VT71559 and VT62766).</w:t>
      </w:r>
      <w:r>
        <w:t xml:space="preserve"> This data would suggest that these enhancer lines are labelling pro-inflammatory populations of hemocytes </w:t>
      </w:r>
      <w:r>
        <w:fldChar w:fldCharType="begin"/>
      </w:r>
      <w:r w:rsidR="000A209C">
        <w:instrText xml:space="preserve"> ADDIN ZOTERO_ITEM CSL_CITATION {"citationID":"SjHA1vRl","properties":{"formattedCitation":"(54,375)","plainCitation":"(54,375)","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id":1775,"uris":["http://zotero.org/users/952979/items/JAWFGTNF"],"uri":["http://zotero.org/users/952979/items/JAWFGTNF"],"itemData":{"id":1775,"type":"article-journal","title":"Efferocytosis induces a novel SLC program to promote glucose uptake and lactate release","container-title":"Nature","page":"714-718","volume":"563","issue":"7733","source":"PubMed","abstract":"Development and routine tissue homeostasis require a high turnover of apoptotic cells. These cells are removed by professional and non-professional phagocytes via efferocytosis1. How a phagocyte maintains its homeostasis while coordinating corpse uptake, processing ingested materials and secreting anti-inflammatory mediators is incompletely understood1,2. Here, using RNA sequencing to characterize the transcriptional program of phagocytes actively engulfing apoptotic cells, we identify a genetic signature involving 33 members of the solute carrier (SLC) family of membrane transport proteins, in which expression is specifically modulated during efferocytosis, but not during antibody-mediated phagocytosis. We assessed the functional relevance of these SLCs in efferocytic phagocytes and observed a robust induction of an aerobic glycolysis program, initiated by SLC2A1-mediated glucose uptake, with concurrent suppression of the oxidative phosphorylation program. The different steps of phagocytosis2-that is, 'smell' ('find-me' signals or sensing factors released by apoptotic cells), 'taste' (phagocyte-apoptotic cell contact) and 'ingestion' (corpse internalization)-activated distinct and overlapping sets of genes, including several SLC genes, to promote glycolysis. SLC16A1 was upregulated after corpse uptake, increasing the release of lactate, a natural by-product of aerobic glycolysis3. Whereas glycolysis within phagocytes contributed to actin polymerization and the continued uptake of corpses, lactate released via SLC16A1 promoted the establishment of an anti-inflammatory tissue environment. Collectively, these data reveal a SLC program that is activated during efferocytosis, identify a previously unknown reliance on aerobic glycolysis during apoptotic cell uptake and show that glycolytic by-products of efferocytosis can influence surrounding cells.","DOI":"10.1038/s41586-018-0735-5","ISSN":"1476-4687","note":"PMID: 30464343\nPMCID: PMC6331005","journalAbbreviation":"Nature","language":"eng","author":[{"family":"Morioka","given":"Sho"},{"family":"Perry","given":"Justin S. A."},{"family":"Raymond","given":"Michael H."},{"family":"Medina","given":"Christopher B."},{"family":"Zhu","given":"Yunlu"},{"family":"Zhao","given":"Liyang"},{"family":"Serbulea","given":"Vlad"},{"family":"Onengut-Gumuscu","given":"Suna"},{"family":"Leitinger","given":"Norbert"},{"family":"Kucenas","given":"Sarah"},{"family":"Rathmell","given":"Jeffrey C."},{"family":"Makowski","given":"Liza"},{"family":"Ravichandran","given":"Kodi S."}],"issued":{"date-parts":[["2018"]]}}}],"schema":"https://github.com/citation-style-language/schema/raw/master/csl-citation.json"} </w:instrText>
      </w:r>
      <w:r>
        <w:fldChar w:fldCharType="separate"/>
      </w:r>
      <w:r w:rsidR="004A1963" w:rsidRPr="004A1963">
        <w:rPr>
          <w:rFonts w:ascii="Calibri" w:hAnsi="Calibri"/>
        </w:rPr>
        <w:t>(54,375)</w:t>
      </w:r>
      <w:r>
        <w:fldChar w:fldCharType="end"/>
      </w:r>
      <w:r>
        <w:t>. Therefore, it would be good to investigate the effects of manipulating glycolysis in the VT-labelled subpopulations to determine if this could affect the numbers of enhancer positive-hemocytes. Evidence presented later in this thesis supports the potential roles of metabolism and ROS in promoting macrophage pro-inflammatory behaviour (chapter 4).</w:t>
      </w:r>
    </w:p>
    <w:p w14:paraId="70F24F5D" w14:textId="77777777" w:rsidR="004B5501" w:rsidRDefault="004B5501" w:rsidP="004B5501">
      <w:pPr>
        <w:pStyle w:val="Thesisnormal"/>
      </w:pPr>
    </w:p>
    <w:p w14:paraId="1ADB9A99" w14:textId="20BAAFD6" w:rsidR="004B5501" w:rsidRDefault="004B5501" w:rsidP="004B5501">
      <w:pPr>
        <w:pStyle w:val="Thesisnormal"/>
      </w:pPr>
      <w:r>
        <w:t xml:space="preserve">There have been few studies utilising adult hemocytes, with only limited investigation of these cells in this thesis. Important future work will explore the role of VT-labelled subpopulations in disease models such as cancer, metabolism deficiencies and chronic diseases. This could provide valuable insights into the role of hemocyte subpopulations under such conditions, potentially uncovering novel therapeutic avenues or providing insights that may translate to mammalian macrophage subtypes in disease. For example, tumour associated hemocytes respond to both tumours and sites of injury, similar to tumour associated macrophages </w:t>
      </w:r>
      <w:r>
        <w:fldChar w:fldCharType="begin"/>
      </w:r>
      <w:r w:rsidR="000A209C">
        <w:instrText xml:space="preserve"> ADDIN ZOTERO_ITEM CSL_CITATION {"citationID":"fy27ufHJ","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t xml:space="preserve">. Furthermore, tumours in </w:t>
      </w:r>
      <w:r>
        <w:rPr>
          <w:i/>
        </w:rPr>
        <w:t>Drosophila</w:t>
      </w:r>
      <w:r>
        <w:t xml:space="preserve"> hijack the immune response, for example by diverting hemocyte-derived TNF to promote tumourigenesis </w:t>
      </w:r>
      <w:r>
        <w:fldChar w:fldCharType="begin"/>
      </w:r>
      <w:r w:rsidR="000A209C">
        <w:instrText xml:space="preserve"> ADDIN ZOTERO_ITEM CSL_CITATION {"citationID":"gBkwWRao","properties":{"formattedCitation":"(296)","plainCitation":"(296)","noteIndex":0},"citationItems":[{"id":1552,"uris":["http://zotero.org/users/952979/items/K3TKDZC6"],"uri":["http://zotero.org/users/952979/items/K3TKDZC6"],"itemData":{"id":1552,"type":"article-journal","title":"Oncogenic Ras Diverts a Host TNF Tumor Suppressor Activity into Tumor Promoter","container-title":"Developmental cell","page":"999-1011","volume":"18","issue":"6","source":"PubMed Central","abstract":"The roles of inflammatory cytokines and the immune response in cancer remain paradoxical. In the case of tumor necrosis factor (TNF), there is undisputed evidence indicating both protumor and antitumor activities. Recent work in Drosophila indicated that a TNF-dependent mechanism eliminates cells deficient for the polarity tumor suppressors dlg or scrib. In this study, however, we show that in tumors deficient for scrib that also expressed the Ras oncoprotein, the TNF signal was diverted into a protumor signal that enhanced tumor growth through larval arrest and stimulated invasive migration. In this case, TNF promoted malignancy and was detrimental to host survival. TNF was expressed at high levels by tumor-associated hemocytes recruited from the circulation. The expression of TNF by hemocytes was both necessary and sufficient to trigger TNF signaling in tumor cells. Our evidence suggests that tumors can evolve into malignancy through oncogenic Ras activation and the hijacking of TNF signaling.","DOI":"10.1016/j.devcel.2010.05.014","ISSN":"1534-5807","note":"PMID: 20627081\nPMCID: PMC3175220","journalAbbreviation":"Dev Cell","author":[{"family":"Cordero","given":"Julia B."},{"family":"Macagno","given":"Juan P."},{"family":"Stefanatos","given":"Rhoda K."},{"family":"Strathdee","given":"Karen E."},{"family":"Cagan","given":"Ross L."},{"family":"Vidal","given":"Marcos"}],"issued":{"date-parts":[["2010",6,15]]}}}],"schema":"https://github.com/citation-style-language/schema/raw/master/csl-citation.json"} </w:instrText>
      </w:r>
      <w:r>
        <w:fldChar w:fldCharType="separate"/>
      </w:r>
      <w:r w:rsidR="004A1963" w:rsidRPr="004A1963">
        <w:rPr>
          <w:rFonts w:ascii="Calibri" w:hAnsi="Calibri"/>
        </w:rPr>
        <w:t>(296)</w:t>
      </w:r>
      <w:r>
        <w:fldChar w:fldCharType="end"/>
      </w:r>
      <w:r>
        <w:t xml:space="preserve">, similar to how tumours in humans divert and subvert the immune response </w:t>
      </w:r>
      <w:r>
        <w:fldChar w:fldCharType="begin"/>
      </w:r>
      <w:r w:rsidR="000A209C">
        <w:instrText xml:space="preserve"> ADDIN ZOTERO_ITEM CSL_CITATION {"citationID":"dxHE4nWM","properties":{"formattedCitation":"(376,377)","plainCitation":"(376,377)","noteIndex":0},"citationItems":[{"id":166,"uris":["http://zotero.org/users/952979/items/JTG2XXZK"],"uri":["http://zotero.org/users/952979/items/JTG2XXZK"],"itemData":{"id":166,"type":"article-journal","title":"Cancer despite immunosurveillance: immunoselection and immunosubversion","container-title":"Nature reviews. Immunology","page":"715-727","volume":"6","issue":"10","source":"NCBI PubMed","abstract":"Numerous innate and adaptive immune effector cells and molecules participate in the recognition and destruction of cancer cells, a process that is known as cancer immunosurveillance. But cancer cells avoid such immunosurveillance through the outgrowth of poorly immunogenic tumour-cell variants (immunoselection) and through subversion of the immune system (immunosubversion). At the early stages of carcinogenesis, cell-intrinsic barriers to tumour development seem to be associated with stimulation of an active antitumour immune response, whereas overt tumour development seems to correlate with changes in the immunogenic properties of tumour cells. The permanent success of treatments for cancer might depend on using immunogenic chemotherapy to re-establish antitumour immune responses.","DOI":"10.1038/nri1936","ISSN":"1474-1733","note":"PMID: 16977338","shortTitle":"Cancer despite immunosurveillance","journalAbbreviation":"Nat. Rev. Immunol.","language":"eng","author":[{"family":"Zitvogel","given":"Laurence"},{"family":"Tesniere","given":"Antoine"},{"family":"Kroemer","given":"Guido"}],"issued":{"date-parts":[["2006",10]]}}},{"id":972,"uris":["http://zotero.org/users/952979/items/RMW53U3S"],"uri":["http://zotero.org/users/952979/items/RMW53U3S"],"itemData":{"id":972,"type":"article-journal","title":"Hallmarks of cancer: the next generation","container-title":"Cell","page":"646-674","volume":"144","issue":"5","source":"NCBI PubMed","abstract":"The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cancer.","DOI":"10.1016/j.cell.2011.02.013","ISSN":"1097-4172","note":"PMID: 21376230","shortTitle":"Hallmarks of cancer","journalAbbreviation":"Cell","author":[{"family":"Hanahan","given":"Douglas"},{"family":"Weinberg","given":"Robert A"}],"issued":{"date-parts":[["2011",3,4]]}}}],"schema":"https://github.com/citation-style-language/schema/raw/master/csl-citation.json"} </w:instrText>
      </w:r>
      <w:r>
        <w:fldChar w:fldCharType="separate"/>
      </w:r>
      <w:r w:rsidR="00A53A6B" w:rsidRPr="00A53A6B">
        <w:rPr>
          <w:rFonts w:ascii="Calibri" w:hAnsi="Calibri"/>
        </w:rPr>
        <w:t>(376,377)</w:t>
      </w:r>
      <w:r>
        <w:fldChar w:fldCharType="end"/>
      </w:r>
      <w:r>
        <w:t xml:space="preserve">. In addition, exposing adult hemocytes to bacterial challenge may reveal differences between the VT subpopulations not seen with embryonic hemocytes. Furthermore, it would be interesting to investigate the effects of removing VT subpopulations on organism survival and </w:t>
      </w:r>
      <w:r>
        <w:lastRenderedPageBreak/>
        <w:t xml:space="preserve">fitness to determine if these have any specific developmental roles. It is known that removal of hemocytes during the embryonic stages prevents organism survival </w:t>
      </w:r>
      <w:r>
        <w:fldChar w:fldCharType="begin"/>
      </w:r>
      <w:r w:rsidR="000A209C">
        <w:instrText xml:space="preserve"> ADDIN ZOTERO_ITEM CSL_CITATION {"citationID":"REVyo7Tz","properties":{"formattedCitation":"(233)","plainCitation":"(233)","noteIndex":0},"citationItems":[{"id":1398,"uris":["http://zotero.org/users/952979/items/58X8K9NI"],"uri":["http://zotero.org/users/952979/items/58X8K9NI"],"itemData":{"id":1398,"type":"article-journal","title":"Genetic ablation of Drosophila phagocytes reveals their contribution to both development and resistance to bacterial infection","container-title":"Journal of Innate Immunity","page":"322-334","volume":"1","issue":"4","source":"PubMed","abstract":"Drosophila phagocytes participate in development and immune responses through their abilities to perform phagocytosis and/or secrete extra-cellular matrix components, antimicrobial peptides, clotting factors and signalling molecules. However, our knowledge of their functional impact on development and host resistance to infection is limited. To address this, we have used a genetic cell ablation strategy to generate Drosophila individuals lacking functional phagocytes. Our results highlight the essential contribution of phagocytes to embryonic development including central nervous system morphogenesis. Phagocytes also ensure optimal viability during post-embryonic development through immune functions. The use of phagocyte-depleted flies reveals the contribution of phagocytes in the resistance of Drosophila adults upon systemic infections with specific bacteria. Phagocytes were not involved in the expression of antimicrobial peptides by the fat body indicating a clear separation between cellular and humoral immune responses at this stage. Finally, we confirm that phagocytosis is a critical effector mechanism of the cellular arm by demonstrating that phagocytosis contributes to resistance to infection with Staphylococcus aureus in adults. Our results highlight the power of this cell ablation strategy to reveal the contribution of phagocytes to specific biological processes. We now provide a blueprint of phagocyte importance during both development and innate immune responses in Drosophila.","DOI":"10.1159/000210264","ISSN":"1662-8128","note":"PMID: 20375589","journalAbbreviation":"J Innate Immun","language":"eng","author":[{"family":"Defaye","given":"Arnaud"},{"family":"Evans","given":"Iwan"},{"family":"Crozatier","given":"Michèle"},{"family":"Wood","given":"Will"},{"family":"Lemaitre","given":"Bruno"},{"family":"Leulier","given":"François"}],"issued":{"date-parts":[["2009"]]}}}],"schema":"https://github.com/citation-style-language/schema/raw/master/csl-citation.json"} </w:instrText>
      </w:r>
      <w:r>
        <w:fldChar w:fldCharType="separate"/>
      </w:r>
      <w:r w:rsidR="004A1963" w:rsidRPr="004A1963">
        <w:rPr>
          <w:rFonts w:ascii="Calibri" w:hAnsi="Calibri"/>
        </w:rPr>
        <w:t>(233)</w:t>
      </w:r>
      <w:r>
        <w:fldChar w:fldCharType="end"/>
      </w:r>
      <w:r>
        <w:t xml:space="preserve">. Removing subpopulations may determine the critical number of hemocytes required for flies to survive through development. Alternatively, this may reveal new developmental roles for the subpopulations. </w:t>
      </w:r>
      <w:bookmarkStart w:id="158" w:name="_Hlk5363864"/>
      <w:r w:rsidR="00751E82">
        <w:t xml:space="preserve">A key question is the role of discrete signalling pathways in the identified subpopulations and if our observations have any links to mammalian macrophage polarisation. </w:t>
      </w:r>
      <w:proofErr w:type="gramStart"/>
      <w:r w:rsidR="00751E82">
        <w:t>In an attempt to</w:t>
      </w:r>
      <w:proofErr w:type="gramEnd"/>
      <w:r w:rsidR="00751E82">
        <w:t xml:space="preserve"> address the later question, we screened pathways involved in M1/M2 polarisation in the whole hemocyte population by genetically manipulating the pathways (chapter 4). Additionally, we investigated the role of JAK/STAT signalling to investigate a signalling pathway that is highly dynamic in mammalian macrophages (chapter 5).</w:t>
      </w:r>
    </w:p>
    <w:bookmarkEnd w:id="158"/>
    <w:p w14:paraId="75C6A423" w14:textId="77777777" w:rsidR="004B5501" w:rsidRDefault="004B5501" w:rsidP="004B5501">
      <w:pPr>
        <w:pStyle w:val="Thesisnormal"/>
      </w:pPr>
    </w:p>
    <w:p w14:paraId="6093DAA2" w14:textId="77777777" w:rsidR="004B5501" w:rsidRDefault="004B5501" w:rsidP="004B5501">
      <w:pPr>
        <w:pStyle w:val="Heading3"/>
        <w:spacing w:line="360" w:lineRule="auto"/>
      </w:pPr>
      <w:bookmarkStart w:id="159" w:name="_Toc4589332"/>
      <w:r>
        <w:t>3.3.3 Cnx14D as a mechanism for VT62766 inflammatory responses</w:t>
      </w:r>
      <w:bookmarkEnd w:id="159"/>
    </w:p>
    <w:p w14:paraId="233765E0" w14:textId="77777777" w:rsidR="004B5501" w:rsidRPr="00410188" w:rsidRDefault="004B5501" w:rsidP="004B5501"/>
    <w:p w14:paraId="1F4C00DE" w14:textId="129599E6" w:rsidR="004B5501" w:rsidRPr="003A01F1" w:rsidRDefault="004B5501" w:rsidP="004B5501">
      <w:pPr>
        <w:pStyle w:val="Thesisnormal"/>
      </w:pPr>
      <w:r w:rsidRPr="009F7F1D">
        <w:t xml:space="preserve">We have demonstrated that overexpression of </w:t>
      </w:r>
      <w:r w:rsidRPr="00381BE3">
        <w:rPr>
          <w:i/>
        </w:rPr>
        <w:t>cnx14D</w:t>
      </w:r>
      <w:r w:rsidRPr="009F7F1D">
        <w:t xml:space="preserve"> improves hemocyte recruitment to wounds. This increase was similar to that observed with the VT62766 enhancer line, suggesting that this enhancer may be acting upon </w:t>
      </w:r>
      <w:r w:rsidRPr="00381BE3">
        <w:rPr>
          <w:i/>
        </w:rPr>
        <w:t>cnx14D</w:t>
      </w:r>
      <w:r w:rsidRPr="009F7F1D">
        <w:t xml:space="preserve">. </w:t>
      </w:r>
      <w:r>
        <w:t xml:space="preserve">In </w:t>
      </w:r>
      <w:r w:rsidRPr="009F7F1D">
        <w:rPr>
          <w:i/>
        </w:rPr>
        <w:t>Drosophila</w:t>
      </w:r>
      <w:r>
        <w:t>, c</w:t>
      </w:r>
      <w:r w:rsidRPr="009F7F1D">
        <w:t>alcium signalling is essential for hemocyte responses to wounding</w:t>
      </w:r>
      <w:r>
        <w:t xml:space="preserve">, where a wave of calcium can be observed </w:t>
      </w:r>
      <w:r>
        <w:fldChar w:fldCharType="begin"/>
      </w:r>
      <w:r w:rsidR="000A209C">
        <w:instrText xml:space="preserve"> ADDIN ZOTERO_ITEM CSL_CITATION {"citationID":"yqXqSzQx","properties":{"formattedCitation":"(251)","plainCitation":"(251)","noteIndex":0},"citationItems":[{"id":1086,"uris":["http://zotero.org/users/952979/items/CNMFRE8U"],"uri":["http://zotero.org/users/952979/items/CNMFRE8U"],"itemData":{"id":1086,"type":"article-journal","title":"Calcium flashes orchestrate the wound inflammatory response through DUOX activation and hydrogen peroxide release","container-title":"Current biology: CB","page":"424-429","volume":"23","issue":"5","source":"PubMed","abstract":"A crucial early wound response is the recruitment of inflammatory cells drawn by danger cues released by the damaged tissue. Hydrogen peroxide (H2O2) has recently been identified as the earliest wound attractant in Drosophila embryos and zebrafish larvae. The H2O2 signal is generated by activation of an NADPH oxidase, DUOX, and as a consequence, the first inflammatory cells are recruited to the wound within minutes. To date, nothing is known about how wounding activates DUOX. Here, we show that laser wounding of the Drosophila embryo epidermis triggers an instantaneous calcium flash, which travels as a wave via gap junctions several cell rows back from the wound edge. Blocking this calcium flash inhibits H2O2 release at the wound site and leads to a reduction in the number of immune cells migrating to the wound. We suggest that the wound-induced calcium flash activates DUOX via an EF hand calcium-binding motif and thus triggers the production of the attractant damage cue H2O2. Therefore, calcium represents the earliest signal in the wound inflammatory response.","DOI":"10.1016/j.cub.2013.01.058","ISSN":"1879-0445","note":"PMID: 23394834\nPMCID: PMC3629559","journalAbbreviation":"Curr. Biol.","language":"eng","author":[{"family":"Razzell","given":"William"},{"family":"Evans","given":"Iwan Robert"},{"family":"Martin","given":"Paul"},{"family":"Wood","given":"Will"}],"issued":{"date-parts":[["2013",3,4]]}}}],"schema":"https://github.com/citation-style-language/schema/raw/master/csl-citation.json"} </w:instrText>
      </w:r>
      <w:r>
        <w:fldChar w:fldCharType="separate"/>
      </w:r>
      <w:r w:rsidR="004A1963" w:rsidRPr="004A1963">
        <w:rPr>
          <w:rFonts w:ascii="Calibri" w:hAnsi="Calibri"/>
        </w:rPr>
        <w:t>(251)</w:t>
      </w:r>
      <w:r>
        <w:fldChar w:fldCharType="end"/>
      </w:r>
      <w:r>
        <w:t>. Calcium waves are localised increases in cytosolic Ca</w:t>
      </w:r>
      <w:r>
        <w:rPr>
          <w:vertAlign w:val="superscript"/>
        </w:rPr>
        <w:t>2+</w:t>
      </w:r>
      <w:r>
        <w:t xml:space="preserve"> that can be transmitted to neighbouring cells </w:t>
      </w:r>
      <w:r>
        <w:fldChar w:fldCharType="begin"/>
      </w:r>
      <w:r w:rsidR="000A209C">
        <w:instrText xml:space="preserve"> ADDIN ZOTERO_ITEM CSL_CITATION {"citationID":"FG13uHWG","properties":{"formattedCitation":"(378)","plainCitation":"(378)","noteIndex":0},"citationItems":[{"id":1816,"uris":["http://zotero.org/users/952979/items/ISBLUZPQ"],"uri":["http://zotero.org/users/952979/items/ISBLUZPQ"],"itemData":{"id":1816,"type":"article-journal","title":"Astrocyte Calcium Waves","container-title":"Glia","page":"716-725","volume":"54","issue":"7","source":"PubMed Central","abstract":"Several lines of evidence indicate that the elaborated calcium signals and the occurrence of calcium waves in astrocytes provide these cells with a specific form of excitability. The identification of the cellular and molecular steps involved in the triggering and transmission of Ca2+ waves between astrocytes resulted in the identification of two pathways mediating this form of intercellular communication. One of them involves the direct communication between the cytosols of two adjoining cells through gap junction channels, while the other depends upon the release of “gliotransmitters” that activates membrane receptors on neighboring cells. In this review we summarize evidence in favor of these two mechanisms of Ca2+ wave transmission and we discuss that they may not be mutually exclusive, but are likely to work in conjunction to coordinate the activity of a group of cells. To address a key question regarding the functional consequences following the passage of a Ca2+ wave, we list, in this review, some of the potential intracellular targets of these Ca2+ transients in astrocytes, and discuss the functional consequences of the activation of these targets for the interactions that astrocytes maintain with themselves and with other cellular partners, including those at the glial/vasculature interface and at perisynaptic sites where astrocytic processes tightly interact with neurons.","DOI":"10.1002/glia.20374","ISSN":"0894-1491","note":"PMID: 17006900\nPMCID: PMC2605018","journalAbbreviation":"Glia","author":[{"family":"Scemes","given":"ELIANA"},{"family":"Giaume","given":"CHRISTIAN"}],"issued":{"date-parts":[["2006",11,15]]}}}],"schema":"https://github.com/citation-style-language/schema/raw/master/csl-citation.json"} </w:instrText>
      </w:r>
      <w:r>
        <w:fldChar w:fldCharType="separate"/>
      </w:r>
      <w:r w:rsidR="00A53A6B" w:rsidRPr="00A53A6B">
        <w:rPr>
          <w:rFonts w:ascii="Calibri" w:hAnsi="Calibri"/>
        </w:rPr>
        <w:t>(378)</w:t>
      </w:r>
      <w:r>
        <w:fldChar w:fldCharType="end"/>
      </w:r>
      <w:r>
        <w:t xml:space="preserve">. As </w:t>
      </w:r>
      <w:r w:rsidRPr="00381BE3">
        <w:rPr>
          <w:i/>
        </w:rPr>
        <w:t>cnx14D</w:t>
      </w:r>
      <w:r>
        <w:t xml:space="preserve"> sequesters calcium in the ER, it is possible that these hemocytes are more capable of responding to such a calcium wave and can increase the propagation of this signalling by releasing this additional calcium store. Indeed, the calcium required for a calcium wave if often derived from endoplasmic reticulum stores </w:t>
      </w:r>
      <w:r>
        <w:fldChar w:fldCharType="begin"/>
      </w:r>
      <w:r w:rsidR="000A209C">
        <w:instrText xml:space="preserve"> ADDIN ZOTERO_ITEM CSL_CITATION {"citationID":"SrFpR2Sv","properties":{"formattedCitation":"(378)","plainCitation":"(378)","noteIndex":0},"citationItems":[{"id":1816,"uris":["http://zotero.org/users/952979/items/ISBLUZPQ"],"uri":["http://zotero.org/users/952979/items/ISBLUZPQ"],"itemData":{"id":1816,"type":"article-journal","title":"Astrocyte Calcium Waves","container-title":"Glia","page":"716-725","volume":"54","issue":"7","source":"PubMed Central","abstract":"Several lines of evidence indicate that the elaborated calcium signals and the occurrence of calcium waves in astrocytes provide these cells with a specific form of excitability. The identification of the cellular and molecular steps involved in the triggering and transmission of Ca2+ waves between astrocytes resulted in the identification of two pathways mediating this form of intercellular communication. One of them involves the direct communication between the cytosols of two adjoining cells through gap junction channels, while the other depends upon the release of “gliotransmitters” that activates membrane receptors on neighboring cells. In this review we summarize evidence in favor of these two mechanisms of Ca2+ wave transmission and we discuss that they may not be mutually exclusive, but are likely to work in conjunction to coordinate the activity of a group of cells. To address a key question regarding the functional consequences following the passage of a Ca2+ wave, we list, in this review, some of the potential intracellular targets of these Ca2+ transients in astrocytes, and discuss the functional consequences of the activation of these targets for the interactions that astrocytes maintain with themselves and with other cellular partners, including those at the glial/vasculature interface and at perisynaptic sites where astrocytic processes tightly interact with neurons.","DOI":"10.1002/glia.20374","ISSN":"0894-1491","note":"PMID: 17006900\nPMCID: PMC2605018","journalAbbreviation":"Glia","author":[{"family":"Scemes","given":"ELIANA"},{"family":"Giaume","given":"CHRISTIAN"}],"issued":{"date-parts":[["2006",11,15]]}}}],"schema":"https://github.com/citation-style-language/schema/raw/master/csl-citation.json"} </w:instrText>
      </w:r>
      <w:r>
        <w:fldChar w:fldCharType="separate"/>
      </w:r>
      <w:r w:rsidR="00A53A6B" w:rsidRPr="00A53A6B">
        <w:rPr>
          <w:rFonts w:ascii="Calibri" w:hAnsi="Calibri"/>
        </w:rPr>
        <w:t>(378)</w:t>
      </w:r>
      <w:r>
        <w:fldChar w:fldCharType="end"/>
      </w:r>
      <w:r>
        <w:t xml:space="preserve">. To expand the observations that </w:t>
      </w:r>
      <w:r w:rsidRPr="00381BE3">
        <w:rPr>
          <w:i/>
        </w:rPr>
        <w:t xml:space="preserve">cnx14D </w:t>
      </w:r>
      <w:r>
        <w:t xml:space="preserve">may be a potential mechanism of action for VT62766-labelled hemocyte subtypes, antibody staining against Cnx14D or targeting knockdown of calcium within VT62766 hemocytes would be desirable. Calcium knockdown could be undertaken using </w:t>
      </w:r>
      <w:r w:rsidRPr="00F043AD">
        <w:rPr>
          <w:i/>
        </w:rPr>
        <w:t>UAS-parvalbumin</w:t>
      </w:r>
      <w:r>
        <w:rPr>
          <w:i/>
        </w:rPr>
        <w:t>,</w:t>
      </w:r>
      <w:r>
        <w:t xml:space="preserve"> which would sequester the calcium </w:t>
      </w:r>
      <w:r>
        <w:fldChar w:fldCharType="begin"/>
      </w:r>
      <w:r w:rsidR="000A209C">
        <w:instrText xml:space="preserve"> ADDIN ZOTERO_ITEM CSL_CITATION {"citationID":"3vX9xd7W","properties":{"formattedCitation":"(232)","plainCitation":"(232)","noteIndex":0},"citationItems":[{"id":1214,"uris":["http://zotero.org/users/952979/items/7CHK2E4X"],"uri":["http://zotero.org/users/952979/items/7CHK2E4X"],"itemData":{"id":1214,"type":"article-journal","title":"Corpse Engulfment Generates a Molecular Memory that Primes the Macrophage Inflammatory Response","container-title":"Cell","page":"1658-1671","volume":"165","issue":"7","source":"PubMed Central","abstract":"Macrophages are multifunctional cells that perform diverse roles in health and disease. Emerging evidence has suggested that these innate immune cells might also be capable of developing immunological memory, a trait previously associated with the adaptive system alone. While recent studies have focused on the dramatic macrophage reprogramming that follows infection and protects against secondary microbial attack, can macrophages also develop memory in response to other cues? Here, we show that apoptotic corpse engulfment by Drosophila macrophages is an essential primer for their inflammatory response to tissue damage and infection in vivo. Priming is triggered via calcium-induced JNK signaling, which leads to upregulation of the damage receptor Draper, thus providing a molecular memory that allows the cell to rapidly respond to subsequent injury or infection. This remarkable plasticity and capacity for memory places macrophages as key therapeutic targets for treatment of inflammatory disorders., \n          \n            \n              •\n              Phagocytosis of apoptotic cells primes macrophages for future inflammatory response\n            \n            \n              •\n              Naive macrophages are insensitive to tissue damage and bacterial infection\n            \n            \n              •\n              Corpse uptake triggers macrophage calcium bursts that potentiate priming\n            \n            \n              •\n              Calcium-induced JNK primes macrophages by upregulating the damage receptor Draper\n            \n          \n        , Macrophages that consume apoptotic corpses during fly development become primed for inflammatory responses later in life, establishing a form of molecular memory that aids in the response to bacterial infection and tissue damage.","DOI":"10.1016/j.cell.2016.04.049","ISSN":"0092-8674","note":"PMID: 27212238\nPMCID: PMC4912690","journalAbbreviation":"Cell","author":[{"family":"Weavers","given":"Helen"},{"family":"Evans","given":"Iwan R."},{"family":"Martin","given":"Paul"},{"family":"Wood","given":"Will"}],"issued":{"date-parts":[["2016",6,16]]}}}],"schema":"https://github.com/citation-style-language/schema/raw/master/csl-citation.json"} </w:instrText>
      </w:r>
      <w:r>
        <w:fldChar w:fldCharType="separate"/>
      </w:r>
      <w:r w:rsidR="004A1963" w:rsidRPr="004A1963">
        <w:rPr>
          <w:rFonts w:ascii="Calibri" w:hAnsi="Calibri"/>
        </w:rPr>
        <w:t>(232)</w:t>
      </w:r>
      <w:r>
        <w:fldChar w:fldCharType="end"/>
      </w:r>
      <w:r>
        <w:t xml:space="preserve">, making it unavailable for physiological use, thereby reducing the wounding response of this subpopulation. Alternatively, it is possible that </w:t>
      </w:r>
      <w:r w:rsidRPr="00B42AE2">
        <w:rPr>
          <w:i/>
        </w:rPr>
        <w:t>cnx14D</w:t>
      </w:r>
      <w:r>
        <w:t xml:space="preserve"> is acting to promote the acquisition of the subpopulation fate. For exampl</w:t>
      </w:r>
      <w:r w:rsidR="00224572">
        <w:t>e, priming of hemocytes requires</w:t>
      </w:r>
      <w:r>
        <w:t xml:space="preserve"> the engulfment of apoptotic cells. This subsequently triggers calcium-induced JNK signalling and the up-</w:t>
      </w:r>
      <w:r>
        <w:lastRenderedPageBreak/>
        <w:t xml:space="preserve">regulation of Draper, a damage receptor </w:t>
      </w:r>
      <w:r>
        <w:fldChar w:fldCharType="begin"/>
      </w:r>
      <w:r w:rsidR="000A209C">
        <w:instrText xml:space="preserve"> ADDIN ZOTERO_ITEM CSL_CITATION {"citationID":"dJvZHcW4","properties":{"formattedCitation":"(232,379)","plainCitation":"(232,379)","noteIndex":0},"citationItems":[{"id":1214,"uris":["http://zotero.org/users/952979/items/7CHK2E4X"],"uri":["http://zotero.org/users/952979/items/7CHK2E4X"],"itemData":{"id":1214,"type":"article-journal","title":"Corpse Engulfment Generates a Molecular Memory that Primes the Macrophage Inflammatory Response","container-title":"Cell","page":"1658-1671","volume":"165","issue":"7","source":"PubMed Central","abstract":"Macrophages are multifunctional cells that perform diverse roles in health and disease. Emerging evidence has suggested that these innate immune cells might also be capable of developing immunological memory, a trait previously associated with the adaptive system alone. While recent studies have focused on the dramatic macrophage reprogramming that follows infection and protects against secondary microbial attack, can macrophages also develop memory in response to other cues? Here, we show that apoptotic corpse engulfment by Drosophila macrophages is an essential primer for their inflammatory response to tissue damage and infection in vivo. Priming is triggered via calcium-induced JNK signaling, which leads to upregulation of the damage receptor Draper, thus providing a molecular memory that allows the cell to rapidly respond to subsequent injury or infection. This remarkable plasticity and capacity for memory places macrophages as key therapeutic targets for treatment of inflammatory disorders., \n          \n            \n              •\n              Phagocytosis of apoptotic cells primes macrophages for future inflammatory response\n            \n            \n              •\n              Naive macrophages are insensitive to tissue damage and bacterial infection\n            \n            \n              •\n              Corpse uptake triggers macrophage calcium bursts that potentiate priming\n            \n            \n              •\n              Calcium-induced JNK primes macrophages by upregulating the damage receptor Draper\n            \n          \n        , Macrophages that consume apoptotic corpses during fly development become primed for inflammatory responses later in life, establishing a form of molecular memory that aids in the response to bacterial infection and tissue damage.","DOI":"10.1016/j.cell.2016.04.049","ISSN":"0092-8674","note":"PMID: 27212238\nPMCID: PMC4912690","journalAbbreviation":"Cell","author":[{"family":"Weavers","given":"Helen"},{"family":"Evans","given":"Iwan R."},{"family":"Martin","given":"Paul"},{"family":"Wood","given":"Will"}],"issued":{"date-parts":[["2016",6,16]]}}},{"id":1761,"uris":["http://zotero.org/users/952979/items/YNJXW8SR"],"uri":["http://zotero.org/users/952979/items/YNJXW8SR"],"itemData":{"id":1761,"type":"article-journal","title":"Signaling pathway for phagocyte priming upon encounter with apoptotic cells","container-title":"The Journal of Biological Chemistry","page":"8059-8072","volume":"292","issue":"19","source":"PubMed","abstract":"The phagocytic elimination of cells undergoing apoptosis is an evolutionarily conserved innate immune mechanism for eliminating unnecessary cells. Previous studies showed an increase in the level of engulfment receptors in phagocytes after the phagocytosis of apoptotic cells, which leads to the enhancement of their phagocytic activity. However, precise mechanisms underlying this phenomenon require further clarification. We found that the pre-incubation of a Drosophila phagocyte cell line with the fragments of apoptotic cells enhanced the subsequent phagocytosis of apoptotic cells, accompanied by an augmented expression of the engulfment receptors Draper and integrin αPS3. The DNA-binding activity of the transcription repressor Tailless was transiently raised in those phagocytes, depending on two partially overlapping signal-transduction pathways for the induction of phagocytosis as well as the occurrence of engulfment. The RNAi knockdown of tailless in phagocytes abrogated the enhancement of both phagocytosis and engulfment receptor expression. Furthermore, the hemocyte-specific RNAi of tailless reduced apoptotic cell clearance in Drosophila embryos. Taken together, we propose the following mechanism for the activation of Drosophila phagocytes after an encounter with apoptotic cells: two partially overlapping signal-transduction pathways for phagocytosis are initiated; transcription repressor Tailless is activated; expression of engulfment receptors is stimulated; and phagocytic activity is enhanced. This phenomenon most likely ensures the phagocytic elimination of apoptotic cells by stimulated phagocytes and is thus considered as a mechanism to prime phagocytes in innate immunity.","DOI":"10.1074/jbc.M116.769745","ISSN":"1083-351X","note":"PMID: 28325838\nPMCID: PMC5427281","journalAbbreviation":"J. Biol. Chem.","language":"eng","author":[{"family":"Nonaka","given":"Saori"},{"family":"Ando","given":"Yuki"},{"family":"Kanetani","given":"Takuto"},{"family":"Hoshi","given":"Chiharu"},{"family":"Nakai","given":"Yuji"},{"family":"Nainu","given":"Firzan"},{"family":"Nagaosa","given":"Kaz"},{"family":"Shiratsuchi","given":"Akiko"},{"family":"Nakanishi","given":"Yoshinobu"}],"issued":{"date-parts":[["2017"]],"season":"12"}}}],"schema":"https://github.com/citation-style-language/schema/raw/master/csl-citation.json"} </w:instrText>
      </w:r>
      <w:r>
        <w:fldChar w:fldCharType="separate"/>
      </w:r>
      <w:r w:rsidR="004A1963" w:rsidRPr="004A1963">
        <w:rPr>
          <w:rFonts w:ascii="Calibri" w:hAnsi="Calibri"/>
        </w:rPr>
        <w:t>(232,379)</w:t>
      </w:r>
      <w:r>
        <w:fldChar w:fldCharType="end"/>
      </w:r>
      <w:r>
        <w:t xml:space="preserve">, priming hemocytes for future responses to damage. It is possible that </w:t>
      </w:r>
      <w:r>
        <w:rPr>
          <w:i/>
        </w:rPr>
        <w:t>cnx14D</w:t>
      </w:r>
      <w:r>
        <w:t xml:space="preserve"> is more abundant in VT62766 hemocytes and results in a greater “priming” of this population. Again, the use of </w:t>
      </w:r>
      <w:r w:rsidRPr="00F043AD">
        <w:rPr>
          <w:i/>
        </w:rPr>
        <w:t>UAS-parvalbumin</w:t>
      </w:r>
      <w:r>
        <w:t xml:space="preserve"> could be used to investigate this. If </w:t>
      </w:r>
      <w:r w:rsidRPr="00F043AD">
        <w:rPr>
          <w:i/>
        </w:rPr>
        <w:t>UAS-parvalbumin</w:t>
      </w:r>
      <w:r>
        <w:t xml:space="preserve"> is expressed in hemocytes, then there should be fewer VT62766-labelled hemocytes if </w:t>
      </w:r>
      <w:r w:rsidRPr="003A01F1">
        <w:rPr>
          <w:i/>
        </w:rPr>
        <w:t>cnx14D</w:t>
      </w:r>
      <w:r>
        <w:rPr>
          <w:i/>
        </w:rPr>
        <w:t xml:space="preserve"> </w:t>
      </w:r>
      <w:r>
        <w:t xml:space="preserve">is required for acquisition of subpopulation fate. </w:t>
      </w:r>
      <w:r w:rsidR="00224572">
        <w:t xml:space="preserve">Moreover, calcium-associated genes have been shown to be up-regulated in hemocytes in response to infection with </w:t>
      </w:r>
      <w:r w:rsidR="00224572">
        <w:rPr>
          <w:i/>
        </w:rPr>
        <w:t>E. coli</w:t>
      </w:r>
      <w:r w:rsidR="00224572">
        <w:t xml:space="preserve"> </w:t>
      </w:r>
      <w:r w:rsidR="00224572">
        <w:fldChar w:fldCharType="begin"/>
      </w:r>
      <w:r w:rsidR="000A209C">
        <w:instrText xml:space="preserve"> ADDIN ZOTERO_ITEM CSL_CITATION {"citationID":"KXXLYBH9","properties":{"formattedCitation":"(372)","plainCitation":"(372)","noteIndex":0},"citationItems":[{"id":1657,"uris":["http://zotero.org/users/952979/items/25LJ5ILV"],"uri":["http://zotero.org/users/952979/items/25LJ5ILV"],"itemData":{"id":1657,"type":"article-journal","title":"Microarray analysis of immune challenged Drosophila hemocytes","container-title":"Experimental Cell Research","page":"145-155","volume":"305","issue":"1","source":"PubMed","abstract":"Insect hemocytes play multiple roles in immunity and carry out cellular responses like phagocytosis, encapsulation and melanization as well as producing humoral effector proteins in the first line of defense after injury and invasion of microorganisms. In this work, we used the Drosophila melanogaster hemocyte-like cell line mbn-2 and Affymetrix Drosophila GeneChips to investigate the transcriptome of a single type of immune competent tissue exposed to Gram-negative cell wall components (crude LPS) or high dose infection with live Escherichia coli. We found that gene expression profiles of both treatments overlap but show important differences in expression levels of several genes involved in immunity. In addition, cell morphology during infection was monitored and revealed distinct alterations in cell shape and adhesion. Presence of large numbers of bacteria also increased the number of cells taking on crystal cell fate. Taken together, our results indicate that hemocytes sense and respond differently to purified bacterial surface molecules and infection with live and actively growing bacteria both at the level of gene expression and in cell behavior.","DOI":"10.1016/j.yexcr.2004.12.018","ISSN":"0014-4827","note":"PMID: 15777795","journalAbbreviation":"Exp. Cell Res.","language":"eng","author":[{"family":"Johansson","given":"Karin C."},{"family":"Metzendorf","given":"Christoph"},{"family":"Söderhäll","given":"Kenneth"}],"issued":{"date-parts":[["2005",4,15]]}}}],"schema":"https://github.com/citation-style-language/schema/raw/master/csl-citation.json"} </w:instrText>
      </w:r>
      <w:r w:rsidR="00224572">
        <w:fldChar w:fldCharType="separate"/>
      </w:r>
      <w:r w:rsidR="00A53A6B" w:rsidRPr="00A53A6B">
        <w:rPr>
          <w:rFonts w:ascii="Calibri" w:hAnsi="Calibri"/>
        </w:rPr>
        <w:t>(372)</w:t>
      </w:r>
      <w:r w:rsidR="00224572">
        <w:fldChar w:fldCharType="end"/>
      </w:r>
      <w:r w:rsidR="00224572">
        <w:t xml:space="preserve">. However, we did not observe any differences in the phagocytosis of </w:t>
      </w:r>
      <w:r w:rsidR="00224572">
        <w:rPr>
          <w:i/>
        </w:rPr>
        <w:t>E. coli</w:t>
      </w:r>
      <w:r w:rsidR="00224572">
        <w:t xml:space="preserve"> in the VT62766 subpopulation, suggesting that perhaps sequestering calcium in the endoplasmic reticulum does not affect phagocytosis of bacteria.</w:t>
      </w:r>
      <w:r w:rsidR="00447950">
        <w:t xml:space="preserve"> Supporting this idea is the finding that extracellular calcium restores phagocytic responses in macrophages </w:t>
      </w:r>
      <w:r w:rsidR="00447950">
        <w:fldChar w:fldCharType="begin"/>
      </w:r>
      <w:r w:rsidR="000A209C">
        <w:instrText xml:space="preserve"> ADDIN ZOTERO_ITEM CSL_CITATION {"citationID":"4ZMwaOSm","properties":{"formattedCitation":"(380)","plainCitation":"(380)","noteIndex":0},"citationItems":[{"id":1743,"uris":["http://zotero.org/users/952979/items/JB339H5R"],"uri":["http://zotero.org/users/952979/items/JB339H5R"],"itemData":{"id":1743,"type":"article-journal","title":"Calcium restores the macrophage response to nontypeable haemophilus influenzae in chronic obstructive pulmonary disease","container-title":"American Journal of Respiratory Cell and Molecular Biology","page":"728-737","volume":"52","issue":"6","source":"PubMed","abstract":"Alveolar macrophages in chronic obstructive pulmonary disease (COPD) have demonstrated impaired bacterial phagocytosis and disordered cytokine secretion, which are calcium-dependent processes. We determined how calcium moderates the macrophage response to nontypeable Haemophilus influenzae (NTHI). We hypothesized that augmenting extracellular calcium during bacterial challenge would restore bacterial phagocytosis and cytokine secretion in monocyte-derived macrophages (MDMs) from subjects with COPD. We further determined whether restoration of pattern recognition and scavenger receptors correlated with the calcium-induced improvements in macrophage function. Monocytes were purified from whole blood from healthy control subjects (n = 20) and patients with moderate to severe COPD (n = 35), and cultured in suspension with granulocyte macrophage colony-stimulating factor to generate MDMs. The MDMs were incubated with fluorescently labeled NTHI with and without calcium lactate and calcium channel inhibitors. Phagocytosis efficiency was evaluated by flow cytometry. Supernatants were assayed for cytokines using bead array technology. Cell surface receptor expression was assayed by multicolor flow cytometry. Extracellular calcium significantly improved phagocytosis and cytokine secretion (IL-8, TNF-α, and macrophage inflammatory protein [MIP]-1α, and -1β) in COPD MDMs. NTHI challenge led to statistically significant reductions in CD16 (FcγRIII), and extracellular calcium up-regulated both CD16 and macrophage receptor with collagenous structure (MARCO). Specific calcium channel inhibitors abrogated calcium-mediated MARCO up-regulation and cytokine secretion. Extracellular calcium improved phagocytosis, restored innate cytokine secretion, and increased cell surface expression of bacterial recognition receptors, CD16 and MARCO. These observations support the therapeutic use of calcium to improve macrophage function in COPD to decrease exacerbations and chronic bacterial infection.","DOI":"10.1165/rcmb.2014-0172OC","ISSN":"1535-4989","note":"PMID: 25338285","journalAbbreviation":"Am. J. Respir. Cell Mol. Biol.","language":"eng","author":[{"family":"Provost","given":"Karin A."},{"family":"Smith","given":"Miyuki"},{"family":"Arold","given":"Stephen P."},{"family":"Hava","given":"David L."},{"family":"Sethi","given":"Sanjay"}],"issued":{"date-parts":[["2015",6]]}}}],"schema":"https://github.com/citation-style-language/schema/raw/master/csl-citation.json"} </w:instrText>
      </w:r>
      <w:r w:rsidR="00447950">
        <w:fldChar w:fldCharType="separate"/>
      </w:r>
      <w:r w:rsidR="00A53A6B" w:rsidRPr="00A53A6B">
        <w:rPr>
          <w:rFonts w:ascii="Calibri" w:hAnsi="Calibri"/>
        </w:rPr>
        <w:t>(380)</w:t>
      </w:r>
      <w:r w:rsidR="00447950">
        <w:fldChar w:fldCharType="end"/>
      </w:r>
      <w:r w:rsidR="00447950">
        <w:t>.</w:t>
      </w:r>
      <w:r w:rsidR="00224572">
        <w:t xml:space="preserve"> </w:t>
      </w:r>
    </w:p>
    <w:p w14:paraId="41CA0ADB" w14:textId="77777777" w:rsidR="004B5501" w:rsidRDefault="004B5501" w:rsidP="004B5501">
      <w:pPr>
        <w:pStyle w:val="Thesisnormal"/>
      </w:pPr>
    </w:p>
    <w:p w14:paraId="7F0F54F6" w14:textId="77777777" w:rsidR="004B5501" w:rsidRDefault="004B5501" w:rsidP="004B5501">
      <w:pPr>
        <w:pStyle w:val="Heading2"/>
        <w:spacing w:line="360" w:lineRule="auto"/>
      </w:pPr>
      <w:bookmarkStart w:id="160" w:name="_Toc4589333"/>
      <w:r>
        <w:t>3.4 Conclusion</w:t>
      </w:r>
      <w:bookmarkEnd w:id="160"/>
    </w:p>
    <w:p w14:paraId="6449EF0E" w14:textId="77777777" w:rsidR="00224572" w:rsidRPr="00224572" w:rsidRDefault="00224572" w:rsidP="00224572"/>
    <w:p w14:paraId="0A3B66AB" w14:textId="723F0755" w:rsidR="004B5501" w:rsidRDefault="004B5501" w:rsidP="004B5501">
      <w:pPr>
        <w:pStyle w:val="Thesisnormal"/>
      </w:pPr>
      <w:r>
        <w:t xml:space="preserve">Utilising the VT enhancer library, we have revealed 11 enhancers that are active in subpopulations of hemocytes. Further investigation of 4 of these enhancers demonstrated that they persist into adulthood. Moreover, these subpopulations are functionally distinct, demonstrating more potent inflammatory responses to wounding, reduced efferocytosis of apoptotic cells and increased random migratory speeds. We found two lines (VT17559 &amp; VT62766) that displayed more potent inflammatory responses to wounding, reduced efferocytosis of apoptotic cells and increased random migratory speeds. VT57089 displayed a reduction in the number of vacuoles (efferocytosis) but no differences in migration or </w:t>
      </w:r>
      <w:r w:rsidR="006A0DEC">
        <w:t>recruitment to wounds</w:t>
      </w:r>
      <w:r>
        <w:t xml:space="preserve">. Finally, VT32897 displayed increased responses to wounds but no differences in migration or efferocytosis. Together, this data demonstrates that these subpopulations are functionally distinct. </w:t>
      </w:r>
    </w:p>
    <w:p w14:paraId="23DE66FE" w14:textId="20BF6D71" w:rsidR="00A13915" w:rsidRDefault="004B5501">
      <w:r>
        <w:br w:type="page"/>
      </w:r>
    </w:p>
    <w:p w14:paraId="73EDE8FB" w14:textId="2BA6745B" w:rsidR="00A13915" w:rsidRDefault="00A13915">
      <w:pPr>
        <w:rPr>
          <w:noProof/>
          <w:lang w:eastAsia="en-GB"/>
        </w:rPr>
      </w:pPr>
      <w:r>
        <w:rPr>
          <w:noProof/>
          <w:lang w:eastAsia="en-GB"/>
        </w:rPr>
        <w:lastRenderedPageBreak/>
        <w:drawing>
          <wp:inline distT="0" distB="0" distL="0" distR="0" wp14:anchorId="2BCA852D" wp14:editId="1363D915">
            <wp:extent cx="5092995" cy="6690023"/>
            <wp:effectExtent l="0" t="0" r="0" b="0"/>
            <wp:docPr id="8" name="Picture 8" descr="D:\Dropbox\PhD\Writing\Thesis\Chapter 3 Identification of hemocyte subpopulations\Final summary figure - Chapte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3 Identification of hemocyte subpopulations\Final summary figure - Chapter 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96240" cy="6694286"/>
                    </a:xfrm>
                    <a:prstGeom prst="rect">
                      <a:avLst/>
                    </a:prstGeom>
                    <a:noFill/>
                    <a:ln>
                      <a:noFill/>
                    </a:ln>
                  </pic:spPr>
                </pic:pic>
              </a:graphicData>
            </a:graphic>
          </wp:inline>
        </w:drawing>
      </w:r>
    </w:p>
    <w:p w14:paraId="090FDAD3" w14:textId="6DBC668B" w:rsidR="00A13915" w:rsidRPr="00A722C7" w:rsidRDefault="00A13915" w:rsidP="00A13915">
      <w:pPr>
        <w:pStyle w:val="NoSpacing"/>
        <w:rPr>
          <w:b/>
        </w:rPr>
      </w:pPr>
      <w:r>
        <w:rPr>
          <w:b/>
        </w:rPr>
        <w:t>Figure 3.15</w:t>
      </w:r>
      <w:r w:rsidRPr="00A722C7">
        <w:rPr>
          <w:b/>
        </w:rPr>
        <w:t xml:space="preserve">. </w:t>
      </w:r>
      <w:r>
        <w:rPr>
          <w:b/>
        </w:rPr>
        <w:t>Summary of chapter 3 findings.</w:t>
      </w:r>
    </w:p>
    <w:p w14:paraId="6AD63F45" w14:textId="0DD73B4E" w:rsidR="00A13915" w:rsidRDefault="00A13915" w:rsidP="00A13915">
      <w:r>
        <w:t xml:space="preserve">We have identified subpopulations of hemocytes that are functionally distinct. However, there are many questions arising from this, including the underlying mechanisms controlling these populations and what larger transcriptional changes are occurring within the populations. </w:t>
      </w:r>
      <w:r>
        <w:br w:type="page"/>
      </w:r>
    </w:p>
    <w:p w14:paraId="2CD7DAE2" w14:textId="2E3E90BA" w:rsidR="004275D8" w:rsidRPr="00C81F38" w:rsidRDefault="004275D8" w:rsidP="004275D8">
      <w:pPr>
        <w:pStyle w:val="Heading1"/>
      </w:pPr>
      <w:bookmarkStart w:id="161" w:name="_Toc520385460"/>
      <w:bookmarkStart w:id="162" w:name="_Toc4589334"/>
      <w:bookmarkEnd w:id="136"/>
      <w:r w:rsidRPr="0099297E">
        <w:lastRenderedPageBreak/>
        <w:t>Chapter</w:t>
      </w:r>
      <w:r>
        <w:t xml:space="preserve"> 4. Screening mammalian macrophage polarisation pathways</w:t>
      </w:r>
      <w:bookmarkEnd w:id="161"/>
      <w:r>
        <w:t xml:space="preserve"> in </w:t>
      </w:r>
      <w:r>
        <w:rPr>
          <w:i/>
        </w:rPr>
        <w:t>Drosophila</w:t>
      </w:r>
      <w:bookmarkEnd w:id="162"/>
    </w:p>
    <w:p w14:paraId="7E544CD0" w14:textId="77777777" w:rsidR="00C96CB6" w:rsidRDefault="00C96CB6" w:rsidP="004275D8"/>
    <w:p w14:paraId="27B66FB7" w14:textId="77777777" w:rsidR="002C2972" w:rsidRDefault="002C297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C96CB6" w14:paraId="02C67EE6" w14:textId="77777777" w:rsidTr="003D2D62">
        <w:tc>
          <w:tcPr>
            <w:tcW w:w="9016" w:type="dxa"/>
            <w:gridSpan w:val="2"/>
            <w:vAlign w:val="center"/>
          </w:tcPr>
          <w:p w14:paraId="6828DD81" w14:textId="77777777" w:rsidR="00C96CB6" w:rsidRDefault="00C96CB6" w:rsidP="003D2D62">
            <w:pPr>
              <w:jc w:val="center"/>
            </w:pPr>
            <w:r>
              <w:lastRenderedPageBreak/>
              <w:t>Control data is the same in the following figures as experiments were conducted at the same time:</w:t>
            </w:r>
          </w:p>
        </w:tc>
      </w:tr>
      <w:tr w:rsidR="00C96CB6" w14:paraId="478C5C96" w14:textId="77777777" w:rsidTr="003D2D62">
        <w:tc>
          <w:tcPr>
            <w:tcW w:w="4508" w:type="dxa"/>
            <w:vAlign w:val="center"/>
          </w:tcPr>
          <w:p w14:paraId="13FEF9A6" w14:textId="77777777" w:rsidR="00C96CB6" w:rsidRPr="002C2972" w:rsidRDefault="00C96CB6" w:rsidP="003D2D62">
            <w:pPr>
              <w:jc w:val="center"/>
              <w:rPr>
                <w:u w:val="single"/>
              </w:rPr>
            </w:pPr>
            <w:r w:rsidRPr="002C2972">
              <w:rPr>
                <w:u w:val="single"/>
              </w:rPr>
              <w:t>Figures</w:t>
            </w:r>
          </w:p>
        </w:tc>
        <w:tc>
          <w:tcPr>
            <w:tcW w:w="4508" w:type="dxa"/>
            <w:vAlign w:val="center"/>
          </w:tcPr>
          <w:p w14:paraId="37BC22B5" w14:textId="77777777" w:rsidR="00C96CB6" w:rsidRPr="002C2972" w:rsidRDefault="00C96CB6" w:rsidP="003D2D62">
            <w:pPr>
              <w:jc w:val="center"/>
              <w:rPr>
                <w:u w:val="single"/>
              </w:rPr>
            </w:pPr>
            <w:r w:rsidRPr="002C2972">
              <w:rPr>
                <w:u w:val="single"/>
              </w:rPr>
              <w:t>Page Numbers</w:t>
            </w:r>
          </w:p>
        </w:tc>
      </w:tr>
      <w:tr w:rsidR="00C96CB6" w14:paraId="6F4735F9" w14:textId="77777777" w:rsidTr="003D2D62">
        <w:tc>
          <w:tcPr>
            <w:tcW w:w="4508" w:type="dxa"/>
            <w:vAlign w:val="center"/>
          </w:tcPr>
          <w:p w14:paraId="6EC8B05E" w14:textId="77777777" w:rsidR="00C96CB6" w:rsidRDefault="00C96CB6" w:rsidP="003D2D62">
            <w:pPr>
              <w:jc w:val="center"/>
            </w:pPr>
            <w:r>
              <w:t>4.2 &amp; 4.3</w:t>
            </w:r>
          </w:p>
        </w:tc>
        <w:tc>
          <w:tcPr>
            <w:tcW w:w="4508" w:type="dxa"/>
            <w:vAlign w:val="center"/>
          </w:tcPr>
          <w:p w14:paraId="24230A19" w14:textId="77777777" w:rsidR="00C96CB6" w:rsidRDefault="00C96CB6" w:rsidP="003D2D62">
            <w:pPr>
              <w:jc w:val="center"/>
            </w:pPr>
            <w:r>
              <w:t>99 &amp; 101</w:t>
            </w:r>
          </w:p>
        </w:tc>
      </w:tr>
      <w:tr w:rsidR="00C96CB6" w14:paraId="6F7114D3" w14:textId="77777777" w:rsidTr="003D2D62">
        <w:tc>
          <w:tcPr>
            <w:tcW w:w="4508" w:type="dxa"/>
            <w:vAlign w:val="center"/>
          </w:tcPr>
          <w:p w14:paraId="19EE89F2" w14:textId="77777777" w:rsidR="00C96CB6" w:rsidRDefault="00C96CB6" w:rsidP="003D2D62">
            <w:pPr>
              <w:jc w:val="center"/>
            </w:pPr>
            <w:r>
              <w:t>4.12 &amp; 4.14</w:t>
            </w:r>
          </w:p>
        </w:tc>
        <w:tc>
          <w:tcPr>
            <w:tcW w:w="4508" w:type="dxa"/>
            <w:vAlign w:val="center"/>
          </w:tcPr>
          <w:p w14:paraId="6F2EBF62" w14:textId="77777777" w:rsidR="00C96CB6" w:rsidRDefault="00C96CB6" w:rsidP="003D2D62">
            <w:pPr>
              <w:jc w:val="center"/>
            </w:pPr>
            <w:r>
              <w:t>118 &amp; 121</w:t>
            </w:r>
          </w:p>
        </w:tc>
      </w:tr>
    </w:tbl>
    <w:p w14:paraId="571C8FA2" w14:textId="77777777" w:rsidR="002C2972" w:rsidRDefault="002C2972" w:rsidP="004275D8"/>
    <w:p w14:paraId="1E5ADDFC" w14:textId="78E925A3" w:rsidR="004275D8" w:rsidRDefault="002C2972" w:rsidP="004275D8">
      <w:r>
        <w:br w:type="page"/>
      </w:r>
    </w:p>
    <w:p w14:paraId="1D364879" w14:textId="77777777" w:rsidR="004275D8" w:rsidRDefault="004275D8" w:rsidP="004275D8">
      <w:pPr>
        <w:pStyle w:val="Heading2"/>
      </w:pPr>
      <w:bookmarkStart w:id="163" w:name="_Toc520385461"/>
      <w:bookmarkStart w:id="164" w:name="_Toc4589335"/>
      <w:r>
        <w:lastRenderedPageBreak/>
        <w:t>4.1 Introduction</w:t>
      </w:r>
      <w:bookmarkEnd w:id="163"/>
      <w:bookmarkEnd w:id="164"/>
    </w:p>
    <w:p w14:paraId="46870C6B" w14:textId="77777777" w:rsidR="004275D8" w:rsidRDefault="004275D8" w:rsidP="004275D8">
      <w:pPr>
        <w:pStyle w:val="Thesisnormal"/>
      </w:pPr>
    </w:p>
    <w:p w14:paraId="45F44321" w14:textId="4B98D348" w:rsidR="004275D8" w:rsidRDefault="004275D8" w:rsidP="004275D8">
      <w:pPr>
        <w:pStyle w:val="Thesisnormal"/>
      </w:pPr>
      <w:r>
        <w:t xml:space="preserve">The original classification of macrophage subtypes was based on ornithine metabolism, with M1 macrophages utilising NOS to produce nitric oxide and M2 macrophages utilising Arginase to produce arginine, which removes the metabolites used in nitric oxide production </w:t>
      </w:r>
      <w:r>
        <w:fldChar w:fldCharType="begin"/>
      </w:r>
      <w:r w:rsidR="000A209C">
        <w:instrText xml:space="preserve"> ADDIN ZOTERO_ITEM CSL_CITATION {"citationID":"Xr0C6ZR3","properties":{"formattedCitation":"(17,22)","plainCitation":"(17,22)","noteIndex":0},"citationItems":[{"id":1312,"uris":["http://zotero.org/users/952979/items/2DRD5T5T"],"uri":["http://zotero.org/users/952979/items/2DRD5T5T"],"itemData":{"id":1312,"type":"article-journal","title":"M-1/M-2 macrophages and the Th1/Th2 paradigm","container-title":"Journal of Immunology (Baltimore, Md.: 1950)","page":"6166-6173","volume":"164","issue":"12","source":"PubMed","abstract":"Evidence is provided that macrophages can make M-1 or M-2 responses. The concept of M-1/M-2 fomented from observations that macrophages from prototypical Th1 strains (C57BL/6, B10D2) are more easily activated to produce NO with either IFN-gamma or LPS than macrophages from Th2 strains (BALB/c, DBA/2). In marked contrast, LPS stimulates Th2, but not Th1, macrophages to increase arginine metabolism to ornithine. Thus, M-1/M-2 does not simply describe activated or unactivated macrophages, but cells expressing distinct metabolic programs. Because NO inhibits cell division, while ornithine can stimulate cell division (via polyamines), these results also indicate that M-1 and M-2 responses can influence inflammatory reactions in opposite ways. Macrophage TGF-beta1, which inhibits inducible NO synthase and stimulates arginase, appears to play an important role in regulating the balance between M-1 and M-2. M-1/M-2 phenotypes are independent of T or B lymphocytes because C57BL/6 and BALB/c NUDE or SCID macrophages also exhibit M-1/M-2. Indeed, M-1/M-2 proclivities are magnified in NUDE and SCID mice. Finally, C57BL/6 SCID macrophages cause CB6F1 lymphocytes to increase IFN-gamma production, while BALB/c SCID macrophages increase TGF-beta production. Together, the results indicate that M-1- or M-2-dominant macrophage responses can influence whether Th1/Th2 or other types of inflammatory responses occur.","ISSN":"0022-1767","note":"PMID: 10843666","journalAbbreviation":"J. Immunol.","language":"eng","author":[{"family":"Mills","given":"C. D."},{"family":"Kincaid","given":"K."},{"family":"Alt","given":"J. M."},{"family":"Heilman","given":"M. J."},{"family":"Hill","given":"A. M."}],"issued":{"date-parts":[["2000",6,15]]}}},{"id":1313,"uris":["http://zotero.org/users/952979/items/9ZXCKK4S"],"uri":["http://zotero.org/users/952979/items/9ZXCKK4S"],"itemData":{"id":1313,"type":"article-journal","title":"Anatomy of a Discovery: M1 and M2 Macrophages","container-title":"Frontiers in Immunology","volume":"6","source":"PubMed Central","abstract":"M1 and M2 macrophage-type responses kill or repair in vivo. The unique ability of macrophages to make these polar opposite type of responses provides primary host protection and maintains tissue homeostasis throughout the animal kingdom. In humans and other higher animals, M1 and M2-type macrophage responses also initiate and direct T cells/adaptive immunity to provide additional protection such as Th1 (cytotoxic) or Th2 (antibody-mediated) type responses. Hence, macrophages were renamed M1 and M2 to indicate the central role of macrophages/innate immunity in immune systems. These findings indicate that the long held notion that adaptive immunity controls innate immunity was backward: a sea change in understanding how immune responses occur. The clinical impact of M1/kill and M2/repair responses is immense playing pivotal roles in curing (or causing) many diseases including infections, cancer, autoimmunity, and atherosclerosis. How M1/M2 came to be is an interesting story that, like life, involved Direction, Determination, Discouragement, and Discovery.","URL":"http://www.ncbi.nlm.nih.gov/pmc/articles/PMC4419847/","DOI":"10.3389/fimmu.2015.00212","ISSN":"1664-3224","note":"PMID: 25999950\nPMCID: PMC4419847","shortTitle":"Anatomy of a Discovery","journalAbbreviation":"Front Immunol","author":[{"family":"Mills","given":"Charles Dudley"}],"issued":{"date-parts":[["2015",5,5]]},"accessed":{"date-parts":[["2015",11,2]]}}}],"schema":"https://github.com/citation-style-language/schema/raw/master/csl-citation.json"} </w:instrText>
      </w:r>
      <w:r>
        <w:fldChar w:fldCharType="separate"/>
      </w:r>
      <w:r w:rsidR="00A53A6B" w:rsidRPr="00A53A6B">
        <w:rPr>
          <w:rFonts w:ascii="Calibri" w:hAnsi="Calibri"/>
        </w:rPr>
        <w:t>(17,22)</w:t>
      </w:r>
      <w:r>
        <w:fldChar w:fldCharType="end"/>
      </w:r>
      <w:r>
        <w:t xml:space="preserve">. The literature has expanded significantly in recent years, revealing roles of ROS and metabolism as drivers of macrophage polarisation in addition to JAK/STAT signalling </w:t>
      </w:r>
      <w:r>
        <w:fldChar w:fldCharType="begin"/>
      </w:r>
      <w:r w:rsidR="000A209C">
        <w:instrText xml:space="preserve"> ADDIN ZOTERO_ITEM CSL_CITATION {"citationID":"GpNjBccW","properties":{"formattedCitation":"(381)","plainCitation":"(381)","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K."}],"issued":{"date-parts":[["2013",6,1]]}}}],"schema":"https://github.com/citation-style-language/schema/raw/master/csl-citation.json"} </w:instrText>
      </w:r>
      <w:r>
        <w:fldChar w:fldCharType="separate"/>
      </w:r>
      <w:r w:rsidR="00A53A6B" w:rsidRPr="00A53A6B">
        <w:rPr>
          <w:rFonts w:ascii="Calibri" w:hAnsi="Calibri"/>
        </w:rPr>
        <w:t>(381)</w:t>
      </w:r>
      <w:r>
        <w:fldChar w:fldCharType="end"/>
      </w:r>
      <w:r>
        <w:t xml:space="preserve">. Importantly, macrophage polarisation is not two-dimensional but rather multidimensional, with macrophages responding to intrinsic, extrinsic, temporal and tissue-specific microenvironment elements </w:t>
      </w:r>
      <w:r>
        <w:fldChar w:fldCharType="begin"/>
      </w:r>
      <w:r w:rsidR="000A209C">
        <w:instrText xml:space="preserve"> ADDIN ZOTERO_ITEM CSL_CITATION {"citationID":"1ifi04X1","properties":{"formattedCitation":"(27)","plainCitation":"(27)","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J."}],"issued":{"date-parts":[["2017"]]}}}],"schema":"https://github.com/citation-style-language/schema/raw/master/csl-citation.json"} </w:instrText>
      </w:r>
      <w:r>
        <w:fldChar w:fldCharType="separate"/>
      </w:r>
      <w:r w:rsidR="004A1963" w:rsidRPr="004A1963">
        <w:rPr>
          <w:rFonts w:ascii="Calibri" w:hAnsi="Calibri"/>
        </w:rPr>
        <w:t>(27)</w:t>
      </w:r>
      <w:r>
        <w:fldChar w:fldCharType="end"/>
      </w:r>
      <w:r>
        <w:t xml:space="preserve">. This chapter aims to investigate canonical pathways identified in higher organisms to investigate their capacity to drive hemocytes towards a more pro- or anti-inflammatory state </w:t>
      </w:r>
      <w:r>
        <w:rPr>
          <w:i/>
        </w:rPr>
        <w:t>in vivo</w:t>
      </w:r>
      <w:r>
        <w:t xml:space="preserve">. We will assess the ability of hemocytes to respond to sites of injury and capacity to phagocytose apoptotic cells. </w:t>
      </w:r>
    </w:p>
    <w:p w14:paraId="46C03629" w14:textId="77777777" w:rsidR="004275D8" w:rsidRDefault="004275D8" w:rsidP="004275D8">
      <w:pPr>
        <w:pStyle w:val="Thesisnormal"/>
      </w:pPr>
    </w:p>
    <w:p w14:paraId="56EA8F52" w14:textId="77777777" w:rsidR="004275D8" w:rsidRDefault="004275D8" w:rsidP="004275D8">
      <w:pPr>
        <w:pStyle w:val="Heading3"/>
      </w:pPr>
      <w:bookmarkStart w:id="165" w:name="_Toc4589336"/>
      <w:r>
        <w:t xml:space="preserve">4.1.1 Common macrophage signalling pathways involved in </w:t>
      </w:r>
      <w:r w:rsidRPr="00116D96">
        <w:t>polarisation</w:t>
      </w:r>
      <w:bookmarkEnd w:id="165"/>
      <w:r>
        <w:t xml:space="preserve"> </w:t>
      </w:r>
    </w:p>
    <w:p w14:paraId="7F89211D" w14:textId="77777777" w:rsidR="004275D8" w:rsidRDefault="004275D8" w:rsidP="004275D8">
      <w:pPr>
        <w:pStyle w:val="Thesisnormal"/>
      </w:pPr>
    </w:p>
    <w:p w14:paraId="29B83799" w14:textId="1588685A" w:rsidR="008E0547" w:rsidRDefault="004275D8" w:rsidP="004275D8">
      <w:pPr>
        <w:pStyle w:val="Thesisnormal"/>
      </w:pPr>
      <w:bookmarkStart w:id="166" w:name="_Hlk5189935"/>
      <w:r>
        <w:t xml:space="preserve">The complex signalling cascades involved in macrophage polarisation have been </w:t>
      </w:r>
      <w:r w:rsidR="001F68D9">
        <w:t xml:space="preserve">briefly </w:t>
      </w:r>
      <w:r>
        <w:t>described in the introduction</w:t>
      </w:r>
      <w:r w:rsidR="001F68D9">
        <w:t xml:space="preserve"> in relation to M1 and M2 phenotypes</w:t>
      </w:r>
      <w:r>
        <w:t xml:space="preserve">. Although there are some overlapping signalling pathways in M1 and M2 macrophage activation, there are also more distinct pathways involved </w:t>
      </w:r>
      <w:r>
        <w:fldChar w:fldCharType="begin"/>
      </w:r>
      <w:r w:rsidR="000A209C">
        <w:instrText xml:space="preserve"> ADDIN ZOTERO_ITEM CSL_CITATION {"citationID":"fYlltzfR","properties":{"formattedCitation":"(26,125)","plainCitation":"(26,125)","noteIndex":0},"citationItems":[{"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R."}],"issued":{"date-parts":[["2005",12]]}}},{"id":1369,"uris":["http://zotero.org/users/952979/items/MIAUSN3M"],"uri":["http://zotero.org/users/952979/items/MIAUSN3M"],"itemData":{"id":1369,"type":"article-journal","title":"The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fldChar w:fldCharType="separate"/>
      </w:r>
      <w:r w:rsidR="004A1963" w:rsidRPr="004A1963">
        <w:rPr>
          <w:rFonts w:ascii="Calibri" w:hAnsi="Calibri"/>
        </w:rPr>
        <w:t>(26,125)</w:t>
      </w:r>
      <w:r>
        <w:fldChar w:fldCharType="end"/>
      </w:r>
      <w:r w:rsidR="001F68D9">
        <w:t>. A</w:t>
      </w:r>
      <w:r>
        <w:t xml:space="preserve"> </w:t>
      </w:r>
      <w:r w:rsidR="001F68D9">
        <w:t xml:space="preserve">broader </w:t>
      </w:r>
      <w:r>
        <w:t>overview of the pathways asso</w:t>
      </w:r>
      <w:r w:rsidR="001F68D9">
        <w:t>ciated with M1 or M2 macrophage activation in vertebrates</w:t>
      </w:r>
      <w:r>
        <w:t xml:space="preserve"> is displayed in </w:t>
      </w:r>
      <w:r w:rsidRPr="00636986">
        <w:t>Table 4.1</w:t>
      </w:r>
      <w:r w:rsidR="007B5C98">
        <w:t xml:space="preserve"> along with any potential </w:t>
      </w:r>
      <w:r w:rsidR="007B5C98" w:rsidRPr="007B5C98">
        <w:rPr>
          <w:i/>
        </w:rPr>
        <w:t>Drosophila</w:t>
      </w:r>
      <w:r w:rsidR="007B5C98">
        <w:t xml:space="preserve"> homologs</w:t>
      </w:r>
      <w:r w:rsidRPr="00636986">
        <w:t>.</w:t>
      </w:r>
      <w:r>
        <w:t xml:space="preserve"> In this chapter, we investigate pathways and mechanisms closely linked to essential cell biology</w:t>
      </w:r>
      <w:r w:rsidR="007008A2">
        <w:t>, such as metabolism</w:t>
      </w:r>
      <w:r>
        <w:t xml:space="preserve">. </w:t>
      </w:r>
      <w:bookmarkStart w:id="167" w:name="_Hlk5187145"/>
      <w:r w:rsidR="007008A2">
        <w:t>Additionally, we investigate the role of TLR signalling and ROS in hemocyte behaviour</w:t>
      </w:r>
      <w:bookmarkEnd w:id="166"/>
      <w:r w:rsidR="007008A2">
        <w:t xml:space="preserve">. </w:t>
      </w:r>
      <w:r w:rsidR="008E0547">
        <w:t xml:space="preserve">We also investigate the role of frequently used macrophage polarisation markers; Arg, an M2 marker and NOS and ROS which are M1 markers). Although markers are not necessarily drivers of phenotype, there is evidence that ROS may function as both a marker and driver, discussed in more detail below. We therefore decided to also investigate the role of Arg and NOS in potentially driving a hemocyte phenotype in </w:t>
      </w:r>
      <w:r w:rsidR="008E0547">
        <w:rPr>
          <w:i/>
        </w:rPr>
        <w:t>Drosophila</w:t>
      </w:r>
      <w:r w:rsidR="008E0547">
        <w:t>.</w:t>
      </w:r>
      <w:bookmarkEnd w:id="167"/>
    </w:p>
    <w:p w14:paraId="0CD9D4FA" w14:textId="77777777" w:rsidR="008E0547" w:rsidRDefault="008E0547" w:rsidP="004275D8">
      <w:pPr>
        <w:pStyle w:val="Thesisnormal"/>
      </w:pPr>
    </w:p>
    <w:p w14:paraId="045DBCAC" w14:textId="77777777" w:rsidR="008E0547" w:rsidRDefault="008E0547" w:rsidP="004275D8">
      <w:pPr>
        <w:pStyle w:val="Thesisnormal"/>
      </w:pPr>
    </w:p>
    <w:p w14:paraId="12A8EA00" w14:textId="77777777" w:rsidR="008E0547" w:rsidRDefault="008E0547" w:rsidP="004275D8">
      <w:pPr>
        <w:pStyle w:val="Thesisnormal"/>
      </w:pPr>
    </w:p>
    <w:tbl>
      <w:tblPr>
        <w:tblW w:w="901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2709"/>
        <w:gridCol w:w="3260"/>
        <w:gridCol w:w="1360"/>
      </w:tblGrid>
      <w:tr w:rsidR="004275D8" w14:paraId="7ACADD15" w14:textId="77777777" w:rsidTr="00653170">
        <w:tc>
          <w:tcPr>
            <w:tcW w:w="9010" w:type="dxa"/>
            <w:gridSpan w:val="4"/>
            <w:vAlign w:val="center"/>
          </w:tcPr>
          <w:p w14:paraId="2A6B8B47" w14:textId="54512D95" w:rsidR="004275D8" w:rsidRPr="005F2CD8" w:rsidRDefault="008E0547" w:rsidP="000A0B44">
            <w:pPr>
              <w:pStyle w:val="Thesisnormal"/>
              <w:jc w:val="center"/>
              <w:rPr>
                <w:b/>
                <w:u w:val="single"/>
              </w:rPr>
            </w:pPr>
            <w:r>
              <w:lastRenderedPageBreak/>
              <w:t xml:space="preserve"> </w:t>
            </w:r>
            <w:r w:rsidR="004275D8" w:rsidRPr="005F2CD8">
              <w:rPr>
                <w:b/>
                <w:u w:val="single"/>
              </w:rPr>
              <w:t>Table 4.1 Signalling pathways and components involved in macrophage polarisation</w:t>
            </w:r>
          </w:p>
        </w:tc>
      </w:tr>
      <w:tr w:rsidR="004275D8" w14:paraId="680B1792" w14:textId="77777777" w:rsidTr="00653170">
        <w:tc>
          <w:tcPr>
            <w:tcW w:w="1681" w:type="dxa"/>
            <w:vAlign w:val="center"/>
          </w:tcPr>
          <w:p w14:paraId="53907AF8" w14:textId="77777777" w:rsidR="004275D8" w:rsidRPr="00F929CB" w:rsidRDefault="004275D8" w:rsidP="000A0B44">
            <w:pPr>
              <w:pStyle w:val="Thesisnormal"/>
              <w:jc w:val="center"/>
              <w:rPr>
                <w:b/>
                <w:u w:val="single"/>
              </w:rPr>
            </w:pPr>
            <w:r w:rsidRPr="00F929CB">
              <w:rPr>
                <w:b/>
                <w:u w:val="single"/>
              </w:rPr>
              <w:t>Signalling pathway</w:t>
            </w:r>
            <w:r>
              <w:rPr>
                <w:b/>
                <w:u w:val="single"/>
              </w:rPr>
              <w:t xml:space="preserve"> / component</w:t>
            </w:r>
          </w:p>
        </w:tc>
        <w:tc>
          <w:tcPr>
            <w:tcW w:w="2709" w:type="dxa"/>
          </w:tcPr>
          <w:p w14:paraId="68CA5E2C" w14:textId="77777777" w:rsidR="004275D8" w:rsidRDefault="004275D8" w:rsidP="000A0B44">
            <w:pPr>
              <w:pStyle w:val="Thesisnormal"/>
              <w:jc w:val="center"/>
              <w:rPr>
                <w:b/>
                <w:u w:val="single"/>
              </w:rPr>
            </w:pPr>
            <w:r>
              <w:rPr>
                <w:b/>
                <w:u w:val="single"/>
              </w:rPr>
              <w:t>Fly homologue</w:t>
            </w:r>
          </w:p>
        </w:tc>
        <w:tc>
          <w:tcPr>
            <w:tcW w:w="3260" w:type="dxa"/>
            <w:vAlign w:val="center"/>
          </w:tcPr>
          <w:p w14:paraId="368BB545" w14:textId="77777777" w:rsidR="004275D8" w:rsidRPr="00F929CB" w:rsidRDefault="004275D8" w:rsidP="000A0B44">
            <w:pPr>
              <w:pStyle w:val="Thesisnormal"/>
              <w:jc w:val="center"/>
              <w:rPr>
                <w:b/>
                <w:u w:val="single"/>
              </w:rPr>
            </w:pPr>
            <w:r>
              <w:rPr>
                <w:b/>
                <w:u w:val="single"/>
              </w:rPr>
              <w:t>Effect on macrophage phenotype / polarisation</w:t>
            </w:r>
          </w:p>
        </w:tc>
        <w:tc>
          <w:tcPr>
            <w:tcW w:w="1360" w:type="dxa"/>
            <w:vAlign w:val="center"/>
          </w:tcPr>
          <w:p w14:paraId="28B5F880" w14:textId="77777777" w:rsidR="004275D8" w:rsidRPr="00F929CB" w:rsidRDefault="004275D8" w:rsidP="000A0B44">
            <w:pPr>
              <w:pStyle w:val="Thesisnormal"/>
              <w:jc w:val="center"/>
              <w:rPr>
                <w:b/>
                <w:u w:val="single"/>
              </w:rPr>
            </w:pPr>
            <w:r w:rsidRPr="00F929CB">
              <w:rPr>
                <w:b/>
                <w:u w:val="single"/>
              </w:rPr>
              <w:t>Reference</w:t>
            </w:r>
          </w:p>
        </w:tc>
      </w:tr>
      <w:tr w:rsidR="004275D8" w14:paraId="56CE357E" w14:textId="77777777" w:rsidTr="00653170">
        <w:tc>
          <w:tcPr>
            <w:tcW w:w="1681" w:type="dxa"/>
            <w:vAlign w:val="center"/>
          </w:tcPr>
          <w:p w14:paraId="0C942A69" w14:textId="77777777" w:rsidR="004275D8" w:rsidRDefault="004275D8" w:rsidP="000A0B44">
            <w:pPr>
              <w:pStyle w:val="Thesisnormal"/>
              <w:jc w:val="center"/>
            </w:pPr>
            <w:r>
              <w:t>STAT6</w:t>
            </w:r>
          </w:p>
        </w:tc>
        <w:tc>
          <w:tcPr>
            <w:tcW w:w="2709" w:type="dxa"/>
            <w:vAlign w:val="center"/>
          </w:tcPr>
          <w:p w14:paraId="2B2BC6FA" w14:textId="77777777" w:rsidR="004275D8" w:rsidRDefault="004275D8" w:rsidP="000A0B44">
            <w:pPr>
              <w:pStyle w:val="Thesisnormal"/>
              <w:jc w:val="center"/>
            </w:pPr>
            <w:r>
              <w:t>STAT36E</w:t>
            </w:r>
          </w:p>
        </w:tc>
        <w:tc>
          <w:tcPr>
            <w:tcW w:w="3260" w:type="dxa"/>
            <w:vAlign w:val="center"/>
          </w:tcPr>
          <w:p w14:paraId="497D2D93" w14:textId="77777777" w:rsidR="004275D8" w:rsidRDefault="004275D8" w:rsidP="000A0B44">
            <w:pPr>
              <w:pStyle w:val="Thesisnormal"/>
              <w:jc w:val="center"/>
            </w:pPr>
            <w:r>
              <w:t>Knockout results in a loss of M2</w:t>
            </w:r>
          </w:p>
        </w:tc>
        <w:tc>
          <w:tcPr>
            <w:tcW w:w="1360" w:type="dxa"/>
            <w:vAlign w:val="center"/>
          </w:tcPr>
          <w:p w14:paraId="624A488D" w14:textId="5C65E960" w:rsidR="004275D8" w:rsidRDefault="004275D8" w:rsidP="000A0B44">
            <w:pPr>
              <w:pStyle w:val="Thesisnormal"/>
              <w:jc w:val="center"/>
            </w:pPr>
            <w:r>
              <w:fldChar w:fldCharType="begin"/>
            </w:r>
            <w:r w:rsidR="000A209C">
              <w:instrText xml:space="preserve"> ADDIN ZOTERO_ITEM CSL_CITATION {"citationID":"frGUyBZe","properties":{"formattedCitation":"(382)","plainCitation":"(382)","noteIndex":0},"citationItems":[{"id":1590,"uris":["http://zotero.org/users/952979/items/G9NN7TNS"],"uri":["http://zotero.org/users/952979/items/G9NN7TNS"],"itemData":{"id":1590,"type":"article-journal","title":"Cutting edge: Stat6-dependent substrate depletion regulates nitric oxide production","container-title":"Journal of Immunology (Baltimore, Md.: 1950)","page":"2173-2177","volume":"166","issue":"4","source":"PubMed","abstract":"The cytokines IL-4 and IL-13 inhibit the production of NO from activated macrophages through an unresolved molecular mechanism. We show here that IL-4 and IL-13 regulate NO production through depletion of arginine, the substrate of inducible NO synthase (iNOS). Inhibition of NO production from murine macrophages stimulated with LPS and IFN-gamma by IL-4 or IL-13 was dependent on Stat6, cell density in the cultures, and pretreatment for at least 6 h. IL-4/IL-13 did not interfere with the expression or activity of iNOS but up-regulated arginase I (the liver isoform of arginase) in a Stat6-dependent manner. Addition of exogenous arginine completely restored NO production in IL-4-treated macrophages. Furthermore, impaired killing of the intracellular pathogen Toxoplasma gondii in IL-4-treated macrophages was overcome by supplementing L-arginine. The simple system of regulated substrate competition between arginase and iNOS has implications for understanding the physiological regulation of NO production.","ISSN":"0022-1767","note":"PMID: 11160269","shortTitle":"Cutting edge","journalAbbreviation":"J. Immunol.","language":"eng","author":[{"family":"Rutschman","given":"R."},{"family":"Lang","given":"R."},{"family":"Hesse","given":"M."},{"family":"Ihle","given":"J. N."},{"family":"Wynn","given":"T. A."},{"family":"Murray","given":"P. J."}],"issued":{"date-parts":[["2001",2,15]]}}}],"schema":"https://github.com/citation-style-language/schema/raw/master/csl-citation.json"} </w:instrText>
            </w:r>
            <w:r>
              <w:fldChar w:fldCharType="separate"/>
            </w:r>
            <w:r w:rsidR="00A53A6B" w:rsidRPr="00A53A6B">
              <w:rPr>
                <w:rFonts w:ascii="Calibri" w:hAnsi="Calibri"/>
              </w:rPr>
              <w:t>(382)</w:t>
            </w:r>
            <w:r>
              <w:fldChar w:fldCharType="end"/>
            </w:r>
          </w:p>
        </w:tc>
      </w:tr>
      <w:tr w:rsidR="004275D8" w14:paraId="131675CE" w14:textId="77777777" w:rsidTr="00653170">
        <w:tc>
          <w:tcPr>
            <w:tcW w:w="1681" w:type="dxa"/>
            <w:vAlign w:val="center"/>
          </w:tcPr>
          <w:p w14:paraId="3FE70EAC" w14:textId="77777777" w:rsidR="004275D8" w:rsidRDefault="004275D8" w:rsidP="000A0B44">
            <w:pPr>
              <w:pStyle w:val="Thesisnormal"/>
              <w:jc w:val="center"/>
            </w:pPr>
            <w:r>
              <w:t>IRF4</w:t>
            </w:r>
          </w:p>
        </w:tc>
        <w:tc>
          <w:tcPr>
            <w:tcW w:w="2709" w:type="dxa"/>
            <w:vAlign w:val="center"/>
          </w:tcPr>
          <w:p w14:paraId="1E2AA58B" w14:textId="77777777" w:rsidR="004275D8" w:rsidRDefault="004275D8" w:rsidP="000A0B44">
            <w:pPr>
              <w:pStyle w:val="Thesisnormal"/>
              <w:jc w:val="center"/>
            </w:pPr>
            <w:r>
              <w:t>N/A</w:t>
            </w:r>
          </w:p>
        </w:tc>
        <w:tc>
          <w:tcPr>
            <w:tcW w:w="3260" w:type="dxa"/>
            <w:vAlign w:val="center"/>
          </w:tcPr>
          <w:p w14:paraId="651D7CCB" w14:textId="77777777" w:rsidR="004275D8" w:rsidRDefault="004275D8" w:rsidP="000A0B44">
            <w:pPr>
              <w:pStyle w:val="Thesisnormal"/>
              <w:jc w:val="center"/>
            </w:pPr>
            <w:r>
              <w:t>Knockout results in loss of M2</w:t>
            </w:r>
          </w:p>
        </w:tc>
        <w:tc>
          <w:tcPr>
            <w:tcW w:w="1360" w:type="dxa"/>
            <w:vAlign w:val="center"/>
          </w:tcPr>
          <w:p w14:paraId="37495389" w14:textId="42927796" w:rsidR="004275D8" w:rsidRDefault="004275D8" w:rsidP="000A0B44">
            <w:pPr>
              <w:pStyle w:val="Thesisnormal"/>
              <w:jc w:val="center"/>
            </w:pPr>
            <w:r>
              <w:fldChar w:fldCharType="begin"/>
            </w:r>
            <w:r w:rsidR="000A209C">
              <w:instrText xml:space="preserve"> ADDIN ZOTERO_ITEM CSL_CITATION {"citationID":"WOxFnjlU","properties":{"formattedCitation":"(383)","plainCitation":"(383)","noteIndex":0},"citationItems":[{"id":1589,"uris":["http://zotero.org/users/952979/items/38T38JEH"],"uri":["http://zotero.org/users/952979/items/38T38JEH"],"itemData":{"id":1589,"type":"article-journal","title":"The Jmjd3-Irf4 axis regulates M2 macrophage polarization and host responses against helminth infection","container-title":"Nature Immunology","page":"936-944","volume":"11","issue":"10","source":"PubMed","abstract":"Polarization of macrophages to M1 or M2 cells is important for mounting responses against bacterial and helminth infections, respectively. Jumonji domain containing-3 (Jmjd3), a histone 3 Lys27 (H3K27) demethylase, has been implicated in the activation of macrophages. Here we show that Jmjd3 is essential for M2 macrophage polarization in response to helminth infection and chitin, though Jmjd3 is dispensable for M1 responses. Furthermore, Jmjd3 (also known as Kdm6b) is essential for proper bone marrow macrophage differentiation, and this function depends on demethylase activity of Jmjd3. Jmjd3 deficiency affected trimethylation of H3K27 in only a limited number of genes. Among them, we identified Irf4 as encoding a key transcription factor that controls M2 macrophage polarization. Collectively, these results show that Jmjd3-mediated H3K27 demethylation is crucial for regulating M2 macrophage development leading to anti-helminth host responses.","DOI":"10.1038/ni.1920","ISSN":"1529-2916","note":"PMID: 20729857","journalAbbreviation":"Nat. Immunol.","language":"eng","author":[{"family":"Satoh","given":"Takashi"},{"family":"Takeuchi","given":"Osamu"},{"family":"Vandenbon","given":"Alexis"},{"family":"Yasuda","given":"Koubun"},{"family":"Tanaka","given":"Yoshiaki"},{"family":"Kumagai","given":"Yutaro"},{"family":"Miyake","given":"Tohru"},{"family":"Matsushita","given":"Kazufumi"},{"family":"Okazaki","given":"Toshihiko"},{"family":"Saitoh","given":"Tatsuya"},{"family":"Honma","given":"Kiri"},{"family":"Matsuyama","given":"Toshifumi"},{"family":"Yui","given":"Katsuyuki"},{"family":"Tsujimura","given":"Tohru"},{"family":"Standley","given":"Daron M."},{"family":"Nakanishi","given":"Kenji"},{"family":"Nakai","given":"Kenta"},{"family":"Akira","given":"Shizuo"}],"issued":{"date-parts":[["2010",10]]}}}],"schema":"https://github.com/citation-style-language/schema/raw/master/csl-citation.json"} </w:instrText>
            </w:r>
            <w:r>
              <w:fldChar w:fldCharType="separate"/>
            </w:r>
            <w:r w:rsidR="00A53A6B" w:rsidRPr="00A53A6B">
              <w:rPr>
                <w:rFonts w:ascii="Calibri" w:hAnsi="Calibri"/>
              </w:rPr>
              <w:t>(383)</w:t>
            </w:r>
            <w:r>
              <w:fldChar w:fldCharType="end"/>
            </w:r>
          </w:p>
        </w:tc>
      </w:tr>
      <w:tr w:rsidR="004275D8" w14:paraId="0F4F63EA" w14:textId="77777777" w:rsidTr="00653170">
        <w:tc>
          <w:tcPr>
            <w:tcW w:w="1681" w:type="dxa"/>
            <w:vAlign w:val="center"/>
          </w:tcPr>
          <w:p w14:paraId="5FB21ACE" w14:textId="77777777" w:rsidR="004275D8" w:rsidRDefault="004275D8" w:rsidP="000A0B44">
            <w:pPr>
              <w:pStyle w:val="Thesisnormal"/>
              <w:jc w:val="center"/>
            </w:pPr>
            <w:r>
              <w:t>IRF5</w:t>
            </w:r>
          </w:p>
        </w:tc>
        <w:tc>
          <w:tcPr>
            <w:tcW w:w="2709" w:type="dxa"/>
            <w:vAlign w:val="center"/>
          </w:tcPr>
          <w:p w14:paraId="4EBB28CD" w14:textId="77777777" w:rsidR="004275D8" w:rsidRDefault="004275D8" w:rsidP="000A0B44">
            <w:pPr>
              <w:pStyle w:val="Thesisnormal"/>
              <w:jc w:val="center"/>
            </w:pPr>
            <w:r>
              <w:t>N/A</w:t>
            </w:r>
          </w:p>
        </w:tc>
        <w:tc>
          <w:tcPr>
            <w:tcW w:w="3260" w:type="dxa"/>
            <w:vAlign w:val="center"/>
          </w:tcPr>
          <w:p w14:paraId="7D1923C0" w14:textId="77777777" w:rsidR="004275D8" w:rsidRDefault="004275D8" w:rsidP="000A0B44">
            <w:pPr>
              <w:pStyle w:val="Thesisnormal"/>
              <w:jc w:val="center"/>
            </w:pPr>
            <w:r>
              <w:t>Knockout results in loss of M1</w:t>
            </w:r>
          </w:p>
        </w:tc>
        <w:tc>
          <w:tcPr>
            <w:tcW w:w="1360" w:type="dxa"/>
            <w:vAlign w:val="center"/>
          </w:tcPr>
          <w:p w14:paraId="487D7070" w14:textId="16EF749D" w:rsidR="004275D8" w:rsidRDefault="004275D8" w:rsidP="000A0B44">
            <w:pPr>
              <w:pStyle w:val="Thesisnormal"/>
              <w:jc w:val="center"/>
            </w:pPr>
            <w:r>
              <w:fldChar w:fldCharType="begin"/>
            </w:r>
            <w:r w:rsidR="000A209C">
              <w:instrText xml:space="preserve"> ADDIN ZOTERO_ITEM CSL_CITATION {"citationID":"rq9JoGPH","properties":{"formattedCitation":"(384)","plainCitation":"(384)","noteIndex":0},"citationItems":[{"id":1422,"uris":["http://zotero.org/users/952979/items/HSUTP7Z7"],"uri":["http://zotero.org/users/952979/items/HSUTP7Z7"],"itemData":{"id":1422,"type":"article-journal","title":"IRF5 promotes inflammatory macrophage polarization and TH1-TH17 responses","container-title":"Nature Immunology","page":"231-238","volume":"12","issue":"3","source":"PubMed","abstract":"Polymorphisms in the gene encoding the transcription factor IRF5 that lead to higher mRNA expression are associated with many autoimmune diseases. Here we show that IRF5 expression in macrophages was reversibly induced by inflammatory stimuli and contributed to the plasticity of macrophage polarization. High expression of IRF5 was characteristic of M1 macrophages, in which it directly activated transcription of the genes encoding interleukin 12 subunit p40 (IL-12p40), IL-12p35 and IL-23p19 and repressed the gene encoding IL-10. Consequently, those macrophages set up the environment for a potent T helper type 1 (T(H)1)-T(H)17 response. Global gene expression analysis demonstrated that exogenous IRF5 upregulated or downregulated expression of established phenotypic markers of M1 or M2 macrophages, respectively. Our data suggest a critical role for IRF5 in M1 macrophage polarization and define a previously unknown function for IRF5 as a transcriptional repressor.","DOI":"10.1038/ni.1990","ISSN":"1529-2916","note":"PMID: 21240265","journalAbbreviation":"Nat. Immunol.","language":"eng","author":[{"family":"Krausgruber","given":"Thomas"},{"family":"Blazek","given":"Katrina"},{"family":"Smallie","given":"Tim"},{"family":"Alzabin","given":"Saba"},{"family":"Lockstone","given":"Helen"},{"family":"Sahgal","given":"Natasha"},{"family":"Hussell","given":"Tracy"},{"family":"Feldmann","given":"Marc"},{"family":"Udalova","given":"Irina A."}],"issued":{"date-parts":[["2011",3]]}}}],"schema":"https://github.com/citation-style-language/schema/raw/master/csl-citation.json"} </w:instrText>
            </w:r>
            <w:r>
              <w:fldChar w:fldCharType="separate"/>
            </w:r>
            <w:r w:rsidR="00A53A6B" w:rsidRPr="00A53A6B">
              <w:rPr>
                <w:rFonts w:ascii="Calibri" w:hAnsi="Calibri"/>
              </w:rPr>
              <w:t>(384)</w:t>
            </w:r>
            <w:r>
              <w:fldChar w:fldCharType="end"/>
            </w:r>
          </w:p>
        </w:tc>
      </w:tr>
      <w:tr w:rsidR="004275D8" w14:paraId="341B8C2C" w14:textId="77777777" w:rsidTr="00653170">
        <w:tc>
          <w:tcPr>
            <w:tcW w:w="1681" w:type="dxa"/>
            <w:vAlign w:val="center"/>
          </w:tcPr>
          <w:p w14:paraId="73B8B8B5" w14:textId="77777777" w:rsidR="004275D8" w:rsidRDefault="004275D8" w:rsidP="000A0B44">
            <w:pPr>
              <w:pStyle w:val="Thesisnormal"/>
              <w:jc w:val="center"/>
            </w:pPr>
            <w:r>
              <w:t>IL-4</w:t>
            </w:r>
          </w:p>
        </w:tc>
        <w:tc>
          <w:tcPr>
            <w:tcW w:w="2709" w:type="dxa"/>
            <w:vAlign w:val="center"/>
          </w:tcPr>
          <w:p w14:paraId="1092FA82" w14:textId="52BCF05C" w:rsidR="004275D8" w:rsidRPr="00C46F49" w:rsidRDefault="004275D8" w:rsidP="000A0B44">
            <w:pPr>
              <w:pStyle w:val="Thesisnormal"/>
              <w:jc w:val="center"/>
            </w:pPr>
            <w:r>
              <w:t xml:space="preserve">N/A (although </w:t>
            </w:r>
            <w:r>
              <w:rPr>
                <w:i/>
              </w:rPr>
              <w:t>Drosophila</w:t>
            </w:r>
            <w:r>
              <w:t xml:space="preserve"> cytokines may exist, see review </w:t>
            </w:r>
            <w:r>
              <w:fldChar w:fldCharType="begin"/>
            </w:r>
            <w:r w:rsidR="000A209C">
              <w:instrText xml:space="preserve"> ADDIN ZOTERO_ITEM CSL_CITATION {"citationID":"01k2JPmk","properties":{"formattedCitation":"(385)","plainCitation":"(385)","noteIndex":0},"citationItems":[{"id":1452,"uris":["http://zotero.org/users/952979/items/I2I6BZM7"],"uri":["http://zotero.org/users/952979/items/I2I6BZM7"],"itemData":{"id":1452,"type":"article-journal","title":"Cytokines in Drosophila immunity","container-title":"Immunology Letters","source":"PubMed","abstract":"Cytokines are a large and diverse group of small proteins that can affect many biological processes, but most commonly cytokines are known as mediators of the immune response. In the event of an infection, cytokines are produced in response to an immune stimulus, and they function as key regulators of the immune response. Cytokines come in many shapes and sizes, and although they vary greatly in structure, their functions have been well conserved in evolution. The immune signaling pathways that respond to cytokines are remarkably conserved from fly to man. Therefore, Drosophila melanogaster, provides an excellent platform for studying the biology and function of cytokines. In this review, we will describe the cytokines and cytokine-like molecules found in the fly and discuss their roles in host immunity.","DOI":"10.1016/j.imlet.2015.12.005","ISSN":"1879-0542","note":"PMID: 26730849","journalAbbreviation":"Immunol. Lett.","language":"ENG","author":[{"family":"Vanha-Aho","given":"Leena-Maija"},{"family":"Valanne","given":"Susanna"},{"family":"Rämet","given":"Mika"}],"issued":{"date-parts":[["2015",12,27]]}}}],"schema":"https://github.com/citation-style-language/schema/raw/master/csl-citation.json"} </w:instrText>
            </w:r>
            <w:r>
              <w:fldChar w:fldCharType="separate"/>
            </w:r>
            <w:r w:rsidR="00A53A6B" w:rsidRPr="00A53A6B">
              <w:rPr>
                <w:rFonts w:ascii="Calibri" w:hAnsi="Calibri"/>
              </w:rPr>
              <w:t>(385)</w:t>
            </w:r>
            <w:r>
              <w:fldChar w:fldCharType="end"/>
            </w:r>
            <w:r>
              <w:t>)</w:t>
            </w:r>
          </w:p>
        </w:tc>
        <w:tc>
          <w:tcPr>
            <w:tcW w:w="3260" w:type="dxa"/>
            <w:vAlign w:val="center"/>
          </w:tcPr>
          <w:p w14:paraId="71A0FF5A" w14:textId="77777777" w:rsidR="004275D8" w:rsidRDefault="004275D8" w:rsidP="000A0B44">
            <w:pPr>
              <w:pStyle w:val="Thesisnormal"/>
              <w:jc w:val="center"/>
            </w:pPr>
            <w:r>
              <w:t>Knockout results in loss of M2</w:t>
            </w:r>
          </w:p>
        </w:tc>
        <w:tc>
          <w:tcPr>
            <w:tcW w:w="1360" w:type="dxa"/>
            <w:vAlign w:val="center"/>
          </w:tcPr>
          <w:p w14:paraId="48710D64" w14:textId="1A711B59" w:rsidR="004275D8" w:rsidRDefault="004275D8" w:rsidP="000A0B44">
            <w:pPr>
              <w:pStyle w:val="Thesisnormal"/>
              <w:jc w:val="center"/>
            </w:pPr>
            <w:r>
              <w:fldChar w:fldCharType="begin"/>
            </w:r>
            <w:r w:rsidR="000A209C">
              <w:instrText xml:space="preserve"> ADDIN ZOTERO_ITEM CSL_CITATION {"citationID":"WS1D6gRV","properties":{"formattedCitation":"(386)","plainCitation":"(386)","noteIndex":0},"citationItems":[{"id":1588,"uris":["http://zotero.org/users/952979/items/ZSDZ3JGZ"],"uri":["http://zotero.org/users/952979/items/ZSDZ3JGZ"],"itemData":{"id":1588,"type":"article-journal","title":"Incomplete deletion of IL-4Rα by LysM(Cre) reveals distinct subsets of M2 macrophages controlling inflammation and fibrosis in chronic schistosomiasis","container-title":"PLoS pathogens","page":"e1004372","volume":"10","issue":"9","source":"PubMed","abstract":"Mice expressing a Cre recombinase from the lysozyme M-encoding locus (Lyz2) have been widely used to dissect gene function in macrophages and neutrophils. Here, we show that while naïve resident tissue macrophages from IL-4Rαf(lox/delta)LysM(Cre) mice almost completely lose IL-4Rα function, a large fraction of macrophages elicited by sterile inflammatory stimuli, Schistosoma mansoni eggs, or S. mansoni infection, fail to excise Il4rα. These F4/80(hi)CD11b(hi) macrophages, in contrast to resident tissue macrophages, express lower levels of Lyz2 explaining why this population resists LysM(Cre)-mediated deletion. We show that in response to IL-4 and IL-13, Lyz2(lo)IL-4Rα(+) macrophages differentiate into an arginase 1-expressing alternatively-activated macrophage (AAM) population, which slows the development of lethal fibrosis in schistosomiasis. In contrast, we identified Lyz2(hi)IL-4Rα(+) macrophages as the key subset of AAMs mediating the downmodulation of granulomatous inflammation in chronic schistosomiasis. Our observations reveal a limitation on using a LysMCre mouse model to study gene function in inflammatory settings, but we utilize this limitation as a means to demonstrate that distinct populations of alternatively activated macrophages control inflammation and fibrosis in chronic schistosomiasis.","DOI":"10.1371/journal.ppat.1004372","ISSN":"1553-7374","note":"PMID: 25211233\nPMCID: PMC4161449","journalAbbreviation":"PLoS Pathog.","language":"eng","author":[{"family":"Vannella","given":"Kevin M."},{"family":"Barron","given":"Luke"},{"family":"Borthwick","given":"Lee A."},{"family":"Kindrachuk","given":"Kristen N."},{"family":"Narasimhan","given":"Prakash Babu"},{"family":"Hart","given":"Kevin M."},{"family":"Thompson","given":"Robert W."},{"family":"White","given":"Sandra"},{"family":"Cheever","given":"Allen W."},{"family":"Ramalingam","given":"Thirumalai R."},{"family":"Wynn","given":"Thomas A."}],"issued":{"date-parts":[["2014",9]]}}}],"schema":"https://github.com/citation-style-language/schema/raw/master/csl-citation.json"} </w:instrText>
            </w:r>
            <w:r>
              <w:fldChar w:fldCharType="separate"/>
            </w:r>
            <w:r w:rsidR="00A53A6B" w:rsidRPr="00A53A6B">
              <w:rPr>
                <w:rFonts w:ascii="Calibri" w:hAnsi="Calibri"/>
              </w:rPr>
              <w:t>(386)</w:t>
            </w:r>
            <w:r>
              <w:fldChar w:fldCharType="end"/>
            </w:r>
          </w:p>
        </w:tc>
      </w:tr>
      <w:tr w:rsidR="004275D8" w14:paraId="42429F8E" w14:textId="77777777" w:rsidTr="00653170">
        <w:tc>
          <w:tcPr>
            <w:tcW w:w="1681" w:type="dxa"/>
            <w:vAlign w:val="center"/>
          </w:tcPr>
          <w:p w14:paraId="1FDD3B78" w14:textId="77777777" w:rsidR="004275D8" w:rsidRDefault="004275D8" w:rsidP="000A0B44">
            <w:pPr>
              <w:pStyle w:val="Thesisnormal"/>
              <w:jc w:val="center"/>
            </w:pPr>
            <w:r>
              <w:t>TLR</w:t>
            </w:r>
          </w:p>
        </w:tc>
        <w:tc>
          <w:tcPr>
            <w:tcW w:w="2709" w:type="dxa"/>
            <w:vAlign w:val="center"/>
          </w:tcPr>
          <w:p w14:paraId="053F2903" w14:textId="77777777" w:rsidR="004275D8" w:rsidRDefault="004275D8" w:rsidP="000A0B44">
            <w:pPr>
              <w:pStyle w:val="Thesisnormal"/>
              <w:jc w:val="center"/>
            </w:pPr>
            <w:r>
              <w:t>Toll receptors</w:t>
            </w:r>
          </w:p>
        </w:tc>
        <w:tc>
          <w:tcPr>
            <w:tcW w:w="3260" w:type="dxa"/>
            <w:vAlign w:val="center"/>
          </w:tcPr>
          <w:p w14:paraId="63151754" w14:textId="77777777" w:rsidR="004275D8" w:rsidRDefault="004275D8" w:rsidP="000A0B44">
            <w:pPr>
              <w:pStyle w:val="Thesisnormal"/>
              <w:jc w:val="center"/>
            </w:pPr>
            <w:r>
              <w:t>M1 phenotype</w:t>
            </w:r>
          </w:p>
        </w:tc>
        <w:tc>
          <w:tcPr>
            <w:tcW w:w="1360" w:type="dxa"/>
            <w:vAlign w:val="center"/>
          </w:tcPr>
          <w:p w14:paraId="3B2CD70B" w14:textId="33C7FE8A" w:rsidR="004275D8" w:rsidRDefault="004275D8" w:rsidP="000A0B44">
            <w:pPr>
              <w:pStyle w:val="Thesisnormal"/>
              <w:jc w:val="center"/>
            </w:pPr>
            <w:r>
              <w:fldChar w:fldCharType="begin"/>
            </w:r>
            <w:r w:rsidR="000A209C">
              <w:instrText xml:space="preserve"> ADDIN ZOTERO_ITEM CSL_CITATION {"citationID":"eLrYuRRO","properties":{"formattedCitation":"(387,388)","plainCitation":"(387,388)","noteIndex":0},"citationItems":[{"id":1617,"uris":["http://zotero.org/users/952979/items/2SKUUJXB"],"uri":["http://zotero.org/users/952979/items/2SKUUJXB"],"itemData":{"id":1617,"type":"article-journal","title":"Curcumin Modulates Macrophage Polarization Through the Inhibition of the Toll-Like Receptor 4 Expression and its Signaling Pathways","container-title":"Cellular Physiology and Biochemistry","page":"631-641","volume":"36","issue":"2","source":"www.karger.com","abstract":"&lt;b&gt;&lt;i&gt;Background: &lt;/i&gt;&lt;/b&gt;Curcumin, the active ingredient in curcuma rhizomes, has a wide range of therapeutic effects. However, its atheroprotective activity in human acute monocytic leukemia THP-1 cells remains unclear. We investigated the activity and molecular mechanism of action of curcumin in polarized macrophages. &lt;b&gt;&lt;i&gt;Methods: &lt;/i&gt;&lt;/b&gt;Phorbol myristate acetate (PMA)-treated THP-1 cells were differentiated to macrophages, which were further polarized to M1 cells by lipopolysaccharide (LPS; 1 µg/ml) and interferon (IFN)-&amp;#947; (20 ng/ml) and treated with varying curcumin concentrations. [&lt;sup&gt;3&lt;/sup&gt;H]thymidine (&lt;sup&gt;3&lt;/sup&gt;H-TdR) incorporation assays were utilized to measure curcumin-induced growth inhibition. The expression of tumor necrosis factor-a (TNF-a), interleukin (IL-6), and IL-12B (p40) were measured by quantitative real-time polymerase chain reaction (PCR) and enzyme-linked immunosorbent assay (ELISA). Macrophage polarization and its mechanism were evaluated by flow cytometry and western blot. Additionally, toll-like receptor 4 (TLR4) small interfering RNA and mitogen-activated protein kinase (MAPK) inhibitors were used to further confirm the molecular mechanism of curcumin on macrophage polarization. &lt;b&gt;&lt;i&gt;Results: &lt;/i&gt;&lt;/b&gt;Curcumin dose-dependently inhibited M1 macrophage polarization and the production of TNF-a, IL-6, and IL-12B (p40). It also decreased TLR4 expression, which regulates M1 macrophage polarization. Furthermore, curcumin significantly inhibited the phosphorylation of ERK, JNK, p38, and nuclear factor (NF)-&amp;#947;B. In contrast, SiTLR4 in combination with p-JNK, p-ERK, and p-p38 inhibition reduced the effect of curcumin on polarization. &lt;b&gt;&lt;i&gt;Conclusions: &lt;/i&gt;&lt;/b&gt;Curcumin can modulate macrophage polarization through TLR4-mediated signaling pathway inhibition, indicating that its effect on macrophage polarization is related to its anti-inflammatory and atheroprotective effects. Our data suggest that curcumin could be used as a therapeutic agent in atherosclerosis.","DOI":"10.1159/000430126","ISSN":"1015-8987, 1421-9778","note":"PMID: 25998190","journalAbbreviation":"CPB","language":"english","author":[{"family":"Zhou","given":"Yaoyao"},{"family":"Zhang","given":"Tiantian"},{"family":"Wang","given":"Xiaofei"},{"family":"Wei","given":"Xiaowei"},{"family":"Chen","given":"Yizhu"},{"family":"Guo","given":"Lingyu"},{"family":"Zhang","given":"Junfeng"},{"family":"Wang","given":"Changqian"}],"issued":{"date-parts":[["2015"]]}}},{"id":936,"uris":["http://zotero.org/users/952979/items/TJCSHHDG"],"uri":["http://zotero.org/users/952979/items/TJCSHHDG"],"itemData":{"id":936,"type":"article-journal","title":"Beyond tissue injury-damage-associated molecular patterns, toll-like receptors, and inflammasomes also drive regeneration and fibrosis","container-title":"Journal of the American Society of Nephrology: JASN","page":"1387-1400","volume":"25","issue":"7","source":"NCBI PubMed","abstract":"Tissue injury initiates an inflammatory response through the actions of immunostimulatory molecules referred to as damage-associated molecular patterns (DAMPs). DAMPs encompass a group of heterogenous molecules, including intracellular molecules released during cell necrosis and molecules involved in extracellular matrix remodeling such as hyaluronan, biglycan, and fibronectin. Kidney-specific DAMPs include crystals and uromodulin released by renal tubular damage. DAMPs trigger innate immunity by activating Toll-like receptors, purinergic receptors, or the NLRP3 inflammasome. However, recent evidence revealed that DAMPs also trigger re-epithelialization upon kidney injury and contribute to epithelial-mesenchymal transition and, potentially, to myofibroblast differentiation and proliferation. Thus, these discoveries suggest that DAMPs drive not only immune injury but also kidney regeneration and renal scarring. Here, we review the data from these studies and discuss the increasingly complex connection between DAMPs and kidney diseases.","DOI":"10.1681/ASN.2014010117","ISSN":"1533-3450","note":"PMID: 24762401 \nPMCID: PMC4073442","journalAbbreviation":"J. Am. Soc. Nephrol.","language":"eng","author":[{"family":"Anders","given":"Hans-Joachim"},{"family":"Schaefer","given":"Liliana"}],"issued":{"date-parts":[["2014",7]]}}}],"schema":"https://github.com/citation-style-language/schema/raw/master/csl-citation.json"} </w:instrText>
            </w:r>
            <w:r>
              <w:fldChar w:fldCharType="separate"/>
            </w:r>
            <w:r w:rsidR="00A53A6B" w:rsidRPr="00A53A6B">
              <w:rPr>
                <w:rFonts w:ascii="Calibri" w:hAnsi="Calibri"/>
              </w:rPr>
              <w:t>(387,388)</w:t>
            </w:r>
            <w:r>
              <w:fldChar w:fldCharType="end"/>
            </w:r>
          </w:p>
        </w:tc>
      </w:tr>
      <w:tr w:rsidR="004275D8" w14:paraId="0358EC3B" w14:textId="77777777" w:rsidTr="00653170">
        <w:tc>
          <w:tcPr>
            <w:tcW w:w="1681" w:type="dxa"/>
            <w:vAlign w:val="center"/>
          </w:tcPr>
          <w:p w14:paraId="10EFED45" w14:textId="77777777" w:rsidR="004275D8" w:rsidRDefault="004275D8" w:rsidP="000A0B44">
            <w:pPr>
              <w:pStyle w:val="Thesisnormal"/>
              <w:jc w:val="center"/>
            </w:pPr>
            <w:r>
              <w:t>IFN-</w:t>
            </w:r>
            <w:r>
              <w:sym w:font="Symbol" w:char="F067"/>
            </w:r>
          </w:p>
        </w:tc>
        <w:tc>
          <w:tcPr>
            <w:tcW w:w="2709" w:type="dxa"/>
            <w:vAlign w:val="center"/>
          </w:tcPr>
          <w:p w14:paraId="5F6E2C02" w14:textId="77777777" w:rsidR="004275D8" w:rsidRDefault="004275D8" w:rsidP="000A0B44">
            <w:pPr>
              <w:pStyle w:val="Thesisnormal"/>
              <w:jc w:val="center"/>
            </w:pPr>
            <w:r>
              <w:t>N/A</w:t>
            </w:r>
          </w:p>
        </w:tc>
        <w:tc>
          <w:tcPr>
            <w:tcW w:w="3260" w:type="dxa"/>
            <w:vAlign w:val="center"/>
          </w:tcPr>
          <w:p w14:paraId="209B2E8E" w14:textId="77777777" w:rsidR="004275D8" w:rsidRDefault="004275D8" w:rsidP="000A0B44">
            <w:pPr>
              <w:pStyle w:val="Thesisnormal"/>
              <w:jc w:val="center"/>
            </w:pPr>
            <w:r>
              <w:t>M1 phenotype</w:t>
            </w:r>
          </w:p>
        </w:tc>
        <w:tc>
          <w:tcPr>
            <w:tcW w:w="1360" w:type="dxa"/>
            <w:vAlign w:val="center"/>
          </w:tcPr>
          <w:p w14:paraId="7C55D1A7" w14:textId="07F62AA5" w:rsidR="004275D8" w:rsidRDefault="004275D8" w:rsidP="000A0B44">
            <w:pPr>
              <w:pStyle w:val="Thesisnormal"/>
              <w:jc w:val="center"/>
            </w:pPr>
            <w:r>
              <w:fldChar w:fldCharType="begin"/>
            </w:r>
            <w:r w:rsidR="000A209C">
              <w:instrText xml:space="preserve"> ADDIN ZOTERO_ITEM CSL_CITATION {"citationID":"Hv5p7u7P","properties":{"formattedCitation":"(125)","plainCitation":"(125)","noteIndex":0},"citationItems":[{"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R."}],"issued":{"date-parts":[["2005",12]]}}}],"schema":"https://github.com/citation-style-language/schema/raw/master/csl-citation.json"} </w:instrText>
            </w:r>
            <w:r>
              <w:fldChar w:fldCharType="separate"/>
            </w:r>
            <w:r w:rsidR="004A1963" w:rsidRPr="004A1963">
              <w:rPr>
                <w:rFonts w:ascii="Calibri" w:hAnsi="Calibri"/>
              </w:rPr>
              <w:t>(125)</w:t>
            </w:r>
            <w:r>
              <w:fldChar w:fldCharType="end"/>
            </w:r>
          </w:p>
        </w:tc>
      </w:tr>
      <w:tr w:rsidR="004275D8" w14:paraId="5841B8E7" w14:textId="77777777" w:rsidTr="00653170">
        <w:tc>
          <w:tcPr>
            <w:tcW w:w="1681" w:type="dxa"/>
            <w:vAlign w:val="center"/>
          </w:tcPr>
          <w:p w14:paraId="056B50F4" w14:textId="77777777" w:rsidR="004275D8" w:rsidRDefault="004275D8" w:rsidP="000A0B44">
            <w:pPr>
              <w:pStyle w:val="Thesisnormal"/>
              <w:jc w:val="center"/>
            </w:pPr>
            <w:r>
              <w:t>TNF</w:t>
            </w:r>
          </w:p>
        </w:tc>
        <w:tc>
          <w:tcPr>
            <w:tcW w:w="2709" w:type="dxa"/>
            <w:vAlign w:val="center"/>
          </w:tcPr>
          <w:p w14:paraId="010D58FE" w14:textId="77777777" w:rsidR="004275D8" w:rsidRDefault="004275D8" w:rsidP="000A0B44">
            <w:pPr>
              <w:pStyle w:val="Thesisnormal"/>
              <w:jc w:val="center"/>
            </w:pPr>
            <w:r>
              <w:t>Eiger</w:t>
            </w:r>
          </w:p>
        </w:tc>
        <w:tc>
          <w:tcPr>
            <w:tcW w:w="3260" w:type="dxa"/>
            <w:vAlign w:val="center"/>
          </w:tcPr>
          <w:p w14:paraId="781BAC29" w14:textId="77777777" w:rsidR="004275D8" w:rsidRDefault="004275D8" w:rsidP="000A0B44">
            <w:pPr>
              <w:pStyle w:val="Thesisnormal"/>
              <w:jc w:val="center"/>
            </w:pPr>
            <w:r>
              <w:t>Knockout results in gain of M2</w:t>
            </w:r>
          </w:p>
        </w:tc>
        <w:tc>
          <w:tcPr>
            <w:tcW w:w="1360" w:type="dxa"/>
            <w:vAlign w:val="center"/>
          </w:tcPr>
          <w:p w14:paraId="58A8A152" w14:textId="386F20F4" w:rsidR="004275D8" w:rsidRDefault="004275D8" w:rsidP="000A0B44">
            <w:pPr>
              <w:pStyle w:val="Thesisnormal"/>
              <w:jc w:val="center"/>
            </w:pPr>
            <w:r>
              <w:fldChar w:fldCharType="begin"/>
            </w:r>
            <w:r w:rsidR="000A209C">
              <w:instrText xml:space="preserve"> ADDIN ZOTERO_ITEM CSL_CITATION {"citationID":"aCK5xAj8","properties":{"formattedCitation":"(389,390)","plainCitation":"(389,390)","noteIndex":0},"citationItems":[{"id":1593,"uris":["http://zotero.org/users/952979/items/GIIJP3YY"],"uri":["http://zotero.org/users/952979/items/GIIJP3YY"],"itemData":{"id":1593,"type":"article-journal","title":"TNF Counterbalances the Emergence of M2 Tumor Macrophages","container-title":"Cell Reports","page":"1902-1914","volume":"12","issue":"11","source":"PubMed","abstract":"Cancer can involve non-resolving, persistent inflammation where varying numbers of tumor-associated macrophages (TAMs) infiltrate and adopt different activation states between anti-tumor M1 and pro-tumor M2 phenotypes. Here, we resolve a cascade causing differential macrophage phenotypes in the tumor microenvironment. Reduction in TNF mRNA production or loss of type I TNF receptor signaling resulted in a striking pattern of enhanced M2 mRNA expression. M2 gene expression was driven in part by IL-13 from eosinophils co-recruited with inflammatory monocytes, a pathway that was suppressed by TNF. Our data define regulatory nodes within the tumor microenvironment that balance M1 and M2 populations. Our results show macrophage polarization in cancer is dynamic and dependent on the balance between TNF and IL-13, thus providing a strategy for manipulating TAMs.","DOI":"10.1016/j.celrep.2015.08.033","ISSN":"2211-1247","note":"PMID: 26365184\nPMCID: PMC4581986","journalAbbreviation":"Cell Rep","language":"eng","author":[{"family":"Kratochvill","given":"Franz"},{"family":"Neale","given":"Geoffrey"},{"family":"Haverkamp","given":"Jessica M."},{"family":"Van de Velde","given":"Lee-Ann"},{"family":"Smith","given":"Amber M."},{"family":"Kawauchi","given":"Daisuke"},{"family":"McEvoy","given":"Justina"},{"family":"Roussel","given":"Martine F."},{"family":"Dyer","given":"Michael A."},{"family":"Qualls","given":"Joseph E."},{"family":"Murray","given":"Peter J."}],"issued":{"date-parts":[["2015",9,22]]}}},{"id":1591,"uris":["http://zotero.org/users/952979/items/D8YN8I5Y"],"uri":["http://zotero.org/users/952979/items/D8YN8I5Y"],"itemData":{"id":1591,"type":"article-journal","title":"TNF-Mediated Restriction of Arginase 1 Expression in Myeloid Cells Triggers Type 2 NO Synthase Activity at the Site of Infection","container-title":"Cell Reports","page":"1062-1075","volume":"15","issue":"5","source":"PubMed","abstract":"Neutralization or deletion of tumor necrosis factor (TNF) causes loss of control of intracellular pathogens in mice and humans, but the underlying mechanisms are incompletely understood. Here, we found that TNF antagonized alternative activation of macrophages and dendritic cells by IL-4. TNF inhibited IL-4-induced arginase 1 (Arg1) expression by decreasing histone acetylation, without affecting STAT6 phosphorylation and nuclear translocation. In Leishmania major-infected C57BL/6 wild-type mice, type 2 nitric oxide (NO) synthase (NOS2) was detected in inflammatory dendritic cells or macrophages, some of which co-expressed Arg1. In TNF-deficient mice, Arg1 was hyperexpressed, causing an impaired production of NO in situ. A similar phenotype was seen in L. major-infected BALB/c mice. Arg1 deletion in hematopoietic cells protected these mice from an otherwise lethal disease, although their disease-mediating T cell response (Th2, Treg) was maintained. Thus, deletion or TNF-mediated restriction of Arg1 unleashes the production of NO by NOS2, which is critical for pathogen control.","DOI":"10.1016/j.celrep.2016.04.001","ISSN":"2211-1247","note":"PMID: 27117406\nPMCID: PMC5065922","journalAbbreviation":"Cell Rep","language":"eng","author":[{"family":"Schleicher","given":"Ulrike"},{"family":"Paduch","given":"Katrin"},{"family":"Debus","given":"Andrea"},{"family":"Obermeyer","given":"Stephanie"},{"family":"König","given":"Till"},{"family":"Kling","given":"Jessica C."},{"family":"Ribechini","given":"Eliana"},{"family":"Dudziak","given":"Diana"},{"family":"Mougiakakos","given":"Dimitrios"},{"family":"Murray","given":"Peter J."},{"family":"Ostuni","given":"Renato"},{"family":"Körner","given":"Heinrich"},{"family":"Bogdan","given":"Christian"}],"issued":{"date-parts":[["2016"]],"season":"03"}}}],"schema":"https://github.com/citation-style-language/schema/raw/master/csl-citation.json"} </w:instrText>
            </w:r>
            <w:r>
              <w:fldChar w:fldCharType="separate"/>
            </w:r>
            <w:r w:rsidR="00A53A6B" w:rsidRPr="00A53A6B">
              <w:rPr>
                <w:rFonts w:ascii="Calibri" w:hAnsi="Calibri"/>
              </w:rPr>
              <w:t>(389,390)</w:t>
            </w:r>
            <w:r>
              <w:fldChar w:fldCharType="end"/>
            </w:r>
          </w:p>
        </w:tc>
      </w:tr>
      <w:tr w:rsidR="00C22BC4" w14:paraId="3E1A30E3" w14:textId="77777777" w:rsidTr="00653170">
        <w:tc>
          <w:tcPr>
            <w:tcW w:w="1681" w:type="dxa"/>
            <w:vAlign w:val="center"/>
          </w:tcPr>
          <w:p w14:paraId="7498BC96" w14:textId="0DD2373B" w:rsidR="00C22BC4" w:rsidRDefault="00C22BC4" w:rsidP="000A0B44">
            <w:pPr>
              <w:pStyle w:val="Thesisnormal"/>
              <w:jc w:val="center"/>
            </w:pPr>
            <w:r>
              <w:t>AMPK</w:t>
            </w:r>
          </w:p>
        </w:tc>
        <w:tc>
          <w:tcPr>
            <w:tcW w:w="2709" w:type="dxa"/>
            <w:vAlign w:val="center"/>
          </w:tcPr>
          <w:p w14:paraId="2287C473" w14:textId="393E37CB" w:rsidR="00C22BC4" w:rsidRDefault="00C22BC4" w:rsidP="000A0B44">
            <w:pPr>
              <w:pStyle w:val="Thesisnormal"/>
              <w:jc w:val="center"/>
            </w:pPr>
            <w:r>
              <w:t>AMPK</w:t>
            </w:r>
          </w:p>
        </w:tc>
        <w:tc>
          <w:tcPr>
            <w:tcW w:w="3260" w:type="dxa"/>
            <w:vAlign w:val="center"/>
          </w:tcPr>
          <w:p w14:paraId="4D88304A" w14:textId="549D7FD7" w:rsidR="00C22BC4" w:rsidRDefault="00C22BC4" w:rsidP="000A0B44">
            <w:pPr>
              <w:pStyle w:val="Thesisnormal"/>
              <w:jc w:val="center"/>
            </w:pPr>
            <w:r>
              <w:t>Knockout results in partial loss of M2</w:t>
            </w:r>
          </w:p>
        </w:tc>
        <w:tc>
          <w:tcPr>
            <w:tcW w:w="1360" w:type="dxa"/>
            <w:vAlign w:val="center"/>
          </w:tcPr>
          <w:p w14:paraId="7CB16FC7" w14:textId="481A2C47" w:rsidR="00C22BC4" w:rsidRDefault="00653170" w:rsidP="000A0B44">
            <w:pPr>
              <w:pStyle w:val="Thesisnormal"/>
              <w:jc w:val="center"/>
            </w:pPr>
            <w:r>
              <w:fldChar w:fldCharType="begin"/>
            </w:r>
            <w:r w:rsidR="000A209C">
              <w:instrText xml:space="preserve"> ADDIN ZOTERO_ITEM CSL_CITATION {"citationID":"AVzJX03A","properties":{"formattedCitation":"(60)","plainCitation":"(60)","noteIndex":0},"citationItems":[{"id":1658,"uris":["http://zotero.org/users/952979/items/KP6F6KVQ"],"uri":["http://zotero.org/users/952979/items/KP6F6KVQ"],"itemData":{"id":1658,"type":"article-journal","title":"AMP-activated protein kinase promotes macrophage polarization to an anti-inflammatory functional phenotype","container-title":"Journal of immunology (Baltimore, Md. : 1950)","page":"8633-8641","volume":"181","issue":"12","source":"PubMed Central","abstract":"Herein, we demonstrate a role of AMP-activated protein kinase (AMPK) as a potent counter-regulator of inflammatory signaling pathways in macrophages. Stimulation of macrophages with anti-inflammatory cytokines (i.e., IL-10 and TGFβ) resulted in the rapid Phosphorylation/activation of AMPK, whereas stimulation of macrophages with a proinflammatory stimulus (LPS) resulted in AMPK dephosphorylation/inactivation. Inhibition of AMPKα expression by RNA interference dramatically increased the mRNA levels of LPS-induced TNFα, IL-6 and cyclooxygenase- 2 (COX-2). Likewise, expression of a dominant negative AMPKα1 in macrophages enhanced TNFα and IL-6 protein synthesis in response to LPS stimulation, while diminishing the production of IL-10. In contrast, transfection of macrophages with a constitutively active form of AMPKα1 resulted in decreased LPS-induced TNFα and IL-6 production, and heightened production of IL-10. In addition, we found that AMPK negatively regulated LPS-induced IκB-α degradation and positively regulated Akt activation, accompanied by inhibition of GSK3-β and activation of CREB. Thus, AMPK directs signaling pathways in macrophages in a manner that suppresses proinflammatory responses and promotes macrophage polarization to an anti-inflammatory functional phenotype.","ISSN":"0022-1767","note":"PMID: 19050283\nPMCID: PMC2756051","journalAbbreviation":"J Immunol","author":[{"family":"Sag","given":"Duygu"},{"family":"Carling","given":"David"},{"family":"Stout","given":"Robert D."},{"family":"Suttles","given":"Jill"}],"issued":{"date-parts":[["2008",12,15]]}}}],"schema":"https://github.com/citation-style-language/schema/raw/master/csl-citation.json"} </w:instrText>
            </w:r>
            <w:r>
              <w:fldChar w:fldCharType="separate"/>
            </w:r>
            <w:r w:rsidR="004A1963" w:rsidRPr="004A1963">
              <w:rPr>
                <w:rFonts w:ascii="Calibri" w:hAnsi="Calibri"/>
              </w:rPr>
              <w:t>(60)</w:t>
            </w:r>
            <w:r>
              <w:fldChar w:fldCharType="end"/>
            </w:r>
          </w:p>
        </w:tc>
      </w:tr>
      <w:tr w:rsidR="00C22BC4" w14:paraId="4179F8A6" w14:textId="77777777" w:rsidTr="00653170">
        <w:tc>
          <w:tcPr>
            <w:tcW w:w="1681" w:type="dxa"/>
            <w:vAlign w:val="center"/>
          </w:tcPr>
          <w:p w14:paraId="387E9F7D" w14:textId="7A9A44BE" w:rsidR="00C22BC4" w:rsidRDefault="00653170" w:rsidP="000A0B44">
            <w:pPr>
              <w:pStyle w:val="Thesisnormal"/>
              <w:jc w:val="center"/>
            </w:pPr>
            <w:r>
              <w:t>Carbohydrate metabolism</w:t>
            </w:r>
          </w:p>
        </w:tc>
        <w:tc>
          <w:tcPr>
            <w:tcW w:w="2709" w:type="dxa"/>
            <w:vAlign w:val="center"/>
          </w:tcPr>
          <w:p w14:paraId="6CB959BF" w14:textId="0B4C1FAB" w:rsidR="00C22BC4" w:rsidRDefault="00653170" w:rsidP="000A0B44">
            <w:pPr>
              <w:pStyle w:val="Thesisnormal"/>
              <w:jc w:val="center"/>
            </w:pPr>
            <w:r>
              <w:t>-</w:t>
            </w:r>
          </w:p>
        </w:tc>
        <w:tc>
          <w:tcPr>
            <w:tcW w:w="3260" w:type="dxa"/>
            <w:vAlign w:val="center"/>
          </w:tcPr>
          <w:p w14:paraId="1DB4DE56" w14:textId="5A8AC2F1" w:rsidR="00C22BC4" w:rsidRDefault="00653170" w:rsidP="000A0B44">
            <w:pPr>
              <w:pStyle w:val="Thesisnormal"/>
              <w:jc w:val="center"/>
            </w:pPr>
            <w:r>
              <w:t>M1 macrophages induce glycolysis, M2 macrophages primarily utilise oxidative phosphorylation</w:t>
            </w:r>
          </w:p>
        </w:tc>
        <w:tc>
          <w:tcPr>
            <w:tcW w:w="1360" w:type="dxa"/>
            <w:vAlign w:val="center"/>
          </w:tcPr>
          <w:p w14:paraId="3EC25D16" w14:textId="7A300CA6" w:rsidR="00C22BC4" w:rsidRDefault="00402D59" w:rsidP="000A0B44">
            <w:pPr>
              <w:pStyle w:val="Thesisnormal"/>
              <w:jc w:val="center"/>
            </w:pPr>
            <w:r>
              <w:fldChar w:fldCharType="begin"/>
            </w:r>
            <w:r w:rsidR="000A209C">
              <w:instrText xml:space="preserve"> ADDIN ZOTERO_ITEM CSL_CITATION {"citationID":"UVoBWa8w","properties":{"formattedCitation":"(58,391)","plainCitation":"(58,391)","noteIndex":0},"citationItems":[{"id":1522,"uris":["http://zotero.org/users/952979/items/GZRXNXN9"],"uri":["http://zotero.org/users/952979/items/GZRXNXN9"],"itemData":{"id":1522,"type":"article-journal","title":"Reprogramming mitochondrial metabolism in macrophages as an anti-inflammatory signal","container-title":"European Journal of Immunology","page":"13-21","volume":"46","issue":"1","source":"PubMed","abstract":"Mitochondria are master regulators of metabolism. Mitochondria generate ATP by oxidative phosphorylation using pyruvate (derived from glucose and glycolysis) and fatty acids (FAs), both of which are oxidized in the Krebs cycle, as fuel sources. Mitochondria are also an important source of reactive oxygen species (ROS), creating oxidative stress in various contexts, including in the response to bacterial infection. Recently, complex changes in mitochondrial metabolism have been characterized in mouse macrophages in response to varying stimuli in vitro. In LPS and IFN-γ-activated macrophages (M1 macrophages), there is decreased respiration and a broken Krebs cycle, leading to accumulation of succinate and citrate, which act as signals to alter immune function. In IL-4-activated macrophages (M2 macrophages), the Krebs cycle and oxidative phosphorylation are intact and fatty acid oxidation (FAO) is also utilized. These metabolic alterations in response to the nature of the stimulus are proving to be determinants of the effector functions of M1 and M2 macrophages. Furthermore, reprogramming of macrophages from M1 to M2 can be achieved by targeting metabolic events. Here, we describe the role that metabolism plays in macrophage function in infection and immunity, and propose that reprogramming with metabolic inhibitors might be a novel therapeutic approach for the treatment of inflammatory diseases.","DOI":"10.1002/eji.201445427","ISSN":"1521-4141","note":"PMID: 26643360","journalAbbreviation":"Eur. J. Immunol.","language":"eng","author":[{"family":"Mills","given":"Evanna L."},{"family":"O'Neill","given":"Luke A."}],"issued":{"date-parts":[["2016",1]]}}},{"id":1661,"uris":["http://zotero.org/users/952979/items/I6CH7N6U"],"uri":["http://zotero.org/users/952979/items/I6CH7N6U"],"itemData":{"id":1661,"type":"article-journal","title":"Immunometabolism governs dendritic cell and macrophage function","container-title":"The Journal of Experimental Medicine","page":"15-23","volume":"213","issue":"1","source":"PubMed","abstract":"Recent studies on intracellular metabolism in dendritic cells (DCs) and macrophages provide new insights on the functioning of these critical controllers of innate and adaptive immunity. Both cell types undergo profound metabolic reprogramming in response to environmental cues, such as hypoxia or nutrient alterations, but importantly also in response to danger signals and cytokines. Metabolites such as succinate and citrate have a direct impact on the functioning of macrophages. Immunogenicity and tolerogenicity of DCs is also determined by anabolic and catabolic processes, respectively. These findings provide new prospects for therapeutic manipulation in inflammatory diseases and cancer.","DOI":"10.1084/jem.20151570","ISSN":"1540-9538","note":"PMID: 26694970\nPMCID: PMC4710204","journalAbbreviation":"J. Exp. Med.","language":"eng","author":[{"family":"O'Neill","given":"Luke A. J."},{"family":"Pearce","given":"Edward J."}],"issued":{"date-parts":[["2016",1,11]]}}}],"schema":"https://github.com/citation-style-language/schema/raw/master/csl-citation.json"} </w:instrText>
            </w:r>
            <w:r>
              <w:fldChar w:fldCharType="separate"/>
            </w:r>
            <w:r w:rsidR="004A1963" w:rsidRPr="004A1963">
              <w:rPr>
                <w:rFonts w:ascii="Calibri" w:hAnsi="Calibri"/>
              </w:rPr>
              <w:t>(58,391)</w:t>
            </w:r>
            <w:r>
              <w:fldChar w:fldCharType="end"/>
            </w:r>
          </w:p>
        </w:tc>
      </w:tr>
    </w:tbl>
    <w:p w14:paraId="6C5F6842" w14:textId="34874786" w:rsidR="004275D8" w:rsidRDefault="004275D8" w:rsidP="004275D8">
      <w:pPr>
        <w:pStyle w:val="NoSpacing"/>
      </w:pPr>
      <w:r>
        <w:t xml:space="preserve">N.b. Table adapted from Murray, 2017 </w:t>
      </w:r>
      <w:r>
        <w:fldChar w:fldCharType="begin"/>
      </w:r>
      <w:r w:rsidR="000A209C">
        <w:instrText xml:space="preserve"> ADDIN ZOTERO_ITEM CSL_CITATION {"citationID":"zyJf2iGr","properties":{"formattedCitation":"(27)","plainCitation":"(27)","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J."}],"issued":{"date-parts":[["2017"]]}}}],"schema":"https://github.com/citation-style-language/schema/raw/master/csl-citation.json"} </w:instrText>
      </w:r>
      <w:r>
        <w:fldChar w:fldCharType="separate"/>
      </w:r>
      <w:r w:rsidR="004A1963" w:rsidRPr="004A1963">
        <w:rPr>
          <w:rFonts w:ascii="Calibri" w:hAnsi="Calibri"/>
        </w:rPr>
        <w:t>(27)</w:t>
      </w:r>
      <w:r>
        <w:fldChar w:fldCharType="end"/>
      </w:r>
      <w:r>
        <w:t>. JAK = Janus Kinase, STAT = Signal transducer and activator of transcription, NF-</w:t>
      </w:r>
      <w:r>
        <w:sym w:font="Symbol" w:char="F06B"/>
      </w:r>
      <w:r>
        <w:t>B = Nuclear factor-</w:t>
      </w:r>
      <w:r>
        <w:sym w:font="Symbol" w:char="F06B"/>
      </w:r>
      <w:r>
        <w:t>B, IRF = Immune regulatory factor, mTOR = mechanistic target of Rapamycin, IL = interleukin, IFN = Interferon, TNF = tumour necrosis factor</w:t>
      </w:r>
    </w:p>
    <w:p w14:paraId="232F8CDC" w14:textId="77777777" w:rsidR="004275D8" w:rsidRDefault="004275D8" w:rsidP="004275D8">
      <w:pPr>
        <w:pStyle w:val="Thesisnormal"/>
      </w:pPr>
    </w:p>
    <w:p w14:paraId="723BA883" w14:textId="77777777" w:rsidR="004275D8" w:rsidRDefault="004275D8" w:rsidP="004275D8">
      <w:pPr>
        <w:pStyle w:val="Heading3"/>
      </w:pPr>
      <w:bookmarkStart w:id="168" w:name="_Toc4589337"/>
      <w:r>
        <w:t>4.1.2 Reactive Oxygen Species in macrophage polarisation</w:t>
      </w:r>
      <w:bookmarkEnd w:id="168"/>
      <w:r>
        <w:t xml:space="preserve"> </w:t>
      </w:r>
    </w:p>
    <w:p w14:paraId="75BCAC90" w14:textId="77777777" w:rsidR="004275D8" w:rsidRDefault="004275D8" w:rsidP="004275D8">
      <w:pPr>
        <w:pStyle w:val="Thesisnormal"/>
      </w:pPr>
    </w:p>
    <w:p w14:paraId="6234FDA2" w14:textId="19A4E92A" w:rsidR="004275D8" w:rsidRDefault="004275D8" w:rsidP="004275D8">
      <w:pPr>
        <w:pStyle w:val="Thesisnormal"/>
      </w:pPr>
      <w:r>
        <w:t>Reactive Oxygen species (</w:t>
      </w:r>
      <w:r w:rsidRPr="00C26C4B">
        <w:t>ROS</w:t>
      </w:r>
      <w:r>
        <w:t xml:space="preserve">) are a class of highly reactive molecules which are highly toxic to cells </w:t>
      </w:r>
      <w:r>
        <w:fldChar w:fldCharType="begin"/>
      </w:r>
      <w:r w:rsidR="000A209C">
        <w:instrText xml:space="preserve"> ADDIN ZOTERO_ITEM CSL_CITATION {"citationID":"puun9Kck","properties":{"formattedCitation":"(392,393)","plainCitation":"(392,393)","noteIndex":0},"citationItems":[{"id":1604,"uris":["http://zotero.org/users/952979/items/C55L724W"],"uri":["http://zotero.org/users/952979/items/C55L724W"],"itemData":{"id":1604,"type":"article-journal","title":"Reactive oxygen species (ROS) homeostasis and redox regulation in cellular signaling","container-title":"Cellular signalling","page":"981-990","volume":"24","issue":"5","source":"PubMed Central","abstract":"Reactive oxygen species (ROS) are generated during mitochondrial oxidative metabolism as well as in cellular response to xenobiotics, cytokines, and bacterial invasion. Oxidative stress refers to the imbalance due to excess ROS or oxidants over the capability of the cell to mount an effective antioxidant response. Oxidative stress results in macromolecular damage and is implicated in various disease states such as atherosclerosis, diabetes, cancer, neurodegeneration, and aging. Paradoxically, accumulating evidence indicates that ROS also serve as critical signaling molecules in cell proliferation and survival. While there is a large body of research demonstrating the general effect of oxidative stress on signaling pathways, less is known about the initial and direct regulation of signaling molecules by ROS, or what we term the “oxidative interface.” Cellular ROS sensing and metabolism are tightly regulated by a variety of proteins involved in the redox (reduction/oxidation) mechanism. This review focuses on the molecular mechanisms through which ROS directly interact with critical signaling molecules to initiate signaling in a broad variety of cellular processes, such as proliferation and survival (MAP kinases, PI3 kinase, PTEN, and protein tyrosine phosphatases), ROS homeostasis and antioxidant gene regulation (thioredoxin, peroxiredoxin, Ref-1, and Nrf-2), mitochondrial oxidative stress, apoptosis, and aging (p66Shc), iron homeostasis through iron–sulfur cluster proteins (IRE–IRP), and ATM-regulated DNA damage response.","DOI":"10.1016/j.cellsig.2012.01.008","ISSN":"0898-6568","note":"PMID: 22286106\nPMCID: PMC3454471","journalAbbreviation":"Cell Signal","author":[{"family":"Ray","given":"Paul D."},{"family":"Huang","given":"Bo-Wen"},{"family":"Tsuji","given":"Yoshiaki"}],"issued":{"date-parts":[["2012",5]]}}},{"id":1442,"uris":["http://zotero.org/users/952979/items/97H6X5NH"],"uri":["http://zotero.org/users/952979/items/97H6X5NH"],"itemData":{"id":1442,"type":"article-journal","title":"Reactive Oxygen Species, Oxidative Damage, and Antioxidative Defense Mechanism in Plants under Stressful Conditions","container-title":"Journal of Botany","page":"1-26","volume":"2012","source":"CrossRef","DOI":"10.1155/2012/217037","ISSN":"2090-0120, 2090-0139","language":"en","author":[{"family":"Sharma","given":"Pallavi"},{"family":"Jha","given":"Ambuj Bhushan"},{"family":"Dubey","given":"Rama Shanker"},{"family":"Pessarakli","given":"Mohammad"}],"issued":{"date-parts":[["2012"]]}}}],"schema":"https://github.com/citation-style-language/schema/raw/master/csl-citation.json"} </w:instrText>
      </w:r>
      <w:r>
        <w:fldChar w:fldCharType="separate"/>
      </w:r>
      <w:r w:rsidR="00A53A6B" w:rsidRPr="00A53A6B">
        <w:rPr>
          <w:rFonts w:ascii="Calibri" w:hAnsi="Calibri"/>
        </w:rPr>
        <w:t>(392,393)</w:t>
      </w:r>
      <w:r>
        <w:fldChar w:fldCharType="end"/>
      </w:r>
      <w:r>
        <w:t xml:space="preserve">. Such species are central to immune functions, such as clearance of pathogens </w:t>
      </w:r>
      <w:r>
        <w:fldChar w:fldCharType="begin"/>
      </w:r>
      <w:r w:rsidR="000A209C">
        <w:instrText xml:space="preserve"> ADDIN ZOTERO_ITEM CSL_CITATION {"citationID":"nq0uMXKV","properties":{"formattedCitation":"(394,395)","plainCitation":"(394,395)","noteIndex":0},"citationItems":[{"id":1607,"uris":["http://zotero.org/users/952979/items/XX2EI488"],"uri":["http://zotero.org/users/952979/items/XX2EI488"],"itemData":{"id":1607,"type":"article-journal","title":"How does the oxidative burst of macrophages kill bacteria? Still an open question","container-title":"Molecular microbiology","page":"580-583","volume":"80","issue":"3","source":"PubMed Central","abstract":"Reactive oxygen species (ROS) are critical components of the antimicrobial repertoire of macrophages, yet the mechanisms by which ROS damage bacteria in the phagosome are unclear. The NADH-dependent phagocytic oxidase produces superoxide, which dismutes to form H2O2. The Barras and Méresse labs use a GFP fusion to an OxyR regulated gene to show that phagocyte-derived H2O2 is gaining access to the Salmonella cytoplasm. However, they have also shown previously that Salmonella has redundant systems to detoxify this H2O2. Although Salmonella propagate in a unique vacuole, their data suggest that ROS are not diminished in this modified phagosome. These recent results are put into the context of our overall understanding of potential oxidative bacterial damage occurring in macrophages.","DOI":"10.1111/j.1365-2958.2011.07612.x","ISSN":"0950-382X","note":"PMID: 21375590\nPMCID: PMC3109634","shortTitle":"How does the oxidative burst of macrophages kill bacteria?","journalAbbreviation":"Mol Microbiol","author":[{"family":"Slauch","given":"James M."}],"issued":{"date-parts":[["2011",5]]}}},{"id":1606,"uris":["http://zotero.org/users/952979/items/IBXMD5ZY"],"uri":["http://zotero.org/users/952979/items/IBXMD5ZY"],"itemData":{"id":1606,"type":"article-journal","title":"Reactive oxygen species and cell signaling: respiratory burst in macrophage signaling","container-title":"American Journal of Respiratory and Critical Care Medicine","page":"S4-8","volume":"166","issue":"12 Pt 2","source":"PubMed","abstract":"Phagocytes such as neutrophils and macrophages produce reactive oxygen species (ROS) during phagocytosis or stimulation with a wide variety of agents through activation of nicotinamide adenine dinucleotide phosphate reduced (NADPH) oxidase that is assembled at the plasma membrane from resident plasma membrane and cytosolic protein components. One of the subunits of the phagocyte NADPH oxidase is now recognized as a member of a family of NADPH oxidases, or NOX, present in cells other than phagocytes. Physiologic generation of ROS has been implicated in a variety of physiologic responses from transcriptional activation to cell proliferation and apoptosis. The increase in superoxide and hydrogen peroxide (H2O2) that results from stimulation of the NADPH oxidase is transient, in part due to the presence of the antioxidant enzymes, which return their concentrations to the prestimulation steady state level. Thus, the antioxidant enzymes may function in the \"turn-off\" phase of signal transduction by ROS. During its transient elevation, H2O2 may act as a modifier of key signaling enzymes through reversible oxidation of critical thiols. The rapid reaction of thiols with H2O2 when in their unprotonated state would provide a potential mechanism for the specificity that is necessary for physiologic cell signaling.","DOI":"10.1164/rccm.2206007","ISSN":"1073-449X","note":"PMID: 12471082","shortTitle":"Reactive oxygen species and cell signaling","journalAbbreviation":"Am. J. Respir. Crit. Care Med.","language":"eng","author":[{"family":"Forman","given":"Henry Jay"},{"family":"Torres","given":"Martine"}],"issued":{"date-parts":[["2002",12,15]]}}}],"schema":"https://github.com/citation-style-language/schema/raw/master/csl-citation.json"} </w:instrText>
      </w:r>
      <w:r>
        <w:fldChar w:fldCharType="separate"/>
      </w:r>
      <w:r w:rsidR="00A53A6B" w:rsidRPr="00A53A6B">
        <w:rPr>
          <w:rFonts w:ascii="Calibri" w:hAnsi="Calibri"/>
        </w:rPr>
        <w:t>(394,395)</w:t>
      </w:r>
      <w:r>
        <w:fldChar w:fldCharType="end"/>
      </w:r>
      <w:r>
        <w:t xml:space="preserve">, across multiple species from humans to bony fish </w:t>
      </w:r>
      <w:r>
        <w:fldChar w:fldCharType="begin"/>
      </w:r>
      <w:r w:rsidR="000A209C">
        <w:instrText xml:space="preserve"> ADDIN ZOTERO_ITEM CSL_CITATION {"citationID":"7MCjpKF1","properties":{"formattedCitation":"(126\\uc0\\u8211{}129)","plainCitation":"(126–129)","noteIndex":0},"citationItems":[{"id":1834,"uris":["http://zotero.org/users/952979/items/VDEHXP3R"],"uri":["http://zotero.org/users/952979/items/VDEHXP3R"],"itemData":{"id":1834,"type":"article-journal","title":"Biochemical and functional characterisation of macrophage stimulating factors secreted by mitogen-induced goldfish kidney leucocytes","container-title":"Fish &amp; Shellfish Immunology","page":"167-186","volume":"10","issue":"2","source":"PubMed","abstract":"Mitogen-stimulated goldfish kidney leucocytes secrete a number of different macrophage activation factors (MAF) that induce profound physiological changes in macrophages. MAF produced by goldfish kidney leucocytes was characterised using fast performance liquid chromatography (FPLC) and bioassays that measured MAF-induced respiratory burst (RB) and nitric oxide (NO) responses of activated macrophages. Mitogen-induced fish kidney leucocyte supernatants were fractionated using gel permeation FPLC (GP-FPLC) and the ability of different fractions to induce NO or RB measured. A MAF of M(r) 50 kD, that induced a potent nitric oxide response in both a long-term goldfish macrophage cell line (GMCL) and in in vitro-derived fish kidney macrophages (IVDKM) was identified. The GP-FPLC partially purified 50 kD MAF activity occasionally induced significantly higher nitric oxide production than that of the crude MAF preparations. This increase in the NO-inducing activity was due to segregation of the 50 kD MAF from a novel macrophage deactivating molecule of M(r) 10-12 kD present in crude MAF preparations. This 10-12 kD molecule was shown to inhibit nitric oxide production in cytokine-activated goldfish macrophages. Mitogen-induced fish kidney leucocyte supernatants contained two distinct MAFs that induced the respiratory burst in GMCL and IVDKM: the 50 kD and 30 kD proteins. The partially purified 30 kD MAF primed goldfish macrophage for increased RB activity after only 6 h of treatment, and continued to augment the RB activity after 24 h of stimulation. In contrast, the GP-FPLC partially purified 50 kD molecule also primed the RB after only 6 h of stimulation, but subsequently deprimed the RB after 24 h of stimulation, an effect similar to that observed for crude MAF preparations. The 50 kD MAF activity was further purified using chromatofocusing FPLC (C-FPLC) using basic pH gradients and was shown to consist of two distinct NO-inducing molecules (&gt; pI 9.3). Mitogen-stimulated fish kidney leucocytes secrete several factors that profoundly affect the anti-microbial responses of teleost macrophages and which undoubtedly are responsible for regulating teleost macrophage function in vivo.","DOI":"10.1006/fsim.1999.0236","ISSN":"1050-4648","note":"PMID: 10938732","journalAbbreviation":"Fish Shellfish Immunol.","language":"eng","author":[{"family":"Neumann","given":"N. F."},{"family":"Stafford","given":"J. L."},{"family":"Belosevic","given":"M."}],"issued":{"date-parts":[["2000",2]]}}},{"id":1833,"uris":["http://zotero.org/users/952979/items/HVIZN7EU"],"uri":["http://zotero.org/users/952979/items/HVIZN7EU"],"itemData":{"id":1833,"type":"article-journal","title":"Macrophage activation differentially modulates particle binding, phagocytosis and downstream antimicrobial mechanisms","container-title":"Developmental and Comparative Immunology","page":"1144-1159","volume":"34","issue":"11","source":"PubMed","abstract":"Phagocytosis provides a critical first line of defense against invading pathogens. Engagement of particles through receptor-mediated binding precedes internalization and induction of cellular antimicrobial responses. Phagocytes have the capacity to differentially regulate binding and internalization processes through changes in their receptor profile and modulation of downstream events. This is necessary for the intricate control of phagocytic antimicrobial responses. Several methods are available for evaluation of phagocytosis. Unfortunately, none allow for accurate quantitation of both binding and internalization events. To overcome these limitations, we have developed a novel phagocytosis assay based on a multi-spectral imaging flow cytometry platform. This assay discriminates between internalized and surface-bound particles in a statistically robust manner and allows multi-parametric analysis of phagocytosis and downstream anti-microbial responses. We also devised a novel approach for examination of phagolysosome fusion, which provides an improved capacity for quantitative assessment of phagolysosome fusion in mixed populations of intact cells. Importantly, our approaches are likely amenable to a broad range of comparative model systems based on our examination of murine RAW 264.7 cells and a goldfish primary kidney macrophage (PKM) model system. The latter allowed us to examine the evolutionary conservation of phagocytic antimicrobial responses in a lower vertebrate model. While it has been previously reported that mixed populations of these macrophage cultures are phagocytic, it remained unclear if sub-populations within them contributed differentially to this activity. In accordance with higher vertebrate models, we found that differentiation along the macrophage pathway leads to an increased capacity for phagocytosis in goldfish PKM. Interestingly, cellular activation differentially regulated particle internalization in PKM monocyte and mature macrophage subsets. We also found differential regulation of phagolysosome fusion and downstream production of reactive oxygen intermediates (ROI). The temporal activation of specific phagocytic antimicrobial responses at distinct stages of PKM differentiation suggests specialization within the macrophage compartment early in evolution, geared to meet specific host immunity requirements within specialized niches.","DOI":"10.1016/j.dci.2010.06.006","ISSN":"1879-0089","note":"PMID: 20600280","journalAbbreviation":"Dev. Comp. Immunol.","language":"eng","author":[{"family":"Rieger","given":"Aja M."},{"family":"Hall","given":"Brian E."},{"family":"Barreda","given":"Daniel R."}],"issued":{"date-parts":[["2010",11]]}}},{"id":1832,"uris":["http://zotero.org/users/952979/items/43B78GR8"],"uri":["http://zotero.org/users/952979/items/43B78GR8"],"itemData":{"id":1832,"type":"article-journal","title":"Antimicrobial responses of teleost phagocytes and innate immune evasion strategies of intracellular bacteria","container-title":"Developmental and Comparative Immunology","page":"223-242","volume":"43","issue":"2","source":"PubMed","abstract":"During infection, macrophage lineage cells eliminate infiltrating pathogens through a battery of antimicrobial responses, where the efficacy of these innate immune responses is pivotal to immunological outcomes. Not surprisingly, many intracellular pathogens have evolved mechanisms to overcome macrophage defenses, using these immune cells as residences and dissemination strategies. With pathogenic infections causing increasing detriments to both aquacultural and wild fish populations, it is imperative to garner greater understanding of fish phagocyte antimicrobial responses and the mechanisms by which aquatic pathogens are able to overcome these teleost macrophage barriers. Insights into the regulation of macrophage immunity of bony fish species will lend to the development of more effective aquacultural prophylaxis as well as broadening our understanding of the evolution of these immune processes. Accordingly, this review focuses on recent advances in the understanding of teleost macrophage antimicrobial responses and the strategies by which intracellular fish pathogens are able to avoid being killed by phagocytes, with a focus on Mycobacterium marinum.","DOI":"10.1016/j.dci.2013.08.003","ISSN":"1879-0089","note":"PMID: 23954721","journalAbbreviation":"Dev. Comp. Immunol.","language":"eng","author":[{"family":"Grayfer","given":"Leon"},{"family":"Hodgkinson","given":"Jordan W."},{"family":"Belosevic","given":"Miodrag"}],"issued":{"date-parts":[["2014",4]]}}},{"id":1823,"uris":["http://zotero.org/users/952979/items/UL2Q335W"],"uri":["http://zotero.org/users/952979/items/UL2Q335W"],"itemData":{"id":1823,"type":"article-journal","title":"Mechanisms of Fish Macrophage Antimicrobial Immunity","container-title":"Frontiers in Immunology","volume":"9","source":"PubMed Central","abstract":"Overcrowding conditions and temperatures shifts regularly manifest in large-scale infections of farmed fish, resulting in economic losses for the global aquaculture industries. Increased understanding of the functional mechanisms of fish antimicrobial host defenses is an important step forward in prevention of pathogen-induced morbidity and mortality in aquaculture setting. Like other vertebrates, macrophage-lineage cells are integral to fish immune responses and for this reason, much of the recent fish immunology research has focused on fish macrophage biology. These studies have revealed notable similarities as well as striking differences in the molecular strategies by which fish and higher vertebrates control their respective macrophage polarization and functionality. In this review, we address the current understanding of the biological mechanisms of teleost macrophage functional heterogeneity and immunity, focusing on the key cytokine regulators that control fish macrophage development and their antimicrobial armamentarium.","URL":"https://www.ncbi.nlm.nih.gov/pmc/articles/PMC5985312/","DOI":"10.3389/fimmu.2018.01105","ISSN":"1664-3224","note":"PMID: 29892285\nPMCID: PMC5985312","journalAbbreviation":"Front Immunol","author":[{"family":"Grayfer","given":"Leon"},{"family":"Kerimoglu","given":"Baris"},{"family":"Yaparla","given":"Amulya"},{"family":"Hodgkinson","given":"Jordan W."},{"family":"Xie","given":"Jiasong"},{"family":"Belosevic","given":"Miodrag"}],"issued":{"date-parts":[["2018",5,28]]},"accessed":{"date-parts":[["2019",1,17]]}}}],"schema":"https://github.com/citation-style-language/schema/raw/master/csl-citation.json"} </w:instrText>
      </w:r>
      <w:r>
        <w:fldChar w:fldCharType="separate"/>
      </w:r>
      <w:r w:rsidR="004A1963" w:rsidRPr="004A1963">
        <w:rPr>
          <w:rFonts w:ascii="Calibri" w:hAnsi="Calibri" w:cs="Times New Roman"/>
        </w:rPr>
        <w:t>(126–129)</w:t>
      </w:r>
      <w:r>
        <w:fldChar w:fldCharType="end"/>
      </w:r>
      <w:r>
        <w:t xml:space="preserve">. ROS can also serve as second messengers in signalling, activating nearby immune cells; for example, apoptotic epithelial cells in </w:t>
      </w:r>
      <w:r>
        <w:rPr>
          <w:i/>
        </w:rPr>
        <w:t>Drosophila</w:t>
      </w:r>
      <w:r>
        <w:t xml:space="preserve"> secrete ROS which act, in conjunction with p35, to activate hemocytes </w:t>
      </w:r>
      <w:r>
        <w:fldChar w:fldCharType="begin"/>
      </w:r>
      <w:r w:rsidR="000A209C">
        <w:instrText xml:space="preserve"> ADDIN ZOTERO_ITEM CSL_CITATION {"citationID":"5VSVbBsn","properties":{"formattedCitation":"(298)","plainCitation":"(298)","noteIndex":0},"citationItems":[{"id":1251,"uris":["http://zotero.org/users/952979/items/MWNS7EZ4"],"uri":["http://zotero.org/users/952979/items/MWNS7EZ4"],"itemData":{"id":1251,"type":"article-journal","title":"Extracellular Reactive Oxygen Species Drive Apoptosis-Induced Proliferation via Drosophila Macrophages","container-title":"Current biology: CB","page":"575-584","volume":"26","issue":"5","source":"PubMed","abstract":"Apoptosis-induced proliferation (AiP) is a compensatory mechanism to maintain tissue size and morphology following unexpected cell loss during normal development, and may also be a contributing factor to cancer and drug resistance. In apoptotic cells, caspase-initiated signaling cascades lead to the downstream production of mitogenic factors and the proliferation of neighboring surviving cells. In epithelial cells of Drosophila imaginal discs, the Caspase-9 ortholog Dronc drives AiP via activation of Jun N-terminal kinase (JNK); however, the specific mechanisms of JNK activation remain unknown. Here we show that caspase-induced activation of JNK during AiP depends on an inflammatory response. This is mediated by extracellular reactive oxygen species (ROSs) generated by the NADPH oxidase Duox in epithelial disc cells. Extracellular ROSs activate Drosophila macrophages (hemocytes), which in turn trigger JNK activity in epithelial cells by signaling through the tumor necrosis factor (TNF) ortholog Eiger. We propose that in an immortalized (\"undead\") model of AiP, signaling back and forth between epithelial disc cells and hemocytes by extracellular ROSs and TNF/Eiger drives overgrowth of the disc epithelium. These data illustrate a bidirectional cell-cell communication pathway with implication for tissue repair, regeneration, and cancer.","DOI":"10.1016/j.cub.2015.12.064","ISSN":"1879-0445","note":"PMID: 26898463\nPMCID: PMC4765900","journalAbbreviation":"Curr. Biol.","language":"eng","author":[{"family":"Fogarty","given":"Caitlin E."},{"family":"Diwanji","given":"Neha"},{"family":"Lindblad","given":"Jillian L."},{"family":"Tare","given":"Meghana"},{"family":"Amcheslavsky","given":"Alla"},{"family":"Makhijani","given":"Kalpana"},{"family":"Brückner","given":"Katja"},{"family":"Fan","given":"Yun"},{"family":"Bergmann","given":"Andreas"}],"issued":{"date-parts":[["2016",3,7]]}}}],"schema":"https://github.com/citation-style-language/schema/raw/master/csl-citation.json"} </w:instrText>
      </w:r>
      <w:r>
        <w:fldChar w:fldCharType="separate"/>
      </w:r>
      <w:r w:rsidR="004A1963" w:rsidRPr="004A1963">
        <w:rPr>
          <w:rFonts w:ascii="Calibri" w:hAnsi="Calibri"/>
        </w:rPr>
        <w:t>(298)</w:t>
      </w:r>
      <w:r>
        <w:fldChar w:fldCharType="end"/>
      </w:r>
      <w:r>
        <w:t xml:space="preserve">. In macrophages and other immune cells, ROS are pro-inflammatory </w:t>
      </w:r>
      <w:r>
        <w:lastRenderedPageBreak/>
        <w:t xml:space="preserve">and are key markers associated with M1 activation </w:t>
      </w:r>
      <w:r>
        <w:fldChar w:fldCharType="begin"/>
      </w:r>
      <w:r w:rsidR="000A209C">
        <w:instrText xml:space="preserve"> ADDIN ZOTERO_ITEM CSL_CITATION {"citationID":"Vqt7bOkh","properties":{"formattedCitation":"(396)","plainCitation":"(396)","noteIndex":0},"citationItems":[{"id":1616,"uris":["http://zotero.org/users/952979/items/3AH8DGBK"],"uri":["http://zotero.org/users/952979/items/3AH8DGBK"],"itemData":{"id":1616,"type":"article-journal","title":"The Reactive Oxygen Species in Macrophage Polarization: Reflecting Its Dual Role in Progression and Treatment of Human Diseases","container-title":"Oxidative Medicine and Cellular Longevity","page":"2795090","volume":"2016","source":"PubMed","abstract":"High heterogeneity of macrophage is associated with its functions in polarization to different functional phenotypes depending on environmental cues. Macrophages remain in balanced state in healthy subject and thus macrophage polarization may be crucial in determining the tissue fate. The two distinct populations, classically M1 and alternatively M2 activated, representing the opposing ends of the full activation spectrum, have been extensively studied for their associations with several disease progressions. Accumulating evidences have postulated that the redox signalling has implication in macrophage polarization and the key roles of M1 and M2 macrophages in tissue environment have provided the clue for the reasons of ROS abundance in certain phenotype. M1 macrophages majorly clearing the pathogens and ROS may be crucial for the regulation of M1 phenotype, whereas M2 macrophages resolve inflammation which favours oxidative metabolism. Therefore how ROS play its role in maintaining the homeostatic functions of macrophage and in particular macrophage polarization will be reviewed here. We also review the biology of macrophage polarization and the disturbance of M1/M2 balance in human diseases. The potential therapeutic opportunities targeting ROS will also be discussed, hoping to provide insights for development of target-specific delivery system or immunomodulatory antioxidant for the treatment of ROS-related diseases.","DOI":"10.1155/2016/2795090","ISSN":"1942-0994","note":"PMID: 27143992\nPMCID: PMC4837277","shortTitle":"The Reactive Oxygen Species in Macrophage Polarization","journalAbbreviation":"Oxid Med Cell Longev","language":"eng","author":[{"family":"Tan","given":"Hor-Yue"},{"family":"Wang","given":"Ning"},{"family":"Li","given":"Sha"},{"family":"Hong","given":"Ming"},{"family":"Wang","given":"Xuanbin"},{"family":"Feng","given":"Yibin"}],"issued":{"date-parts":[["2016"]]}}}],"schema":"https://github.com/citation-style-language/schema/raw/master/csl-citation.json"} </w:instrText>
      </w:r>
      <w:r>
        <w:fldChar w:fldCharType="separate"/>
      </w:r>
      <w:r w:rsidR="00A53A6B" w:rsidRPr="00A53A6B">
        <w:rPr>
          <w:rFonts w:ascii="Calibri" w:hAnsi="Calibri"/>
        </w:rPr>
        <w:t>(396)</w:t>
      </w:r>
      <w:r>
        <w:fldChar w:fldCharType="end"/>
      </w:r>
      <w:r>
        <w:t xml:space="preserve">. Additionally, ROS have been shown to promote M1-type inflammatory responses with two signalling pathways closely associated with ROS (NF-kB and MAPK (Mitogen-activated protein kinase)) shown to be important in M1 polarisation </w:t>
      </w:r>
      <w:r>
        <w:fldChar w:fldCharType="begin"/>
      </w:r>
      <w:r w:rsidR="000A209C">
        <w:instrText xml:space="preserve"> ADDIN ZOTERO_ITEM CSL_CITATION {"citationID":"gqrt3tZo","properties":{"formattedCitation":"(387,397)","plainCitation":"(387,397)","noteIndex":0},"citationItems":[{"id":1615,"uris":["http://zotero.org/users/952979/items/A2S52ACZ"],"uri":["http://zotero.org/users/952979/items/A2S52ACZ"],"itemData":{"id":1615,"type":"article-journal","title":"Sodium chloride promotes pro-inflammatory macrophage polarization thereby aggravating CNS autoimmunity","container-title":"Journal of Autoimmunity","page":"90-101","volume":"67","source":"ScienceDirect","abstract":"The increasing incidence in Multiple Sclerosis (MS) during the last decades in industrialized countries might be linked to a change in dietary habits. Nowadays, enhanced salt content is an important characteristic of Western diet and increased dietary salt (NaCl) intake promotes pathogenic T cell responses contributing to central nervous system (CNS) autoimmunity. Given the importance of macrophage responses for CNS disease propagation, we addressed the influence of salt consumption on macrophage responses in CNS autoimmunity. We observed that EAE-diseased mice receiving a NaCl-high diet showed strongly enhanced macrophage infiltration and activation within the CNS accompanied by disease aggravation during the effector phase of EAE. NaCl treatment of macrophages elicited a strong pro-inflammatory phenotype characterized by enhanced pro-inflammatory cytokine production, increased expression of immune-stimulatory molecules, and an antigen-independent boost of T cell proliferation. This NaCl-induced pro-inflammatory macrophage phenotype was accompanied by increased activation of NF-kB and MAPK signaling pathways. The pathogenic relevance of NaCl-conditioned macrophages is illustrated by the finding that transfer into EAE-diseased animals resulted in significant disease aggravation compared to untreated macrophages. Importantly, also in human monocytes, NaCl promoted a pro-inflammatory phenotype that enhanced human T cell proliferation. Taken together, high dietary salt intake promotes pro-inflammatory macrophages that aggravate CNS autoimmunity. Together with other studies, these results underline the need to further determine the relevance of increased dietary salt intake for MS disease severity.","DOI":"10.1016/j.jaut.2015.11.001","ISSN":"0896-8411","journalAbbreviation":"Journal of Autoimmunity","author":[{"family":"Hucke","given":"Stephanie"},{"family":"Eschborn","given":"Melanie"},{"family":"Liebmann","given":"Marie"},{"family":"Herold","given":"Martin"},{"family":"Freise","given":"Nicole"},{"family":"Engbers","given":"Annika"},{"family":"Ehling","given":"Petra"},{"family":"Meuth","given":"Sven G."},{"family":"Roth","given":"Johannes"},{"family":"Kuhlmann","given":"Tanja"},{"family":"Wiendl","given":"Heinz"},{"family":"Klotz","given":"Luisa"}],"issued":{"date-parts":[["2016",2,1]]}}},{"id":1617,"uris":["http://zotero.org/users/952979/items/2SKUUJXB"],"uri":["http://zotero.org/users/952979/items/2SKUUJXB"],"itemData":{"id":1617,"type":"article-journal","title":"Curcumin Modulates Macrophage Polarization Through the Inhibition of the Toll-Like Receptor 4 Expression and its Signaling Pathways","container-title":"Cellular Physiology and Biochemistry","page":"631-641","volume":"36","issue":"2","source":"www.karger.com","abstract":"&lt;b&gt;&lt;i&gt;Background: &lt;/i&gt;&lt;/b&gt;Curcumin, the active ingredient in curcuma rhizomes, has a wide range of therapeutic effects. However, its atheroprotective activity in human acute monocytic leukemia THP-1 cells remains unclear. We investigated the activity and molecular mechanism of action of curcumin in polarized macrophages. &lt;b&gt;&lt;i&gt;Methods: &lt;/i&gt;&lt;/b&gt;Phorbol myristate acetate (PMA)-treated THP-1 cells were differentiated to macrophages, which were further polarized to M1 cells by lipopolysaccharide (LPS; 1 µg/ml) and interferon (IFN)-&amp;#947; (20 ng/ml) and treated with varying curcumin concentrations. [&lt;sup&gt;3&lt;/sup&gt;H]thymidine (&lt;sup&gt;3&lt;/sup&gt;H-TdR) incorporation assays were utilized to measure curcumin-induced growth inhibition. The expression of tumor necrosis factor-a (TNF-a), interleukin (IL-6), and IL-12B (p40) were measured by quantitative real-time polymerase chain reaction (PCR) and enzyme-linked immunosorbent assay (ELISA). Macrophage polarization and its mechanism were evaluated by flow cytometry and western blot. Additionally, toll-like receptor 4 (TLR4) small interfering RNA and mitogen-activated protein kinase (MAPK) inhibitors were used to further confirm the molecular mechanism of curcumin on macrophage polarization. &lt;b&gt;&lt;i&gt;Results: &lt;/i&gt;&lt;/b&gt;Curcumin dose-dependently inhibited M1 macrophage polarization and the production of TNF-a, IL-6, and IL-12B (p40). It also decreased TLR4 expression, which regulates M1 macrophage polarization. Furthermore, curcumin significantly inhibited the phosphorylation of ERK, JNK, p38, and nuclear factor (NF)-&amp;#947;B. In contrast, SiTLR4 in combination with p-JNK, p-ERK, and p-p38 inhibition reduced the effect of curcumin on polarization. &lt;b&gt;&lt;i&gt;Conclusions: &lt;/i&gt;&lt;/b&gt;Curcumin can modulate macrophage polarization through TLR4-mediated signaling pathway inhibition, indicating that its effect on macrophage polarization is related to its anti-inflammatory and atheroprotective effects. Our data suggest that curcumin could be used as a therapeutic agent in atherosclerosis.","DOI":"10.1159/000430126","ISSN":"1015-8987, 1421-9778","note":"PMID: 25998190","journalAbbreviation":"CPB","language":"english","author":[{"family":"Zhou","given":"Yaoyao"},{"family":"Zhang","given":"Tiantian"},{"family":"Wang","given":"Xiaofei"},{"family":"Wei","given":"Xiaowei"},{"family":"Chen","given":"Yizhu"},{"family":"Guo","given":"Lingyu"},{"family":"Zhang","given":"Junfeng"},{"family":"Wang","given":"Changqian"}],"issued":{"date-parts":[["2015"]]}}}],"schema":"https://github.com/citation-style-language/schema/raw/master/csl-citation.json"} </w:instrText>
      </w:r>
      <w:r>
        <w:fldChar w:fldCharType="separate"/>
      </w:r>
      <w:r w:rsidR="00A53A6B" w:rsidRPr="00A53A6B">
        <w:rPr>
          <w:rFonts w:ascii="Calibri" w:hAnsi="Calibri"/>
        </w:rPr>
        <w:t>(387,397)</w:t>
      </w:r>
      <w:r>
        <w:fldChar w:fldCharType="end"/>
      </w:r>
      <w:r>
        <w:t xml:space="preserve">. Moreover, ROS are closely linked to metabolism as they can be produced during normal oxidative phosphorylation </w:t>
      </w:r>
      <w:r>
        <w:fldChar w:fldCharType="begin"/>
      </w:r>
      <w:r w:rsidR="000A209C">
        <w:instrText xml:space="preserve"> ADDIN ZOTERO_ITEM CSL_CITATION {"citationID":"UbLrnN9M","properties":{"formattedCitation":"(392)","plainCitation":"(392)","noteIndex":0},"citationItems":[{"id":1604,"uris":["http://zotero.org/users/952979/items/C55L724W"],"uri":["http://zotero.org/users/952979/items/C55L724W"],"itemData":{"id":1604,"type":"article-journal","title":"Reactive oxygen species (ROS) homeostasis and redox regulation in cellular signaling","container-title":"Cellular signalling","page":"981-990","volume":"24","issue":"5","source":"PubMed Central","abstract":"Reactive oxygen species (ROS) are generated during mitochondrial oxidative metabolism as well as in cellular response to xenobiotics, cytokines, and bacterial invasion. Oxidative stress refers to the imbalance due to excess ROS or oxidants over the capability of the cell to mount an effective antioxidant response. Oxidative stress results in macromolecular damage and is implicated in various disease states such as atherosclerosis, diabetes, cancer, neurodegeneration, and aging. Paradoxically, accumulating evidence indicates that ROS also serve as critical signaling molecules in cell proliferation and survival. While there is a large body of research demonstrating the general effect of oxidative stress on signaling pathways, less is known about the initial and direct regulation of signaling molecules by ROS, or what we term the “oxidative interface.” Cellular ROS sensing and metabolism are tightly regulated by a variety of proteins involved in the redox (reduction/oxidation) mechanism. This review focuses on the molecular mechanisms through which ROS directly interact with critical signaling molecules to initiate signaling in a broad variety of cellular processes, such as proliferation and survival (MAP kinases, PI3 kinase, PTEN, and protein tyrosine phosphatases), ROS homeostasis and antioxidant gene regulation (thioredoxin, peroxiredoxin, Ref-1, and Nrf-2), mitochondrial oxidative stress, apoptosis, and aging (p66Shc), iron homeostasis through iron–sulfur cluster proteins (IRE–IRP), and ATM-regulated DNA damage response.","DOI":"10.1016/j.cellsig.2012.01.008","ISSN":"0898-6568","note":"PMID: 22286106\nPMCID: PMC3454471","journalAbbreviation":"Cell Signal","author":[{"family":"Ray","given":"Paul D."},{"family":"Huang","given":"Bo-Wen"},{"family":"Tsuji","given":"Yoshiaki"}],"issued":{"date-parts":[["2012",5]]}}}],"schema":"https://github.com/citation-style-language/schema/raw/master/csl-citation.json"} </w:instrText>
      </w:r>
      <w:r>
        <w:fldChar w:fldCharType="separate"/>
      </w:r>
      <w:r w:rsidR="00A53A6B" w:rsidRPr="00A53A6B">
        <w:rPr>
          <w:rFonts w:ascii="Calibri" w:hAnsi="Calibri"/>
        </w:rPr>
        <w:t>(392)</w:t>
      </w:r>
      <w:r>
        <w:fldChar w:fldCharType="end"/>
      </w:r>
      <w:r>
        <w:t xml:space="preserve">. </w:t>
      </w:r>
    </w:p>
    <w:p w14:paraId="25F30A4B" w14:textId="77777777" w:rsidR="004275D8" w:rsidRDefault="004275D8" w:rsidP="004275D8">
      <w:pPr>
        <w:pStyle w:val="Thesisnormal"/>
      </w:pPr>
    </w:p>
    <w:p w14:paraId="77DE9BEF" w14:textId="77777777" w:rsidR="004275D8" w:rsidRPr="004400B2" w:rsidRDefault="004275D8" w:rsidP="004275D8">
      <w:pPr>
        <w:pStyle w:val="Heading3"/>
      </w:pPr>
      <w:bookmarkStart w:id="169" w:name="_Toc4589338"/>
      <w:r>
        <w:t>4.1.3 Metabolism and macrophage polarisation</w:t>
      </w:r>
      <w:bookmarkEnd w:id="169"/>
    </w:p>
    <w:p w14:paraId="321124F9" w14:textId="77777777" w:rsidR="004275D8" w:rsidRDefault="004275D8" w:rsidP="004275D8">
      <w:pPr>
        <w:pStyle w:val="Thesisnormal"/>
      </w:pPr>
    </w:p>
    <w:p w14:paraId="56C435C1" w14:textId="25DF4889" w:rsidR="004275D8" w:rsidRDefault="004275D8" w:rsidP="004275D8">
      <w:pPr>
        <w:pStyle w:val="Thesisnormal"/>
      </w:pPr>
      <w:r>
        <w:t xml:space="preserve">One of the most recent discoveries in macrophage polarisation is the role of glucose metabolism </w:t>
      </w:r>
      <w:r>
        <w:fldChar w:fldCharType="begin"/>
      </w:r>
      <w:r w:rsidR="000A209C">
        <w:instrText xml:space="preserve"> ADDIN ZOTERO_ITEM CSL_CITATION {"citationID":"IQl41tLm","properties":{"formattedCitation":"(31,398)","plainCitation":"(31,398)","noteIndex":0},"citationItems":[{"id":1549,"uris":["http://zotero.org/users/952979/items/RIKJ5WC7"],"uri":["http://zotero.org/users/952979/items/RIKJ5WC7"],"itemData":{"id":1549,"type":"article-journal","title":"Metabolic reprogramming in macrophages and dendritic cells in innate immunity","container-title":"Cell Research","page":"771-784","volume":"25","issue":"7","source":"PubMed","abstract":"Activation of macrophages and dendritic cells (DCs) by pro-inflammatory stimuli causes them to undergo a metabolic switch towards glycolysis and away from oxidative phosphorylation (OXPHOS), similar to the Warburg effect in tumors. However, it is only recently that the mechanisms responsible for this metabolic reprogramming have been elucidated in more detail. The transcription factor hypoxia-inducible factor-1α (HIF-1α) plays an important role under conditions of both hypoxia and normoxia. The withdrawal of citrate from the tricarboxylic acid (TCA) cycle has been shown to be critical for lipid biosynthesis in both macrophages and DCs. Interference with this process actually abolishes the ability of DCs to activate T cells. Another TCA cycle intermediate, succinate, activates HIF-1α and promotes inflammatory gene expression. These new insights are providing us with a deeper understanding of the role of metabolic reprogramming in innate immunity.","DOI":"10.1038/cr.2015.68","ISSN":"1748-7838","note":"PMID: 26045163\nPMCID: PMC4493277","journalAbbreviation":"Cell Res.","language":"eng","author":[{"family":"Kelly","given":"Beth"},{"family":"O'Neill","given":"Luke A. J."}],"issued":{"date-parts":[["2015",7]]}}},{"id":1544,"uris":["http://zotero.org/users/952979/items/D75R9G85"],"uri":["http://zotero.org/users/952979/items/D75R9G85"],"itemData":{"id":1544,"type":"article-journal","title":"Macrophage Immunometabolism: Where Are We (Going)?","container-title":"Trends in Immunology","page":"395-406","volume":"38","issue":"6","source":"www.cell.com","DOI":"10.1016/j.it.2017.03.001","ISSN":"1471-4906, 1471-4981","note":"PMID: 28396078","shortTitle":"Macrophage Immunometabolism","journalAbbreviation":"Trends in Immunology","language":"English","author":[{"family":"Bossche","given":"Jan Van","dropping-particle":"den"},{"family":"O’Neill","given":"Luke A."},{"family":"Menon","given":"Deepthi"}],"issued":{"date-parts":[["2017",6,1]]}}}],"schema":"https://github.com/citation-style-language/schema/raw/master/csl-citation.json"} </w:instrText>
      </w:r>
      <w:r>
        <w:fldChar w:fldCharType="separate"/>
      </w:r>
      <w:r w:rsidR="004A1963" w:rsidRPr="004A1963">
        <w:rPr>
          <w:rFonts w:ascii="Calibri" w:hAnsi="Calibri"/>
        </w:rPr>
        <w:t>(31,398)</w:t>
      </w:r>
      <w:r>
        <w:fldChar w:fldCharType="end"/>
      </w:r>
      <w:r>
        <w:t xml:space="preserve">. Cells typically use glycolysis, the Krebs/tricarboxylic acid (TCA) Cycle and oxidative phosphorylation to derive energy from sugars and other metabolites </w:t>
      </w:r>
      <w:r>
        <w:fldChar w:fldCharType="begin"/>
      </w:r>
      <w:r w:rsidR="000A209C">
        <w:instrText xml:space="preserve"> ADDIN ZOTERO_ITEM CSL_CITATION {"citationID":"fGWPmYnw","properties":{"formattedCitation":"(399)","plainCitation":"(399)","noteIndex":0},"citationItems":[{"id":1613,"uris":["http://zotero.org/users/952979/items/PDC8ZX3U"],"uri":["http://zotero.org/users/952979/items/PDC8ZX3U"],"itemData":{"id":1613,"type":"article-journal","title":"A quick look at biochemistry: Carbohydrate metabolism","container-title":"Clinical Biochemistry","page":"1339-1352","volume":"46","issue":"15","source":"ScienceDirect","abstract":"In mammals, there are different metabolic pathways in cells that break down fuel molecules to transfer their energy into high energy compounds such as adenosine-5′-triphosphate (ATP), guanosine-5′-triphosphate (GTP), reduced nicotinamide adenine dinucleotide (NADH2), reduced flavin adenine dinucleotide (FADH2) and reduced nicotinamide adenine dinucleotide phosphate (NADPH2). This process is called cellular respiration. In carbohydrate metabolism, the breakdown starts from digestion of food in the gastrointestinal tract and is followed by absorption of carbohydrate components by the enterocytes in the form of monosaccharides. Monosaccharides are transferred to cells for aerobic and anaerobic respiration via glycolysis, citric acid cycle and pentose phosphate pathway to be used in the starvation state. In the normal state, the skeletal muscle and liver cells store monosaccharides in the form of glycogen. In the obesity state, the extra glucose is converted to triglycerides via lipogenesis and is stored in the lipid droplets of adipocytes. In the lipotoxicity state, the lipid droplets of other tissues such as the liver, skeletal muscle and pancreatic beta cells also accumulate triacylglycerol. This event is the axis of the pathogenesis of metabolic dysregulation in insulin resistance, metabolic syndrome and type 2 diabetes. In this paper a summary of the metabolism of carbohydrates is presented in a way that researchers can follow the biochemical processes easily.","DOI":"10.1016/j.clinbiochem.2013.04.027","ISSN":"0009-9120","shortTitle":"A quick look at biochemistry","journalAbbreviation":"Clinical Biochemistry","author":[{"family":"Dashty","given":"Monireh"}],"issued":{"date-parts":[["2013",10,1]]}}}],"schema":"https://github.com/citation-style-language/schema/raw/master/csl-citation.json"} </w:instrText>
      </w:r>
      <w:r>
        <w:fldChar w:fldCharType="separate"/>
      </w:r>
      <w:r w:rsidR="00A53A6B" w:rsidRPr="00A53A6B">
        <w:rPr>
          <w:rFonts w:ascii="Calibri" w:hAnsi="Calibri"/>
        </w:rPr>
        <w:t>(399)</w:t>
      </w:r>
      <w:r>
        <w:fldChar w:fldCharType="end"/>
      </w:r>
      <w:r>
        <w:t xml:space="preserve">. Glycolysis involves the uptake of glucose and subsequent processing to generate pyruvate. This is relatively inefficient for energy production but can produce energy at a quick rate. Pyruvate can be reduced to lactate, via lactate dehydrogenase, to maintain glycolytic flux, or converted to acetyl coenzyme-A </w:t>
      </w:r>
      <w:r w:rsidRPr="002231EA">
        <w:t>(acetyl-CoA</w:t>
      </w:r>
      <w:r>
        <w:t xml:space="preserve">), which enters the </w:t>
      </w:r>
      <w:r w:rsidRPr="002231EA">
        <w:t xml:space="preserve">TCA, with reducing equivalents used to generate ATP via </w:t>
      </w:r>
      <w:r>
        <w:t xml:space="preserve">mitochondrial oxidative phosphorylation. Fatty acid metabolism can provide an additional source of acetyl-CoA for the TCA </w:t>
      </w:r>
      <w:r>
        <w:fldChar w:fldCharType="begin"/>
      </w:r>
      <w:r w:rsidR="000A209C">
        <w:instrText xml:space="preserve"> ADDIN ZOTERO_ITEM CSL_CITATION {"citationID":"poje1PJd","properties":{"formattedCitation":"(399)","plainCitation":"(399)","noteIndex":0},"citationItems":[{"id":1613,"uris":["http://zotero.org/users/952979/items/PDC8ZX3U"],"uri":["http://zotero.org/users/952979/items/PDC8ZX3U"],"itemData":{"id":1613,"type":"article-journal","title":"A quick look at biochemistry: Carbohydrate metabolism","container-title":"Clinical Biochemistry","page":"1339-1352","volume":"46","issue":"15","source":"ScienceDirect","abstract":"In mammals, there are different metabolic pathways in cells that break down fuel molecules to transfer their energy into high energy compounds such as adenosine-5′-triphosphate (ATP), guanosine-5′-triphosphate (GTP), reduced nicotinamide adenine dinucleotide (NADH2), reduced flavin adenine dinucleotide (FADH2) and reduced nicotinamide adenine dinucleotide phosphate (NADPH2). This process is called cellular respiration. In carbohydrate metabolism, the breakdown starts from digestion of food in the gastrointestinal tract and is followed by absorption of carbohydrate components by the enterocytes in the form of monosaccharides. Monosaccharides are transferred to cells for aerobic and anaerobic respiration via glycolysis, citric acid cycle and pentose phosphate pathway to be used in the starvation state. In the normal state, the skeletal muscle and liver cells store monosaccharides in the form of glycogen. In the obesity state, the extra glucose is converted to triglycerides via lipogenesis and is stored in the lipid droplets of adipocytes. In the lipotoxicity state, the lipid droplets of other tissues such as the liver, skeletal muscle and pancreatic beta cells also accumulate triacylglycerol. This event is the axis of the pathogenesis of metabolic dysregulation in insulin resistance, metabolic syndrome and type 2 diabetes. In this paper a summary of the metabolism of carbohydrates is presented in a way that researchers can follow the biochemical processes easily.","DOI":"10.1016/j.clinbiochem.2013.04.027","ISSN":"0009-9120","shortTitle":"A quick look at biochemistry","journalAbbreviation":"Clinical Biochemistry","author":[{"family":"Dashty","given":"Monireh"}],"issued":{"date-parts":[["2013",10,1]]}}}],"schema":"https://github.com/citation-style-language/schema/raw/master/csl-citation.json"} </w:instrText>
      </w:r>
      <w:r>
        <w:fldChar w:fldCharType="separate"/>
      </w:r>
      <w:r w:rsidR="00A53A6B" w:rsidRPr="00A53A6B">
        <w:rPr>
          <w:rFonts w:ascii="Calibri" w:hAnsi="Calibri"/>
        </w:rPr>
        <w:t>(399)</w:t>
      </w:r>
      <w:r>
        <w:fldChar w:fldCharType="end"/>
      </w:r>
      <w:r>
        <w:t xml:space="preserve">. Oxidative phosphorylation is slower than glycolysis, but yields more energy and is used in cells with high-energy requirements. The enzymes and products of glucose metabolism have recently been discovered to have a wide array of additional functions in immune programming </w:t>
      </w:r>
      <w:r>
        <w:fldChar w:fldCharType="begin"/>
      </w:r>
      <w:r w:rsidR="000A209C">
        <w:instrText xml:space="preserve"> ADDIN ZOTERO_ITEM CSL_CITATION {"citationID":"tr5B4Mvm","properties":{"formattedCitation":"(28,35,400)","plainCitation":"(28,35,400)","noteIndex":0},"citationItems":[{"id":1608,"uris":["http://zotero.org/users/952979/items/SRYYH7U4"],"uri":["http://zotero.org/users/952979/items/SRYYH7U4"],"itemData":{"id":1608,"type":"article-journal","title":"Pyruvate kinase M2 regulates Hif-1α activity and IL-1β induction and is a critical determinant of the warburg effect in LPS-activated macrophages","container-title":"Cell Metabolism","page":"65-80","volume":"21","issue":"1","source":"PubMed","abstract":"Macrophages activated by the TLR4 agonist LPS undergo dramatic changes in their metabolic activity. We here show that LPS induces expression of the key metabolic regulator Pyruvate Kinase M2 (PKM2). Activation of PKM2 using two well-characterized small molecules, DASA-58 and TEPP-46, inhibited LPS-induced Hif-1α and IL-1β, as well as the expression of a range of other Hif-1α-dependent genes. Activation of PKM2 attenuated an LPS-induced proinflammatory M1 macrophage phenotype while promoting traits typical of an M2 macrophage. We show that LPS-induced PKM2 enters into a complex with Hif-1α, which can directly bind to the IL-1β promoter, an event that is inhibited by activation of PKM2. Both compounds inhibited LPS-induced glycolytic reprogramming and succinate production. Finally, activation of PKM2 by TEPP-46 in vivo inhibited LPS and Salmonella typhimurium-induced IL-1β production, while boosting production of IL-10. PKM2 is therefore a critical determinant of macrophage activation by LPS, promoting the inflammatory response.","DOI":"10.1016/j.cmet.2014.12.005","ISSN":"1932-7420","note":"PMID: 25565206\nPMCID: PMC5198835","journalAbbreviation":"Cell Metab.","language":"eng","author":[{"family":"Palsson-McDermott","given":"Eva M."},{"family":"Curtis","given":"Anne M."},{"family":"Goel","given":"Gautam"},{"family":"Lauterbach","given":"Mario A. R."},{"family":"Sheedy","given":"Frederick J."},{"family":"Gleeson","given":"Laura E."},{"family":"Bosch","given":"Mirjam W. M.","non-dropping-particle":"van den"},{"family":"Quinn","given":"Susan R."},{"family":"Domingo-Fernandez","given":"Raquel"},{"family":"Johnston","given":"Daniel G. W."},{"family":"Jiang","given":"Jian-Kang"},{"family":"Jiang","given":"Jain-Kang"},{"family":"Israelsen","given":"William J."},{"family":"Keane","given":"Joseph"},{"family":"Thomas","given":"Craig"},{"family":"Clish","given":"Clary"},{"family":"Vander Heiden","given":"Matthew"},{"family":"Vanden Heiden","given":"Matthew"},{"family":"Xavier","given":"Ramnik J."},{"family":"O'Neill","given":"Luke A. J."}],"issued":{"date-parts":[["2015",1,6]]}}},{"id":1663,"uris":["http://zotero.org/users/952979/items/R4S8BI58"],"uri":["http://zotero.org/users/952979/items/R4S8BI58"],"itemData":{"id":1663,"type":"article-journal","title":"Itaconate is an anti-inflammatory metabolite that activates Nrf2 via alkylation of KEAP1","container-title":"Nature","page":"113-117","volume":"556","issue":"7699","source":"www.nature.com","abstract":"The endogenous metabolite itaconate has recently emerged as a regulator of macrophage function, but its precise mechanism of action remains poorly understood1,2,3. Here we show that itaconate is required for the activation of the anti-inflammatory transcription factor Nrf2 (also known as NFE2L2) by lipopolysaccharide in mouse and human macrophages. We find that itaconate directly modifies proteins via alkylation of cysteine residues. Itaconate alkylates cysteine residues 151, 257, 288, 273 and 297 on the protein KEAP1, enabling Nrf2 to increase the expression of downstream genes with anti-oxidant and anti-inflammatory capacities. The activation of Nrf2 is required for the anti-inflammatory action of itaconate. We describe the use of a new cell-permeable itaconate derivative, 4-octyl itaconate, which is protective against lipopolysaccharide-induced lethality in vivo and decreases cytokine production. We show that type I interferons boost the expression of Irg1 (also known as Acod1) and itaconate production. Furthermore, we find that itaconate production limits the type I interferon response, indicating a negative feedback loop that involves interferons and itaconate. Our findings demonstrate that itaconate is a crucial anti-inflammatory metabolite that acts via Nrf2 to limit inflammation and modulate type I interferons.","DOI":"10.1038/nature25986","ISSN":"1476-4687","language":"en","author":[{"family":"Mills","given":"Evanna L."},{"family":"Ryan","given":"Dylan G."},{"family":"Prag","given":"Hiran A."},{"family":"Dikovskaya","given":"Dina"},{"family":"Menon","given":"Deepthi"},{"family":"Zaslona","given":"Zbigniew"},{"family":"Jedrychowski","given":"Mark P."},{"family":"Costa","given":"Ana S. H."},{"family":"Higgins","given":"Maureen"},{"family":"Hams","given":"Emily"},{"family":"Szpyt","given":"John"},{"family":"Runtsch","given":"Marah C."},{"family":"King","given":"Martin S."},{"family":"McGouran","given":"Joanna F."},{"family":"Fischer","given":"Roman"},{"family":"Kessler","given":"Benedikt M."},{"family":"McGettrick","given":"Anne F."},{"family":"Hughes","given":"Mark M."},{"family":"Carroll","given":"Richard G."},{"family":"Booty","given":"Lee M."},{"family":"Knatko","given":"Elena V."},{"family":"Meakin","given":"Paul J."},{"family":"Ashford","given":"Michael L. J."},{"family":"Modis","given":"Louise K."},{"family":"Brunori","given":"Gino"},{"family":"Sévin","given":"Daniel C."},{"family":"Fallon","given":"Padraic G."},{"family":"Caldwell","given":"Stuart T."},{"family":"Kunji","given":"Edmund R. S."},{"family":"Chouchani","given":"Edward T."},{"family":"Frezza","given":"Christian"},{"family":"Dinkova-Kostova","given":"Albena T."},{"family":"Hartley","given":"Richard C."},{"family":"Murphy","given":"Michael P."},{"family":"O’Neill","given":"Luke A."}],"issued":{"date-parts":[["2018",4]]}}},{"id":1648,"uris":["http://zotero.org/users/952979/items/4CQXZFAC"],"uri":["http://zotero.org/users/952979/items/4CQXZFAC"],"itemData":{"id":1648,"type":"article-journal","title":"Succinate is an inflammatory signal that induces IL-1β through HIF-1α","container-title":"Nature","page":"238-242","volume":"496","issue":"7444","source":"PubMed","abstract":"Macrophages activated by the Gram-negative bacterial product lipopolysaccharide switch their core metabolism from oxidative phosphorylation to glycolysis. Here we show that inhibition of glycolysis with 2-deoxyglucose suppresses lipopolysaccharide-induced interleukin-1β but not tumour-necrosis factor-α in mouse macrophages. A comprehensive metabolic map of lipopolysaccharide-activated macrophages shows upregulation of glycolytic and downregulation of mitochondrial genes, which correlates directly with the expression profiles of altered metabolites. Lipopolysaccharide strongly increases the levels of the tricarboxylic-acid cycle intermediate succinate. Glutamine-dependent anerplerosis is the principal source of succinate, although the 'GABA (γ-aminobutyric acid) shunt' pathway also has a role. Lipopolysaccharide-induced succinate stabilizes hypoxia-inducible factor-1α, an effect that is inhibited by 2-deoxyglucose, with interleukin-1β as an important target. Lipopolysaccharide also increases succinylation of several proteins. We therefore identify succinate as a metabolite in innate immune signalling, which enhances interleukin-1β production during inflammation.","DOI":"10.1038/nature11986","ISSN":"1476-4687","note":"PMID: 23535595\nPMCID: PMC4031686","journalAbbreviation":"Nature","language":"eng","author":[{"family":"Tannahill","given":"G. M."},{"family":"Curtis","given":"A. M."},{"family":"Adamik","given":"J."},{"family":"Palsson-McDermott","given":"E. M."},{"family":"McGettrick","given":"A. F."},{"family":"Goel","given":"G."},{"family":"Frezza","given":"C."},{"family":"Bernard","given":"N. J."},{"family":"Kelly","given":"B."},{"family":"Foley","given":"N. H."},{"family":"Zheng","given":"L."},{"family":"Gardet","given":"A."},{"family":"Tong","given":"Z."},{"family":"Jany","given":"S. S."},{"family":"Corr","given":"S. C."},{"family":"Haneklaus","given":"M."},{"family":"Caffrey","given":"B. E."},{"family":"Pierce","given":"K."},{"family":"Walmsley","given":"S."},{"family":"Beasley","given":"F. C."},{"family":"Cummins","given":"E."},{"family":"Nizet","given":"V."},{"family":"Whyte","given":"M."},{"family":"Taylor","given":"C. T."},{"family":"Lin","given":"H."},{"family":"Masters","given":"S. L."},{"family":"Gottlieb","given":"E."},{"family":"Kelly","given":"V. P."},{"family":"Clish","given":"C."},{"family":"Auron","given":"P. E."},{"family":"Xavier","given":"R. J."},{"family":"O'Neill","given":"L. a. J."}],"issued":{"date-parts":[["2013",4,11]]}}}],"schema":"https://github.com/citation-style-language/schema/raw/master/csl-citation.json"} </w:instrText>
      </w:r>
      <w:r>
        <w:fldChar w:fldCharType="separate"/>
      </w:r>
      <w:r w:rsidR="004A1963" w:rsidRPr="004A1963">
        <w:rPr>
          <w:rFonts w:ascii="Calibri" w:hAnsi="Calibri"/>
        </w:rPr>
        <w:t>(28,35,400)</w:t>
      </w:r>
      <w:r>
        <w:fldChar w:fldCharType="end"/>
      </w:r>
      <w:r>
        <w:t xml:space="preserve">. </w:t>
      </w:r>
    </w:p>
    <w:p w14:paraId="404F0A06" w14:textId="77777777" w:rsidR="004275D8" w:rsidRDefault="004275D8" w:rsidP="004275D8">
      <w:pPr>
        <w:pStyle w:val="Thesisnormal"/>
      </w:pPr>
    </w:p>
    <w:p w14:paraId="33406B03" w14:textId="03CBD256" w:rsidR="004275D8" w:rsidRPr="008C549B" w:rsidRDefault="004275D8" w:rsidP="004275D8">
      <w:pPr>
        <w:pStyle w:val="Thesisnormal"/>
      </w:pPr>
      <w:r>
        <w:t xml:space="preserve">During homeostasis, macrophages perform oxidative phosphorylation which can be altered during activation </w:t>
      </w:r>
      <w:r>
        <w:fldChar w:fldCharType="begin"/>
      </w:r>
      <w:r w:rsidR="000A209C">
        <w:instrText xml:space="preserve"> ADDIN ZOTERO_ITEM CSL_CITATION {"citationID":"yrIKicJX","properties":{"formattedCitation":"(57,58)","plainCitation":"(57,58)","noteIndex":0},"citationItems":[{"id":1643,"uris":["http://zotero.org/users/952979/items/IREFDDFE"],"uri":["http://zotero.org/users/952979/items/IREFDDFE"],"itemData":{"id":1643,"type":"article-journal","title":"Metabolic Pathways In Immune Cell Activation And Quiescence","container-title":"Immunity","page":"633-643","volume":"38","issue":"4","source":"PubMed Central","abstract":"Studies of immune system metabolism (“immunometabolism”) segregate along two paths. The first investigates the effects of immune cells on organs that regulate whole body metabolism, such as adipose tissue and liver. The second explores the role of metabolic pathways within immune cells and how this regulates immune response outcome. Distinct metabolic pathways diverge and converge at many levels and cells therefore face choices in how to achieve their metabolic goals. There is interest in fully understanding how and why immune cells commit to particular metabolic fates, and in elucidating the immunologic consequences of reaching a metabolic endpoint by one pathway versus another. This is particularly intriguing since metabolic commitment is influenced not only by substrate availability, but also by signaling pathways elicited by metabolites. Thus metabolic choices in cells enforce fate and function and this area will be the subject of this review.","DOI":"10.1016/j.immuni.2013.04.005","ISSN":"1074-7613","note":"PMID: 23601682\nPMCID: PMC3654249","journalAbbreviation":"Immunity","author":[{"family":"Pearce","given":"Erika L."},{"family":"Pearce","given":"Edward J."}],"issued":{"date-parts":[["2013",4,18]]}}},{"id":1522,"uris":["http://zotero.org/users/952979/items/GZRXNXN9"],"uri":["http://zotero.org/users/952979/items/GZRXNXN9"],"itemData":{"id":1522,"type":"article-journal","title":"Reprogramming mitochondrial metabolism in macrophages as an anti-inflammatory signal","container-title":"European Journal of Immunology","page":"13-21","volume":"46","issue":"1","source":"PubMed","abstract":"Mitochondria are master regulators of metabolism. Mitochondria generate ATP by oxidative phosphorylation using pyruvate (derived from glucose and glycolysis) and fatty acids (FAs), both of which are oxidized in the Krebs cycle, as fuel sources. Mitochondria are also an important source of reactive oxygen species (ROS), creating oxidative stress in various contexts, including in the response to bacterial infection. Recently, complex changes in mitochondrial metabolism have been characterized in mouse macrophages in response to varying stimuli in vitro. In LPS and IFN-γ-activated macrophages (M1 macrophages), there is decreased respiration and a broken Krebs cycle, leading to accumulation of succinate and citrate, which act as signals to alter immune function. In IL-4-activated macrophages (M2 macrophages), the Krebs cycle and oxidative phosphorylation are intact and fatty acid oxidation (FAO) is also utilized. These metabolic alterations in response to the nature of the stimulus are proving to be determinants of the effector functions of M1 and M2 macrophages. Furthermore, reprogramming of macrophages from M1 to M2 can be achieved by targeting metabolic events. Here, we describe the role that metabolism plays in macrophage function in infection and immunity, and propose that reprogramming with metabolic inhibitors might be a novel therapeutic approach for the treatment of inflammatory diseases.","DOI":"10.1002/eji.201445427","ISSN":"1521-4141","note":"PMID: 26643360","journalAbbreviation":"Eur. J. Immunol.","language":"eng","author":[{"family":"Mills","given":"Evanna L."},{"family":"O'Neill","given":"Luke A."}],"issued":{"date-parts":[["2016",1]]}}}],"schema":"https://github.com/citation-style-language/schema/raw/master/csl-citation.json"} </w:instrText>
      </w:r>
      <w:r>
        <w:fldChar w:fldCharType="separate"/>
      </w:r>
      <w:r w:rsidR="004A1963" w:rsidRPr="004A1963">
        <w:rPr>
          <w:rFonts w:ascii="Calibri" w:hAnsi="Calibri"/>
        </w:rPr>
        <w:t>(57,58)</w:t>
      </w:r>
      <w:r>
        <w:fldChar w:fldCharType="end"/>
      </w:r>
      <w:r>
        <w:t xml:space="preserve">. Upon exposure to an M2-stimulus (such as apoptotic cells), macrophages increase the rate of fatty acid oxidation, and therefore the amount of oxidative phosphorylation </w:t>
      </w:r>
      <w:r>
        <w:fldChar w:fldCharType="begin"/>
      </w:r>
      <w:r w:rsidR="000A209C">
        <w:instrText xml:space="preserve"> ADDIN ZOTERO_ITEM CSL_CITATION {"citationID":"j1xPuwkM","properties":{"formattedCitation":"(54)","plainCitation":"(54)","noteIndex":0},"citationItems":[{"id":42,"uris":["http://zotero.org/users/952979/items/VL6GI5A7"],"uri":["http://zotero.org/users/952979/items/VL6GI5A7"],"itemData":{"id":42,"type":"article-journal","title":"Efferocytosis Fuels Requirements of Fatty Acid Oxidation and the Electron Transport Chain to Polarize Macrophages for Tissue Repair","container-title":"Cell Metabolism","source":"ScienceDirect","abstract":"Summary\nDuring wound injury, efferocytosis fills the macrophage with a metabolite load nearly equal to the phagocyte itself. A timely question pertains to how metabolic phagocytic signaling regulates the signature anti-inflammatory macrophage response. Here we report the metabolome of activated macrophages during efferocytosis to reveal an interleukin-10 (IL-10) cytokine escalation that was independent of glycolysis yet bolstered by apoptotic cell fatty acids and mitochondrial β-oxidation, the electron transport chain, and heightened coenzyme NAD+. Loss of IL-10 due to mitochondrial complex III defects was remarkably rescued by adding NAD+ precursors. This activated a SIRTUIN1 signaling cascade, largely independent of ATP, that culminated in activation of IL-10 transcription factor PBX1. Il-10 activation by the respiratory chain was also important in vivo, as efferocyte mitochondrial dysfunction led to cardiac rupture after myocardial injury. These findings highlight a new paradigm whereby macrophages leverage efferocytic metabolites and electron transport for anti-inflammatory reprogramming that culminates in organ repair.","URL":"http://www.sciencedirect.com/science/article/pii/S1550413118307411","DOI":"10.1016/j.cmet.2018.12.004","ISSN":"1550-4131","journalAbbreviation":"Cell Metabolism","author":[{"family":"Zhang","given":"Shuang"},{"family":"Weinberg","given":"Samuel"},{"family":"DeBerge","given":"Matthew"},{"family":"Gainullina","given":"Anastasiia"},{"family":"Schipma","given":"Matthew"},{"family":"Kinchen","given":"Jason M."},{"family":"Ben-Sahra","given":"Issam"},{"family":"Gius","given":"David R."},{"family":"Charvet","given":"Laurent Yvan-"},{"family":"Chandel","given":"Navdeep S."},{"family":"Schumacker","given":"Paul T."},{"family":"Thorp","given":"Edward B."}],"issued":{"date-parts":[["2018",12,27]]},"accessed":{"date-parts":[["2019",1,8]]}}}],"schema":"https://github.com/citation-style-language/schema/raw/master/csl-citation.json"} </w:instrText>
      </w:r>
      <w:r>
        <w:fldChar w:fldCharType="separate"/>
      </w:r>
      <w:r w:rsidR="004A1963" w:rsidRPr="004A1963">
        <w:rPr>
          <w:rFonts w:ascii="Calibri" w:hAnsi="Calibri"/>
        </w:rPr>
        <w:t>(54)</w:t>
      </w:r>
      <w:r>
        <w:fldChar w:fldCharType="end"/>
      </w:r>
      <w:r>
        <w:t xml:space="preserve">. Further evidence for this was gained from RNAseq investigations which found that during efferocytosis, phagocytes upregulate expression of various solute carrier membrane transport proteins involved in glucose uptake, such as SLC2A1 </w:t>
      </w:r>
      <w:r>
        <w:fldChar w:fldCharType="begin"/>
      </w:r>
      <w:r w:rsidR="000A209C">
        <w:instrText xml:space="preserve"> ADDIN ZOTERO_ITEM CSL_CITATION {"citationID":"xKN8K5x4","properties":{"formattedCitation":"(375)","plainCitation":"(375)","noteIndex":0},"citationItems":[{"id":1775,"uris":["http://zotero.org/users/952979/items/JAWFGTNF"],"uri":["http://zotero.org/users/952979/items/JAWFGTNF"],"itemData":{"id":1775,"type":"article-journal","title":"Efferocytosis induces a novel SLC program to promote glucose uptake and lactate release","container-title":"Nature","page":"714-718","volume":"563","issue":"7733","source":"PubMed","abstract":"Development and routine tissue homeostasis require a high turnover of apoptotic cells. These cells are removed by professional and non-professional phagocytes via efferocytosis1. How a phagocyte maintains its homeostasis while coordinating corpse uptake, processing ingested materials and secreting anti-inflammatory mediators is incompletely understood1,2. Here, using RNA sequencing to characterize the transcriptional program of phagocytes actively engulfing apoptotic cells, we identify a genetic signature involving 33 members of the solute carrier (SLC) family of membrane transport proteins, in which expression is specifically modulated during efferocytosis, but not during antibody-mediated phagocytosis. We assessed the functional relevance of these SLCs in efferocytic phagocytes and observed a robust induction of an aerobic glycolysis program, initiated by SLC2A1-mediated glucose uptake, with concurrent suppression of the oxidative phosphorylation program. The different steps of phagocytosis2-that is, 'smell' ('find-me' signals or sensing factors released by apoptotic cells), 'taste' (phagocyte-apoptotic cell contact) and 'ingestion' (corpse internalization)-activated distinct and overlapping sets of genes, including several SLC genes, to promote glycolysis. SLC16A1 was upregulated after corpse uptake, increasing the release of lactate, a natural by-product of aerobic glycolysis3. Whereas glycolysis within phagocytes contributed to actin polymerization and the continued uptake of corpses, lactate released via SLC16A1 promoted the establishment of an anti-inflammatory tissue environment. Collectively, these data reveal a SLC program that is activated during efferocytosis, identify a previously unknown reliance on aerobic glycolysis during apoptotic cell uptake and show that glycolytic by-products of efferocytosis can influence surrounding cells.","DOI":"10.1038/s41586-018-0735-5","ISSN":"1476-4687","note":"PMID: 30464343\nPMCID: PMC6331005","journalAbbreviation":"Nature","language":"eng","author":[{"family":"Morioka","given":"Sho"},{"family":"Perry","given":"Justin S. A."},{"family":"Raymond","given":"Michael H."},{"family":"Medina","given":"Christopher B."},{"family":"Zhu","given":"Yunlu"},{"family":"Zhao","given":"Liyang"},{"family":"Serbulea","given":"Vlad"},{"family":"Onengut-Gumuscu","given":"Suna"},{"family":"Leitinger","given":"Norbert"},{"family":"Kucenas","given":"Sarah"},{"family":"Rathmell","given":"Jeffrey C."},{"family":"Makowski","given":"Liza"},{"family":"Ravichandran","given":"Kodi S."}],"issued":{"date-parts":[["2018"]]}}}],"schema":"https://github.com/citation-style-language/schema/raw/master/csl-citation.json"} </w:instrText>
      </w:r>
      <w:r>
        <w:fldChar w:fldCharType="separate"/>
      </w:r>
      <w:r w:rsidR="00A53A6B" w:rsidRPr="00A53A6B">
        <w:rPr>
          <w:rFonts w:ascii="Calibri" w:hAnsi="Calibri"/>
        </w:rPr>
        <w:t>(375)</w:t>
      </w:r>
      <w:r>
        <w:fldChar w:fldCharType="end"/>
      </w:r>
      <w:r>
        <w:t xml:space="preserve">. In contrast, M1-stimulated macrophages prioritise glycolysis and demonstrate multiple disruptions within the TCA cycle </w:t>
      </w:r>
      <w:r>
        <w:fldChar w:fldCharType="begin"/>
      </w:r>
      <w:r w:rsidR="000A209C">
        <w:instrText xml:space="preserve"> ADDIN ZOTERO_ITEM CSL_CITATION {"citationID":"VXLS4Kmu","properties":{"formattedCitation":"(391)","plainCitation":"(391)","noteIndex":0},"citationItems":[{"id":1661,"uris":["http://zotero.org/users/952979/items/I6CH7N6U"],"uri":["http://zotero.org/users/952979/items/I6CH7N6U"],"itemData":{"id":1661,"type":"article-journal","title":"Immunometabolism governs dendritic cell and macrophage function","container-title":"The Journal of Experimental Medicine","page":"15-23","volume":"213","issue":"1","source":"PubMed","abstract":"Recent studies on intracellular metabolism in dendritic cells (DCs) and macrophages provide new insights on the functioning of these critical controllers of innate and adaptive immunity. Both cell types undergo profound metabolic reprogramming in response to environmental cues, such as hypoxia or nutrient alterations, but importantly also in response to danger signals and cytokines. Metabolites such as succinate and citrate have a direct impact on the functioning of macrophages. Immunogenicity and tolerogenicity of DCs is also determined by anabolic and catabolic processes, respectively. These findings provide new prospects for therapeutic manipulation in inflammatory diseases and cancer.","DOI":"10.1084/jem.20151570","ISSN":"1540-9538","note":"PMID: 26694970\nPMCID: PMC4710204","journalAbbreviation":"J. Exp. Med.","language":"eng","author":[{"family":"O'Neill","given":"Luke A. J."},{"family":"Pearce","given":"Edward J."}],"issued":{"date-parts":[["2016",1,11]]}}}],"schema":"https://github.com/citation-style-language/schema/raw/master/csl-citation.json"} </w:instrText>
      </w:r>
      <w:r>
        <w:fldChar w:fldCharType="separate"/>
      </w:r>
      <w:r w:rsidR="00A53A6B" w:rsidRPr="00A53A6B">
        <w:rPr>
          <w:rFonts w:ascii="Calibri" w:hAnsi="Calibri"/>
        </w:rPr>
        <w:t>(391)</w:t>
      </w:r>
      <w:r>
        <w:fldChar w:fldCharType="end"/>
      </w:r>
      <w:r>
        <w:t xml:space="preserve">. The first such break-point is the accumulation of citrate due to an overexpression of isocitrate dehydrogenase. Citrate accumulation can increase NO production in addition to itaconate, an antimicrobial product </w:t>
      </w:r>
      <w:r>
        <w:fldChar w:fldCharType="begin"/>
      </w:r>
      <w:r w:rsidR="000A209C">
        <w:instrText xml:space="preserve"> ADDIN ZOTERO_ITEM CSL_CITATION {"citationID":"Uc2YHis0","properties":{"formattedCitation":"(32,33)","plainCitation":"(32,33)","noteIndex":0},"citationItems":[{"id":1548,"uris":["http://zotero.org/users/952979/items/BIQ3JS46"],"uri":["http://zotero.org/users/952979/items/BIQ3JS46"],"itemData":{"id":1548,"type":"article-journal","title":"Network Integration of Parallel Metabolic and Transcriptional Data Reveals Metabolic Modules that Regulate Macrophage Polarization","container-title":"Immunity","page":"419-430","volume":"42","issue":"3","source":"www.cell.com","DOI":"10.1016/j.immuni.2015.02.005","ISSN":"1074-7613","note":"PMID: 25786174","journalAbbreviation":"Immunity","language":"English","author":[{"family":"Jha","given":"Abhishek K."},{"family":"Huang","given":"Stanley Ching-Cheng"},{"family":"Sergushichev","given":"Alexey"},{"family":"Lampropoulou","given":"Vicky"},{"family":"Ivanova","given":"Yulia"},{"family":"Loginicheva","given":"Ekaterina"},{"family":"Chmielewski","given":"Karina"},{"family":"Stewart","given":"Kelly M."},{"family":"Ashall","given":"Juliet"},{"family":"Everts","given":"Bart"},{"family":"Pearce","given":"Edward J."},{"family":"Driggers","given":"Edward M."},{"family":"Artyomov","given":"Maxim N."}],"issued":{"date-parts":[["2015",3,17]]}}},{"id":1547,"uris":["http://zotero.org/users/952979/items/JJB2QZZK"],"uri":["http://zotero.org/users/952979/items/JJB2QZZK"],"itemData":{"id":1547,"type":"article-journal","title":"Mitochondria are the powerhouses of immunity","container-title":"Nature Immunology","page":"488-498","volume":"18","issue":"5","source":"www.nature.com","abstract":"Recent evidence indicates that mitochondria lie at the heart of immunity. Mitochondrial DNA acts as a danger-associated molecular pattern (DAMP), and the mitochondrial outer membrane is a platform for signaling molecules such as MAVS in RIG-I signaling, and for the NLRP3 inflammasome. Mitochondrial biogenesis, fusion and fission have roles in aspects of immune-cell activation. Most important, Krebs cycle intermediates such as succinate, fumarate and citrate engage in processes related to immunity and inflammation, in both innate and adaptive immune cells. These discoveries are revealing mitochondrial targets that could potentially be exploited for therapeutic gain in inflammation and cancer.\nView full text","DOI":"10.1038/ni.3704","ISSN":"1529-2908","journalAbbreviation":"Nat Immunol","language":"en","author":[{"family":"Mills","given":"Evanna L."},{"family":"Kelly","given":"Beth"},{"family":"O'Neill","given":"Luke A. J."}],"issued":{"date-parts":[["2017",5]]}}}],"schema":"https://github.com/citation-style-language/schema/raw/master/csl-citation.json"} </w:instrText>
      </w:r>
      <w:r>
        <w:fldChar w:fldCharType="separate"/>
      </w:r>
      <w:r w:rsidR="004A1963" w:rsidRPr="004A1963">
        <w:rPr>
          <w:rFonts w:ascii="Calibri" w:hAnsi="Calibri"/>
        </w:rPr>
        <w:t>(32,33)</w:t>
      </w:r>
      <w:r>
        <w:fldChar w:fldCharType="end"/>
      </w:r>
      <w:r>
        <w:t xml:space="preserve">. The second break-point </w:t>
      </w:r>
      <w:r>
        <w:lastRenderedPageBreak/>
        <w:t>in the TCA cycle is caused by increased expression of succinate dehydrogenase (</w:t>
      </w:r>
      <w:r w:rsidRPr="002231EA">
        <w:t>Sdh</w:t>
      </w:r>
      <w:r>
        <w:t xml:space="preserve">); this results in an accumulation of succinate, which can induce IL-1β and lead to an accrual of HIF-1α </w:t>
      </w:r>
      <w:r>
        <w:fldChar w:fldCharType="begin"/>
      </w:r>
      <w:r w:rsidR="000A209C">
        <w:instrText xml:space="preserve"> ADDIN ZOTERO_ITEM CSL_CITATION {"citationID":"p0f4kaIl","properties":{"formattedCitation":"(34)","plainCitation":"(34)","noteIndex":0},"citationItems":[{"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A."}],"issued":{"date-parts":[["2016",10,6]]}}}],"schema":"https://github.com/citation-style-language/schema/raw/master/csl-citation.json"} </w:instrText>
      </w:r>
      <w:r>
        <w:fldChar w:fldCharType="separate"/>
      </w:r>
      <w:r w:rsidR="004A1963" w:rsidRPr="004A1963">
        <w:rPr>
          <w:rFonts w:ascii="Calibri" w:hAnsi="Calibri"/>
        </w:rPr>
        <w:t>(34)</w:t>
      </w:r>
      <w:r>
        <w:fldChar w:fldCharType="end"/>
      </w:r>
      <w:r>
        <w:t xml:space="preserve">. In addition to TCA cycle disruption, M1 macrophages promote the pentose phosphate pathway which utilises intermediates from glycolysis to nucleotides and amino acids involved in cellular proliferation </w:t>
      </w:r>
      <w:r>
        <w:fldChar w:fldCharType="begin"/>
      </w:r>
      <w:r w:rsidR="000A209C">
        <w:instrText xml:space="preserve"> ADDIN ZOTERO_ITEM CSL_CITATION {"citationID":"h1ctZaAe","properties":{"formattedCitation":"(38)","plainCitation":"(38)","noteIndex":0},"citationItems":[{"id":1673,"uris":["http://zotero.org/users/952979/items/2VQ8EBUE"],"uri":["http://zotero.org/users/952979/items/2VQ8EBUE"],"itemData":{"id":1673,"type":"article-journal","title":"The Sedoheptulose Kinase CARKL Directs Macrophage Polarization through Control of Glucose Metabolism","container-title":"Cell Metabolism","page":"813-826","volume":"15","issue":"6","source":"PubMed Central","abstract":"Immune cells are somewhat unique in that activation responses can alter quantitative phenotypes upwards of 100,000-fold. To date little is known about the metabolic adaptations necessary to mount such dramatic phenotypic shifts. Screening for novel regulators of macrophage activation, we found nonprotein kinases of glucose metabolism among the most enriched classes of candidate immune modulators. We find that one of these, the carbohydrate kinase-like protein CARKL, is rapidly downregulated in vitro and in vivo upon LPS stimulation in both mice and humans. Interestingly, CARKL catalyzes an orphan reaction in the pentose phosphate pathway, refocusing cellular metabolism to a high-redox state upon physiological or artificial downregulation. We find that CARKL-dependent metabolic reprogramming is required for proper M1- and M2-like macrophage polarization and uncover a rate-limiting requirement for appropriate glucose flux in macrophage polarization.","DOI":"10.1016/j.cmet.2012.04.023","ISSN":"1550-4131","note":"PMID: 22682222\nPMCID: PMC3370649","journalAbbreviation":"Cell Metab","author":[{"family":"Haschemi","given":"Arvand"},{"family":"Kosma","given":"Paul"},{"family":"Gille","given":"Lars"},{"family":"Evans","given":"Charles R."},{"family":"Burant","given":"Charles F."},{"family":"Starkl","given":"Philipp"},{"family":"Knapp","given":"Bernhard"},{"family":"Haas","given":"Robert"},{"family":"Schmid","given":"Johannes A."},{"family":"Jandl","given":"Christoph"},{"family":"Amir","given":"Shahzada"},{"family":"Lubec","given":"Gert"},{"family":"Park","given":"Jaehong"},{"family":"Esterbauer","given":"Harald"},{"family":"Bilban","given":"Martin"},{"family":"Brizuela","given":"Leonardo"},{"family":"Pospisilik","given":"J. Andrew"},{"family":"Otterbein","given":"Leo E."},{"family":"Wagner","given":"Oswald"}],"issued":{"date-parts":[["2012",6,6]]}}}],"schema":"https://github.com/citation-style-language/schema/raw/master/csl-citation.json"} </w:instrText>
      </w:r>
      <w:r>
        <w:fldChar w:fldCharType="separate"/>
      </w:r>
      <w:r w:rsidR="004A1963" w:rsidRPr="004A1963">
        <w:rPr>
          <w:rFonts w:ascii="Calibri" w:hAnsi="Calibri"/>
        </w:rPr>
        <w:t>(38)</w:t>
      </w:r>
      <w:r>
        <w:fldChar w:fldCharType="end"/>
      </w:r>
      <w:r>
        <w:t xml:space="preserve">. The roles of glucose metabolism in </w:t>
      </w:r>
      <w:r>
        <w:rPr>
          <w:i/>
        </w:rPr>
        <w:t>Drosophila</w:t>
      </w:r>
      <w:r>
        <w:t xml:space="preserve"> hemocytes is not currently known, and represents an unexplored area for investigation.</w:t>
      </w:r>
    </w:p>
    <w:p w14:paraId="49561BF8" w14:textId="77777777" w:rsidR="004275D8" w:rsidRDefault="004275D8" w:rsidP="004275D8">
      <w:pPr>
        <w:pStyle w:val="Thesisnormal"/>
      </w:pPr>
    </w:p>
    <w:p w14:paraId="077BD6AF" w14:textId="6AB05D43" w:rsidR="004275D8" w:rsidRDefault="004275D8" w:rsidP="004275D8">
      <w:pPr>
        <w:pStyle w:val="Thesisnormal"/>
      </w:pPr>
      <w:r>
        <w:t xml:space="preserve">Evidence for a role of metabolism in </w:t>
      </w:r>
      <w:r>
        <w:rPr>
          <w:i/>
        </w:rPr>
        <w:t>Drosophila</w:t>
      </w:r>
      <w:r>
        <w:t xml:space="preserve"> hemocyte function was revealed by Bajgar </w:t>
      </w:r>
      <w:r>
        <w:rPr>
          <w:i/>
        </w:rPr>
        <w:t>et al</w:t>
      </w:r>
      <w:r>
        <w:t xml:space="preserve"> who investigated the energy regulation in larvae following parasitic wasp infection </w:t>
      </w:r>
      <w:r>
        <w:fldChar w:fldCharType="begin"/>
      </w:r>
      <w:r w:rsidR="000A209C">
        <w:instrText xml:space="preserve"> ADDIN ZOTERO_ITEM CSL_CITATION {"citationID":"a3pJiq9G","properties":{"formattedCitation":"(401)","plainCitation":"(401)","noteIndex":0},"citationItems":[{"id":1645,"uris":["http://zotero.org/users/952979/items/82R4W8RU"],"uri":["http://zotero.org/users/952979/items/82R4W8RU"],"itemData":{"id":1645,"type":"article-journal","title":"Extracellular adenosine mediates a systemic metabolic switch during immune response","container-title":"PLoS biology","page":"e1002135","volume":"13","issue":"4","source":"PubMed","abstract":"Immune defense is energetically costly, and thus an effective response requires metabolic adaptation of the organism to reallocate energy from storage, growth, and development towards the immune system. We employ the natural infection of Drosophila with a parasitoid wasp to study energy regulation during immune response. To combat the invasion, the host must produce specialized immune cells (lamellocytes) that destroy the parasitoid egg. We show that a significant portion of nutrients are allocated to differentiating lamellocytes when they would otherwise be used for development. This systemic metabolic switch is mediated by extracellular adenosine released from immune cells. The switch is crucial for an effective immune response. Preventing adenosine transport from immune cells or blocking adenosine receptor precludes the metabolic switch and the deceleration of development, dramatically reducing host resistance. Adenosine thus serves as a signal that the \"selfish\" immune cells send during infection to secure more energy at the expense of other tissues.","DOI":"10.1371/journal.pbio.1002135","ISSN":"1545-7885","note":"PMID: 25915062\nPMCID: PMC4411001","journalAbbreviation":"PLoS Biol.","language":"eng","author":[{"family":"Bajgar","given":"Adam"},{"family":"Kucerova","given":"Katerina"},{"family":"Jonatova","given":"Lucie"},{"family":"Tomcala","given":"Ales"},{"family":"Schneedorferova","given":"Ivana"},{"family":"Okrouhlik","given":"Jan"},{"family":"Dolezal","given":"Tomas"}],"issued":{"date-parts":[["2015",4]]}}}],"schema":"https://github.com/citation-style-language/schema/raw/master/csl-citation.json"} </w:instrText>
      </w:r>
      <w:r>
        <w:fldChar w:fldCharType="separate"/>
      </w:r>
      <w:r w:rsidR="00A53A6B" w:rsidRPr="00A53A6B">
        <w:rPr>
          <w:rFonts w:ascii="Calibri" w:hAnsi="Calibri"/>
        </w:rPr>
        <w:t>(401)</w:t>
      </w:r>
      <w:r>
        <w:fldChar w:fldCharType="end"/>
      </w:r>
      <w:r>
        <w:t xml:space="preserve">. They found that extracellular adenosine is released from hemocytes and can mediate, via the fat body, systemic energy availability. The extracellular adenosine results in increased energy consumption by the immune system as lamellocytes differentiate. Importantly, this group found that during infected states, larval hemocytes up-regulated many genes involved in glycolysis but downregulated some genes involved in oxidative phosphorylation, akin to the situation observed in mammalian macrophages </w:t>
      </w:r>
      <w:r>
        <w:fldChar w:fldCharType="begin"/>
      </w:r>
      <w:r w:rsidR="000A209C">
        <w:instrText xml:space="preserve"> ADDIN ZOTERO_ITEM CSL_CITATION {"citationID":"xV6GHcTk","properties":{"formattedCitation":"(401)","plainCitation":"(401)","noteIndex":0},"citationItems":[{"id":1645,"uris":["http://zotero.org/users/952979/items/82R4W8RU"],"uri":["http://zotero.org/users/952979/items/82R4W8RU"],"itemData":{"id":1645,"type":"article-journal","title":"Extracellular adenosine mediates a systemic metabolic switch during immune response","container-title":"PLoS biology","page":"e1002135","volume":"13","issue":"4","source":"PubMed","abstract":"Immune defense is energetically costly, and thus an effective response requires metabolic adaptation of the organism to reallocate energy from storage, growth, and development towards the immune system. We employ the natural infection of Drosophila with a parasitoid wasp to study energy regulation during immune response. To combat the invasion, the host must produce specialized immune cells (lamellocytes) that destroy the parasitoid egg. We show that a significant portion of nutrients are allocated to differentiating lamellocytes when they would otherwise be used for development. This systemic metabolic switch is mediated by extracellular adenosine released from immune cells. The switch is crucial for an effective immune response. Preventing adenosine transport from immune cells or blocking adenosine receptor precludes the metabolic switch and the deceleration of development, dramatically reducing host resistance. Adenosine thus serves as a signal that the \"selfish\" immune cells send during infection to secure more energy at the expense of other tissues.","DOI":"10.1371/journal.pbio.1002135","ISSN":"1545-7885","note":"PMID: 25915062\nPMCID: PMC4411001","journalAbbreviation":"PLoS Biol.","language":"eng","author":[{"family":"Bajgar","given":"Adam"},{"family":"Kucerova","given":"Katerina"},{"family":"Jonatova","given":"Lucie"},{"family":"Tomcala","given":"Ales"},{"family":"Schneedorferova","given":"Ivana"},{"family":"Okrouhlik","given":"Jan"},{"family":"Dolezal","given":"Tomas"}],"issued":{"date-parts":[["2015",4]]}}}],"schema":"https://github.com/citation-style-language/schema/raw/master/csl-citation.json"} </w:instrText>
      </w:r>
      <w:r>
        <w:fldChar w:fldCharType="separate"/>
      </w:r>
      <w:r w:rsidR="00A53A6B" w:rsidRPr="00A53A6B">
        <w:rPr>
          <w:rFonts w:ascii="Calibri" w:hAnsi="Calibri"/>
        </w:rPr>
        <w:t>(401)</w:t>
      </w:r>
      <w:r>
        <w:fldChar w:fldCharType="end"/>
      </w:r>
      <w:r>
        <w:t>.</w:t>
      </w:r>
    </w:p>
    <w:p w14:paraId="34E7A608" w14:textId="77777777" w:rsidR="004275D8" w:rsidRDefault="004275D8" w:rsidP="004275D8">
      <w:pPr>
        <w:pStyle w:val="Thesisnormal"/>
      </w:pPr>
    </w:p>
    <w:p w14:paraId="35D94C0F" w14:textId="77777777" w:rsidR="004275D8" w:rsidRDefault="004275D8" w:rsidP="004275D8">
      <w:pPr>
        <w:pStyle w:val="Heading2"/>
      </w:pPr>
      <w:bookmarkStart w:id="170" w:name="_Toc520385462"/>
      <w:bookmarkStart w:id="171" w:name="_Toc4589339"/>
      <w:r>
        <w:t>4.2 Results</w:t>
      </w:r>
      <w:bookmarkEnd w:id="170"/>
      <w:bookmarkEnd w:id="171"/>
    </w:p>
    <w:p w14:paraId="6C47BC67" w14:textId="77777777" w:rsidR="004275D8" w:rsidRDefault="004275D8" w:rsidP="004275D8">
      <w:pPr>
        <w:pStyle w:val="Thesisnormal"/>
      </w:pPr>
    </w:p>
    <w:p w14:paraId="1713BD46" w14:textId="28AB8675" w:rsidR="004275D8" w:rsidRDefault="004275D8" w:rsidP="004275D8">
      <w:pPr>
        <w:pStyle w:val="Heading3"/>
      </w:pPr>
      <w:bookmarkStart w:id="172" w:name="_Toc4589340"/>
      <w:r>
        <w:t xml:space="preserve">4.2.1 Overexpression of Nitric Oxide Synthase in hemocytes does not alter </w:t>
      </w:r>
      <w:r w:rsidR="006A0DEC">
        <w:t xml:space="preserve">hemocyte recruitment to </w:t>
      </w:r>
      <w:r>
        <w:t>wound</w:t>
      </w:r>
      <w:r w:rsidR="006A0DEC">
        <w:t>s</w:t>
      </w:r>
      <w:bookmarkEnd w:id="172"/>
      <w:r>
        <w:t xml:space="preserve"> </w:t>
      </w:r>
    </w:p>
    <w:p w14:paraId="6B50D1A9" w14:textId="77777777" w:rsidR="004275D8" w:rsidRDefault="004275D8" w:rsidP="004275D8">
      <w:pPr>
        <w:pStyle w:val="Thesisnormal"/>
      </w:pPr>
    </w:p>
    <w:p w14:paraId="1688392F" w14:textId="3DFF8AF7" w:rsidR="004275D8" w:rsidRDefault="004275D8" w:rsidP="004275D8">
      <w:pPr>
        <w:pStyle w:val="Thesisnormal"/>
      </w:pPr>
      <w:r>
        <w:t xml:space="preserve">Nitric Oxide synthase (NOS) is a key marker of M1 macrophage activation in mammalian systems </w:t>
      </w:r>
      <w:r>
        <w:fldChar w:fldCharType="begin"/>
      </w:r>
      <w:r w:rsidR="000A209C">
        <w:instrText xml:space="preserve"> ADDIN ZOTERO_ITEM CSL_CITATION {"citationID":"Zai2X6G5","properties":{"formattedCitation":"(22)","plainCitation":"(22)","noteIndex":0},"citationItems":[{"id":1312,"uris":["http://zotero.org/users/952979/items/2DRD5T5T"],"uri":["http://zotero.org/users/952979/items/2DRD5T5T"],"itemData":{"id":1312,"type":"article-journal","title":"M-1/M-2 macrophages and the Th1/Th2 paradigm","container-title":"Journal of Immunology (Baltimore, Md.: 1950)","page":"6166-6173","volume":"164","issue":"12","source":"PubMed","abstract":"Evidence is provided that macrophages can make M-1 or M-2 responses. The concept of M-1/M-2 fomented from observations that macrophages from prototypical Th1 strains (C57BL/6, B10D2) are more easily activated to produce NO with either IFN-gamma or LPS than macrophages from Th2 strains (BALB/c, DBA/2). In marked contrast, LPS stimulates Th2, but not Th1, macrophages to increase arginine metabolism to ornithine. Thus, M-1/M-2 does not simply describe activated or unactivated macrophages, but cells expressing distinct metabolic programs. Because NO inhibits cell division, while ornithine can stimulate cell division (via polyamines), these results also indicate that M-1 and M-2 responses can influence inflammatory reactions in opposite ways. Macrophage TGF-beta1, which inhibits inducible NO synthase and stimulates arginase, appears to play an important role in regulating the balance between M-1 and M-2. M-1/M-2 phenotypes are independent of T or B lymphocytes because C57BL/6 and BALB/c NUDE or SCID macrophages also exhibit M-1/M-2. Indeed, M-1/M-2 proclivities are magnified in NUDE and SCID mice. Finally, C57BL/6 SCID macrophages cause CB6F1 lymphocytes to increase IFN-gamma production, while BALB/c SCID macrophages increase TGF-beta production. Together, the results indicate that M-1- or M-2-dominant macrophage responses can influence whether Th1/Th2 or other types of inflammatory responses occur.","ISSN":"0022-1767","note":"PMID: 10843666","journalAbbreviation":"J. Immunol.","language":"eng","author":[{"family":"Mills","given":"C. D."},{"family":"Kincaid","given":"K."},{"family":"Alt","given":"J. M."},{"family":"Heilman","given":"M. J."},{"family":"Hill","given":"A. M."}],"issued":{"date-parts":[["2000",6,15]]}}}],"schema":"https://github.com/citation-style-language/schema/raw/master/csl-citation.json"} </w:instrText>
      </w:r>
      <w:r>
        <w:fldChar w:fldCharType="separate"/>
      </w:r>
      <w:r w:rsidR="00A53A6B" w:rsidRPr="00A53A6B">
        <w:rPr>
          <w:rFonts w:ascii="Calibri" w:hAnsi="Calibri"/>
        </w:rPr>
        <w:t>(22)</w:t>
      </w:r>
      <w:r>
        <w:fldChar w:fldCharType="end"/>
      </w:r>
      <w:r>
        <w:t xml:space="preserve">. NOS also has antimicrobial and cytotoxic functions which are enhanced by other macrophage derived products </w:t>
      </w:r>
      <w:r>
        <w:fldChar w:fldCharType="begin"/>
      </w:r>
      <w:r w:rsidR="000A209C">
        <w:instrText xml:space="preserve"> ADDIN ZOTERO_ITEM CSL_CITATION {"citationID":"ctTT0pUK","properties":{"formattedCitation":"(402)","plainCitation":"(402)","noteIndex":0},"citationItems":[{"id":1621,"uris":["http://zotero.org/users/952979/items/4LQEEQ9E"],"uri":["http://zotero.org/users/952979/items/4LQEEQ9E"],"itemData":{"id":1621,"type":"article-journal","title":"Nitric oxide and macrophage function","container-title":"Annual Review of Immunology","page":"323-350","volume":"15","source":"PubMed","abstract":"At the interface between the innate and adaptive immune systems lies the high-output isoform of nitric oxide synthase (NOS2 or iNOS). This remarkable molecular machine requires at least 17 binding reactions to assemble a functional dimer. Sustained catalysis results from the ability of NOS2 to attach calmodulin without dependence on elevated Ca2+. Expression of NOS2 in macrophages is controlled by cytokines and microbial products, primarily by transcriptional induction. NOS2 has been documented in macrophages from human, horse, cow, goat, sheep, rat, mouse, and chicken. Human NOS2 is most readily observed in monocytes or macrophages from patients with infectious or inflammatory diseases. Sustained production of NO endows macrophages with cytostatic or cytotoxic activity against viruses, bacteria, fungi, protozoa, helminths, and tumor cells. The antimicrobial and cytotoxic actions of NO are enhanced by other macrophage products such as acid, glutathione, cysteine, hydrogen peroxide, or superoxide. Although the high-output NO pathway probably evolved to protect the host from infection, suppressive effects on lymphocyte proliferation and damage to other normal host cells confer upon NOS2 the same protective/destructive duality inherent in every other major component of the immune response.","DOI":"10.1146/annurev.immunol.15.1.323","ISSN":"0732-0582","note":"PMID: 9143691","journalAbbreviation":"Annu. Rev. Immunol.","language":"eng","author":[{"family":"MacMicking","given":"J."},{"family":"Xie","given":"Q. W."},{"family":"Nathan","given":"C."}],"issued":{"date-parts":[["1997"]]}}}],"schema":"https://github.com/citation-style-language/schema/raw/master/csl-citation.json"} </w:instrText>
      </w:r>
      <w:r>
        <w:fldChar w:fldCharType="separate"/>
      </w:r>
      <w:r w:rsidR="00A53A6B" w:rsidRPr="00A53A6B">
        <w:rPr>
          <w:rFonts w:ascii="Calibri" w:hAnsi="Calibri"/>
        </w:rPr>
        <w:t>(402)</w:t>
      </w:r>
      <w:r>
        <w:fldChar w:fldCharType="end"/>
      </w:r>
      <w:r>
        <w:t xml:space="preserve">. We hypothesised that overexpression of NOS within hemocytes </w:t>
      </w:r>
      <w:r w:rsidR="008E0547">
        <w:t>could</w:t>
      </w:r>
      <w:r>
        <w:t xml:space="preserve"> promote a pro-inflammatory phenotype. We therefore investigated the effect on </w:t>
      </w:r>
      <w:r w:rsidR="006A0DEC">
        <w:t>hemocyte recruitment to wound</w:t>
      </w:r>
      <w:r>
        <w:t>s, a pro-inflammatory stimulus, where we expected to observe an increase in the numbers of hemocytes responding to the wound. To do this, we laser ablated the ventral epithelium of control (</w:t>
      </w:r>
      <w:r>
        <w:rPr>
          <w:i/>
        </w:rPr>
        <w:t>w;Srp-GAL4,UAS-GFP/+;Crq-GAL4,UAS-GFP/+</w:t>
      </w:r>
      <w:r>
        <w:t xml:space="preserve">) and </w:t>
      </w:r>
      <w:r w:rsidRPr="00E1481B">
        <w:rPr>
          <w:i/>
        </w:rPr>
        <w:t>UAS-Nos</w:t>
      </w:r>
      <w:r>
        <w:t xml:space="preserve"> (</w:t>
      </w:r>
      <w:r>
        <w:rPr>
          <w:i/>
        </w:rPr>
        <w:t>w;UAS-Nos/Srp-GAL4,UAS-GFP;Crq-GAL4,UAS-GFP/+</w:t>
      </w:r>
      <w:r>
        <w:t xml:space="preserve">) embryos and then quantified the number of hemocytes at the wound, 60 minutes post-wounding. We found no significant difference in </w:t>
      </w:r>
      <w:r w:rsidR="006A0DEC">
        <w:t xml:space="preserve">recruitment of hemocytes </w:t>
      </w:r>
      <w:r>
        <w:t xml:space="preserve">between </w:t>
      </w:r>
      <w:r w:rsidRPr="008E0287">
        <w:rPr>
          <w:i/>
        </w:rPr>
        <w:t>UAS-Nos</w:t>
      </w:r>
      <w:r w:rsidR="00456703">
        <w:t xml:space="preserve"> and control (n=16</w:t>
      </w:r>
      <w:r>
        <w:t xml:space="preserve"> for </w:t>
      </w:r>
      <w:r>
        <w:lastRenderedPageBreak/>
        <w:t xml:space="preserve">control and </w:t>
      </w:r>
      <w:r w:rsidRPr="008E0287">
        <w:rPr>
          <w:i/>
        </w:rPr>
        <w:t>UAS-Nos</w:t>
      </w:r>
      <w:r>
        <w:t xml:space="preserve"> embryos</w:t>
      </w:r>
      <w:r w:rsidR="00456703">
        <w:t>, Student’s t-test, p=0.9511</w:t>
      </w:r>
      <w:r>
        <w:t xml:space="preserve">, Fig 4.1). This suggests that an increased level of Nos has no effect on the </w:t>
      </w:r>
      <w:r w:rsidR="00482BB3">
        <w:t xml:space="preserve">numbers of hemocytes at the </w:t>
      </w:r>
      <w:r>
        <w:t xml:space="preserve">wound. </w:t>
      </w:r>
    </w:p>
    <w:p w14:paraId="03066C10" w14:textId="77777777" w:rsidR="004275D8" w:rsidRDefault="004275D8" w:rsidP="004275D8">
      <w:pPr>
        <w:pStyle w:val="Thesisnormal"/>
      </w:pPr>
    </w:p>
    <w:p w14:paraId="286C46D4" w14:textId="04B31A15" w:rsidR="004275D8" w:rsidRDefault="004275D8" w:rsidP="004275D8">
      <w:pPr>
        <w:pStyle w:val="Heading3"/>
      </w:pPr>
      <w:bookmarkStart w:id="173" w:name="_Toc4589341"/>
      <w:r>
        <w:t xml:space="preserve">4.2.2 Knockdown of Nitric Oxide Synthase in hemocytes does not alter </w:t>
      </w:r>
      <w:r w:rsidR="00482BB3">
        <w:t xml:space="preserve">hemocyte recruitment to </w:t>
      </w:r>
      <w:r>
        <w:t>wound</w:t>
      </w:r>
      <w:r w:rsidR="00482BB3">
        <w:t>s</w:t>
      </w:r>
      <w:bookmarkEnd w:id="173"/>
      <w:r>
        <w:t xml:space="preserve"> </w:t>
      </w:r>
    </w:p>
    <w:p w14:paraId="5CE60284" w14:textId="77777777" w:rsidR="004275D8" w:rsidRDefault="004275D8" w:rsidP="004275D8">
      <w:pPr>
        <w:pStyle w:val="Thesisnormal"/>
      </w:pPr>
    </w:p>
    <w:p w14:paraId="7EFB6814" w14:textId="1C4CEBCD" w:rsidR="004275D8" w:rsidRDefault="004275D8" w:rsidP="004275D8">
      <w:pPr>
        <w:pStyle w:val="Thesisnormal"/>
      </w:pPr>
      <w:r>
        <w:t xml:space="preserve">Overexpression of NOS specifically in hemocytes did not affect </w:t>
      </w:r>
      <w:r w:rsidR="00482BB3">
        <w:t>recruitment to wounds</w:t>
      </w:r>
      <w:r>
        <w:t>s. We next investigated if hemocyte-specific knockdown of NOS (</w:t>
      </w:r>
      <w:r>
        <w:rPr>
          <w:i/>
        </w:rPr>
        <w:t>w;UAS-RNAi-Nos/Srp-GAL4,UAS-GFP;Crq-GAL4,UAS-GFP/+</w:t>
      </w:r>
      <w:r>
        <w:t xml:space="preserve">) would reduce the number of hemocytes responding to a wound. We found that at 60-minutes post wounding there was no difference in the number of hemocytes responding in </w:t>
      </w:r>
      <w:r w:rsidRPr="008E0287">
        <w:rPr>
          <w:i/>
        </w:rPr>
        <w:t>UAS-RNAi-Nos</w:t>
      </w:r>
      <w:r>
        <w:t xml:space="preserve"> compared to control (n=29 and 26 embryos for control and </w:t>
      </w:r>
      <w:r w:rsidRPr="008E0287">
        <w:rPr>
          <w:i/>
        </w:rPr>
        <w:t>UAS-RNAi-Nos</w:t>
      </w:r>
      <w:r>
        <w:t xml:space="preserve"> respectively, one-way ANOVA with Dunnett’s multiple comparisons test, p=0.4193,  Fig 4.2). Taken together with our previous data, this suggests that Nos does not have a role in hemocyte responses to wounding. </w:t>
      </w:r>
    </w:p>
    <w:p w14:paraId="0DD4B736" w14:textId="776D2AF9" w:rsidR="004275D8" w:rsidRDefault="004275D8" w:rsidP="004275D8">
      <w:pPr>
        <w:pStyle w:val="Thesisnormal"/>
      </w:pPr>
    </w:p>
    <w:p w14:paraId="321686F9" w14:textId="2544C351" w:rsidR="008E0547" w:rsidRDefault="008E0547" w:rsidP="004275D8">
      <w:pPr>
        <w:pStyle w:val="Thesisnormal"/>
      </w:pPr>
    </w:p>
    <w:p w14:paraId="5A05D17E" w14:textId="2C42AB29" w:rsidR="008E0547" w:rsidRDefault="008E0547" w:rsidP="004275D8">
      <w:pPr>
        <w:pStyle w:val="Thesisnormal"/>
      </w:pPr>
    </w:p>
    <w:p w14:paraId="14AD1C50" w14:textId="5023E96D" w:rsidR="008E0547" w:rsidRDefault="008E0547" w:rsidP="004275D8">
      <w:pPr>
        <w:pStyle w:val="Thesisnormal"/>
      </w:pPr>
    </w:p>
    <w:p w14:paraId="0CBED590" w14:textId="1013BC6C" w:rsidR="008E0547" w:rsidRDefault="008E0547" w:rsidP="004275D8">
      <w:pPr>
        <w:pStyle w:val="Thesisnormal"/>
      </w:pPr>
    </w:p>
    <w:p w14:paraId="60303D2B" w14:textId="35A794D5" w:rsidR="008E0547" w:rsidRDefault="008E0547" w:rsidP="004275D8">
      <w:pPr>
        <w:pStyle w:val="Thesisnormal"/>
      </w:pPr>
    </w:p>
    <w:p w14:paraId="79056CAB" w14:textId="6026CC4A" w:rsidR="008E0547" w:rsidRDefault="008E0547" w:rsidP="004275D8">
      <w:pPr>
        <w:pStyle w:val="Thesisnormal"/>
      </w:pPr>
    </w:p>
    <w:p w14:paraId="4B780993" w14:textId="57142C4F" w:rsidR="008E0547" w:rsidRDefault="008E0547" w:rsidP="004275D8">
      <w:pPr>
        <w:pStyle w:val="Thesisnormal"/>
      </w:pPr>
    </w:p>
    <w:p w14:paraId="3BF4BFB8" w14:textId="376BDAB3" w:rsidR="008E0547" w:rsidRDefault="008E0547" w:rsidP="004275D8">
      <w:pPr>
        <w:pStyle w:val="Thesisnormal"/>
      </w:pPr>
    </w:p>
    <w:p w14:paraId="3FB1CB3C" w14:textId="22CE9E35" w:rsidR="008E0547" w:rsidRDefault="008E0547" w:rsidP="004275D8">
      <w:pPr>
        <w:pStyle w:val="Thesisnormal"/>
      </w:pPr>
    </w:p>
    <w:p w14:paraId="6B980FD3" w14:textId="77777777" w:rsidR="008E0547" w:rsidRDefault="008E0547" w:rsidP="004275D8">
      <w:pPr>
        <w:pStyle w:val="Thesisnormal"/>
      </w:pPr>
    </w:p>
    <w:p w14:paraId="2239C413" w14:textId="77777777" w:rsidR="00236CD9" w:rsidRDefault="00236CD9" w:rsidP="004275D8">
      <w:pPr>
        <w:pStyle w:val="Thesisnormal"/>
        <w:rPr>
          <w:noProof/>
          <w:lang w:eastAsia="en-GB"/>
        </w:rPr>
      </w:pPr>
    </w:p>
    <w:p w14:paraId="3485547B" w14:textId="77777777" w:rsidR="004275D8" w:rsidRDefault="004275D8" w:rsidP="004275D8">
      <w:pPr>
        <w:pStyle w:val="Thesisnormal"/>
      </w:pPr>
      <w:r>
        <w:rPr>
          <w:noProof/>
          <w:lang w:eastAsia="en-GB"/>
        </w:rPr>
        <w:lastRenderedPageBreak/>
        <w:drawing>
          <wp:inline distT="0" distB="0" distL="0" distR="0" wp14:anchorId="4EE338CA" wp14:editId="620600F8">
            <wp:extent cx="5813859" cy="3914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4 Targetting M1 and M2 pathways\figures\NOS wounding fig\UAS-NOS wounding fig.tif"/>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2540"/>
                    <a:stretch/>
                  </pic:blipFill>
                  <pic:spPr bwMode="auto">
                    <a:xfrm>
                      <a:off x="0" y="0"/>
                      <a:ext cx="5825024" cy="3922293"/>
                    </a:xfrm>
                    <a:prstGeom prst="rect">
                      <a:avLst/>
                    </a:prstGeom>
                    <a:noFill/>
                    <a:ln>
                      <a:noFill/>
                    </a:ln>
                    <a:extLst>
                      <a:ext uri="{53640926-AAD7-44D8-BBD7-CCE9431645EC}">
                        <a14:shadowObscured xmlns:a14="http://schemas.microsoft.com/office/drawing/2010/main"/>
                      </a:ext>
                    </a:extLst>
                  </pic:spPr>
                </pic:pic>
              </a:graphicData>
            </a:graphic>
          </wp:inline>
        </w:drawing>
      </w:r>
    </w:p>
    <w:p w14:paraId="7A06BF8F" w14:textId="299411CC" w:rsidR="004275D8" w:rsidRPr="0030625E" w:rsidRDefault="004275D8" w:rsidP="004275D8">
      <w:pPr>
        <w:pStyle w:val="NoSpacing"/>
        <w:rPr>
          <w:b/>
        </w:rPr>
      </w:pPr>
      <w:r>
        <w:rPr>
          <w:b/>
        </w:rPr>
        <w:t>Fig</w:t>
      </w:r>
      <w:r w:rsidRPr="0030625E">
        <w:rPr>
          <w:b/>
        </w:rPr>
        <w:t>ure 4.</w:t>
      </w:r>
      <w:r>
        <w:rPr>
          <w:b/>
        </w:rPr>
        <w:t>1</w:t>
      </w:r>
      <w:r w:rsidRPr="0030625E">
        <w:rPr>
          <w:b/>
        </w:rPr>
        <w:t xml:space="preserve">. Overexpression of Nos within hemocytes does not affect hemocyte </w:t>
      </w:r>
      <w:r w:rsidR="00482BB3">
        <w:rPr>
          <w:b/>
        </w:rPr>
        <w:t>recruitment to wounds</w:t>
      </w:r>
      <w:r w:rsidRPr="0030625E">
        <w:rPr>
          <w:b/>
        </w:rPr>
        <w:t xml:space="preserve">. </w:t>
      </w:r>
    </w:p>
    <w:p w14:paraId="6FEFB8B9" w14:textId="49FA9C66" w:rsidR="004275D8" w:rsidRDefault="004275D8" w:rsidP="004275D8">
      <w:pPr>
        <w:pStyle w:val="NoSpacing"/>
      </w:pPr>
      <w:r>
        <w:t>(A) Representative stills of GFP-labelled hemocyte responses to wounds at 0- (top images) and 60-minutes (bottom images) post-wounding in stage 15 embryos for control (</w:t>
      </w:r>
      <w:r>
        <w:rPr>
          <w:i/>
        </w:rPr>
        <w:t>w;Srp-GAL4,UAS-GFP/+;Crq-GAL4,UAS-GFP/+</w:t>
      </w:r>
      <w:r>
        <w:t>) and UAS-Nos (</w:t>
      </w:r>
      <w:r>
        <w:rPr>
          <w:i/>
        </w:rPr>
        <w:t>w;UAS-Nos/Srp-GAL4,UAS-GFP;Crq-GAL4,UAS-GFP/+</w:t>
      </w:r>
      <w:r>
        <w:t xml:space="preserve">). (B) Scatterplot of the hemocyte </w:t>
      </w:r>
      <w:r w:rsidR="00482BB3">
        <w:t>recruitment to wounds</w:t>
      </w:r>
      <w:r>
        <w:t>s per embryo (number of hemocytes per μm</w:t>
      </w:r>
      <w:r>
        <w:rPr>
          <w:vertAlign w:val="superscript"/>
        </w:rPr>
        <w:t>2</w:t>
      </w:r>
      <w:r>
        <w:t xml:space="preserve"> of wound area, normalised to control average). Lines and error bars represent mean ± SD, n=1</w:t>
      </w:r>
      <w:r w:rsidR="00456703">
        <w:t>6</w:t>
      </w:r>
      <w:r w:rsidR="00236CD9">
        <w:t xml:space="preserve"> embryos </w:t>
      </w:r>
      <w:r>
        <w:t xml:space="preserve">for control and </w:t>
      </w:r>
      <w:r w:rsidRPr="008E0287">
        <w:rPr>
          <w:i/>
        </w:rPr>
        <w:t>UAS-Nos</w:t>
      </w:r>
      <w:r w:rsidR="00456703">
        <w:t>. Student’s t-test, p=0.9511</w:t>
      </w:r>
      <w:r>
        <w:t>. White dashed ovals outline wound perimeter. Scale bars represent 20μm.</w:t>
      </w:r>
    </w:p>
    <w:p w14:paraId="5A8E8113" w14:textId="77777777" w:rsidR="004275D8" w:rsidRDefault="004275D8" w:rsidP="004275D8">
      <w:pPr>
        <w:pStyle w:val="Thesisnormal"/>
      </w:pPr>
    </w:p>
    <w:p w14:paraId="27FA9716" w14:textId="77777777" w:rsidR="004275D8" w:rsidRDefault="004275D8" w:rsidP="004275D8">
      <w:pPr>
        <w:pStyle w:val="Thesisnormal"/>
      </w:pPr>
    </w:p>
    <w:p w14:paraId="5382F105" w14:textId="77777777" w:rsidR="004275D8" w:rsidRDefault="004275D8" w:rsidP="004275D8">
      <w:pPr>
        <w:pStyle w:val="Thesisnormal"/>
      </w:pPr>
    </w:p>
    <w:p w14:paraId="61653856" w14:textId="77777777" w:rsidR="004275D8" w:rsidRDefault="004275D8" w:rsidP="004275D8">
      <w:pPr>
        <w:pStyle w:val="Thesisnormal"/>
      </w:pPr>
    </w:p>
    <w:p w14:paraId="0A2C2CBD" w14:textId="77777777" w:rsidR="004275D8" w:rsidRDefault="004275D8" w:rsidP="004275D8">
      <w:pPr>
        <w:pStyle w:val="Thesisnormal"/>
      </w:pPr>
      <w:r>
        <w:rPr>
          <w:noProof/>
          <w:lang w:eastAsia="en-GB"/>
        </w:rPr>
        <w:lastRenderedPageBreak/>
        <w:drawing>
          <wp:inline distT="0" distB="0" distL="0" distR="0" wp14:anchorId="5815E304" wp14:editId="5AB30377">
            <wp:extent cx="5824131" cy="3552825"/>
            <wp:effectExtent l="0" t="0" r="5715" b="0"/>
            <wp:docPr id="24" name="Picture 24" descr="D:\Dropbox\PhD\Writing\Thesis\Chapter 4 Targetting M1 and M2 pathways\figures\RNAi-Nos wounding fig\RNAi-Nos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RNAi-Nos wounding fig\RNAi-Nos wounding fig.ti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008" b="56046"/>
                    <a:stretch/>
                  </pic:blipFill>
                  <pic:spPr bwMode="auto">
                    <a:xfrm>
                      <a:off x="0" y="0"/>
                      <a:ext cx="5825653" cy="3553754"/>
                    </a:xfrm>
                    <a:prstGeom prst="rect">
                      <a:avLst/>
                    </a:prstGeom>
                    <a:noFill/>
                    <a:ln>
                      <a:noFill/>
                    </a:ln>
                    <a:extLst>
                      <a:ext uri="{53640926-AAD7-44D8-BBD7-CCE9431645EC}">
                        <a14:shadowObscured xmlns:a14="http://schemas.microsoft.com/office/drawing/2010/main"/>
                      </a:ext>
                    </a:extLst>
                  </pic:spPr>
                </pic:pic>
              </a:graphicData>
            </a:graphic>
          </wp:inline>
        </w:drawing>
      </w:r>
    </w:p>
    <w:p w14:paraId="5BBD17F0" w14:textId="553E7747" w:rsidR="004275D8" w:rsidRDefault="004275D8" w:rsidP="004275D8">
      <w:pPr>
        <w:pStyle w:val="NoSpacing"/>
      </w:pPr>
      <w:r>
        <w:rPr>
          <w:b/>
        </w:rPr>
        <w:t>Fig</w:t>
      </w:r>
      <w:r w:rsidRPr="0030625E">
        <w:rPr>
          <w:b/>
        </w:rPr>
        <w:t>ure 4.</w:t>
      </w:r>
      <w:r>
        <w:rPr>
          <w:b/>
        </w:rPr>
        <w:t>2.</w:t>
      </w:r>
      <w:r w:rsidRPr="0030625E">
        <w:rPr>
          <w:b/>
        </w:rPr>
        <w:t xml:space="preserve"> </w:t>
      </w:r>
      <w:r>
        <w:rPr>
          <w:b/>
        </w:rPr>
        <w:t>Knockdown of</w:t>
      </w:r>
      <w:r w:rsidRPr="00096833">
        <w:rPr>
          <w:b/>
        </w:rPr>
        <w:t xml:space="preserve"> </w:t>
      </w:r>
      <w:r>
        <w:rPr>
          <w:b/>
        </w:rPr>
        <w:t xml:space="preserve">Nos </w:t>
      </w:r>
      <w:r w:rsidRPr="00096833">
        <w:rPr>
          <w:b/>
        </w:rPr>
        <w:t xml:space="preserve">within hemocytes </w:t>
      </w:r>
      <w:r>
        <w:rPr>
          <w:b/>
        </w:rPr>
        <w:t xml:space="preserve">does not affect </w:t>
      </w:r>
      <w:r w:rsidR="00482BB3">
        <w:rPr>
          <w:b/>
        </w:rPr>
        <w:t>recruitment of hemocyte to wounds</w:t>
      </w:r>
      <w:r>
        <w:rPr>
          <w:b/>
        </w:rPr>
        <w:t>.</w:t>
      </w:r>
      <w:r>
        <w:t xml:space="preserve"> </w:t>
      </w:r>
    </w:p>
    <w:p w14:paraId="004C44C2" w14:textId="4857E007" w:rsidR="004275D8" w:rsidRDefault="004275D8" w:rsidP="004275D8">
      <w:pPr>
        <w:pStyle w:val="NoSpacing"/>
      </w:pPr>
      <w:r>
        <w:t>(A) Representative stills of GFP-labelled hemocyte responses to wounds at 0- (top images) and 60-minutes (bottom images) post-wounding in stage 15 embryos for control (</w:t>
      </w:r>
      <w:r>
        <w:rPr>
          <w:i/>
        </w:rPr>
        <w:t>w;Srp-GAL4,UAS-GFP/+;Crq-GAL4,UAS-GFP/+</w:t>
      </w:r>
      <w:r>
        <w:t xml:space="preserve">) and </w:t>
      </w:r>
      <w:r w:rsidRPr="001A226C">
        <w:rPr>
          <w:i/>
        </w:rPr>
        <w:t>UAS-RNAi-Nos</w:t>
      </w:r>
      <w:r>
        <w:rPr>
          <w:i/>
        </w:rPr>
        <w:t xml:space="preserve"> (w;UAS-RNAi-Nos/Srp-GAL4,UAS-GFP;Crq-GAL4,UAS-GFP/+)</w:t>
      </w:r>
      <w:r>
        <w:t xml:space="preserve">. (B) Scatterplot of the hemocyte </w:t>
      </w:r>
      <w:r w:rsidR="00482BB3">
        <w:t>recruitment to wounds</w:t>
      </w:r>
      <w:r>
        <w:t>s per embryo (number of hemocytes per μm</w:t>
      </w:r>
      <w:r>
        <w:rPr>
          <w:vertAlign w:val="superscript"/>
        </w:rPr>
        <w:t>2</w:t>
      </w:r>
      <w:r>
        <w:t xml:space="preserve"> of wound area, normalised to control average). Lines and error bars represent mean ± SD, n=29 and 26 for control and </w:t>
      </w:r>
      <w:r w:rsidRPr="001A226C">
        <w:rPr>
          <w:i/>
        </w:rPr>
        <w:t>UAS-RNAi-Nos</w:t>
      </w:r>
      <w:r>
        <w:t xml:space="preserve"> embryos, respectively. One-way ANOVA with Dunnett’s multiple comparisons test, p=0.4193. White dashed ovals outline wound perimeter. Scale bars represent 20μm.</w:t>
      </w:r>
      <w:r w:rsidR="00A354A3">
        <w:t xml:space="preserve"> Control data is the same as in Fig 4.3, chapter 4 as these experiments were performed in parallel.</w:t>
      </w:r>
    </w:p>
    <w:p w14:paraId="08F66F8A" w14:textId="77777777" w:rsidR="004275D8" w:rsidRDefault="004275D8" w:rsidP="004275D8">
      <w:pPr>
        <w:pStyle w:val="Thesisnormal"/>
      </w:pPr>
    </w:p>
    <w:p w14:paraId="7121C94A" w14:textId="77777777" w:rsidR="004275D8" w:rsidRDefault="004275D8" w:rsidP="004275D8">
      <w:pPr>
        <w:pStyle w:val="Thesisnormal"/>
      </w:pPr>
    </w:p>
    <w:p w14:paraId="38340107" w14:textId="77777777" w:rsidR="004275D8" w:rsidRDefault="004275D8" w:rsidP="004275D8">
      <w:pPr>
        <w:pStyle w:val="Thesisnormal"/>
      </w:pPr>
    </w:p>
    <w:p w14:paraId="3E183C7D" w14:textId="77777777" w:rsidR="004275D8" w:rsidRDefault="004275D8" w:rsidP="004275D8">
      <w:pPr>
        <w:pStyle w:val="Thesisnormal"/>
      </w:pPr>
    </w:p>
    <w:p w14:paraId="42D5642C" w14:textId="77777777" w:rsidR="004275D8" w:rsidRDefault="004275D8" w:rsidP="004275D8">
      <w:pPr>
        <w:pStyle w:val="Thesisnormal"/>
      </w:pPr>
    </w:p>
    <w:p w14:paraId="0F70C0E2" w14:textId="77777777" w:rsidR="004275D8" w:rsidRDefault="004275D8" w:rsidP="004275D8">
      <w:pPr>
        <w:pStyle w:val="Thesisnormal"/>
      </w:pPr>
    </w:p>
    <w:p w14:paraId="73A449DB" w14:textId="77777777" w:rsidR="004275D8" w:rsidRDefault="004275D8" w:rsidP="004275D8">
      <w:pPr>
        <w:pStyle w:val="Thesisnormal"/>
      </w:pPr>
    </w:p>
    <w:p w14:paraId="00B259C3" w14:textId="77777777" w:rsidR="004275D8" w:rsidRDefault="004275D8" w:rsidP="004275D8">
      <w:pPr>
        <w:pStyle w:val="Thesisnormal"/>
      </w:pPr>
    </w:p>
    <w:p w14:paraId="552A436A" w14:textId="77777777" w:rsidR="004275D8" w:rsidRDefault="004275D8" w:rsidP="004275D8">
      <w:pPr>
        <w:pStyle w:val="Thesisnormal"/>
      </w:pPr>
    </w:p>
    <w:p w14:paraId="51690E7A" w14:textId="77777777" w:rsidR="004275D8" w:rsidRDefault="004275D8" w:rsidP="004275D8">
      <w:pPr>
        <w:pStyle w:val="Thesisnormal"/>
      </w:pPr>
    </w:p>
    <w:p w14:paraId="465D42E0" w14:textId="77777777" w:rsidR="004275D8" w:rsidRDefault="004275D8" w:rsidP="004275D8">
      <w:pPr>
        <w:pStyle w:val="Thesisnormal"/>
      </w:pPr>
    </w:p>
    <w:p w14:paraId="02DB5C14" w14:textId="767BD0E1" w:rsidR="004275D8" w:rsidRDefault="004275D8" w:rsidP="004275D8">
      <w:pPr>
        <w:pStyle w:val="Heading3"/>
      </w:pPr>
      <w:bookmarkStart w:id="174" w:name="_Toc4589342"/>
      <w:r>
        <w:lastRenderedPageBreak/>
        <w:t xml:space="preserve">4.2.3 Knockdown of Arginase in hemocytes does not alter </w:t>
      </w:r>
      <w:r w:rsidR="00482BB3">
        <w:t>hemocyte recruitment to wounds</w:t>
      </w:r>
      <w:bookmarkEnd w:id="174"/>
    </w:p>
    <w:p w14:paraId="3468106E" w14:textId="77777777" w:rsidR="004275D8" w:rsidRDefault="004275D8" w:rsidP="004275D8">
      <w:pPr>
        <w:pStyle w:val="Thesisnormal"/>
      </w:pPr>
    </w:p>
    <w:p w14:paraId="174B2967" w14:textId="162332B1" w:rsidR="004275D8" w:rsidRDefault="004275D8" w:rsidP="004275D8">
      <w:pPr>
        <w:pStyle w:val="Thesisnormal"/>
      </w:pPr>
      <w:r>
        <w:t xml:space="preserve">Arginase, a key marker of M2 macrophages, converts arginine into ornithine, which has been demonstrated to have anti-inflammatory effects, principally by reducing the available arginine for NOS-mediated catabolism </w:t>
      </w:r>
      <w:r>
        <w:fldChar w:fldCharType="begin"/>
      </w:r>
      <w:r w:rsidR="000A209C">
        <w:instrText xml:space="preserve"> ADDIN ZOTERO_ITEM CSL_CITATION {"citationID":"7KNLdYv4","properties":{"formattedCitation":"(403)","plainCitation":"(403)","noteIndex":0},"citationItems":[{"id":1605,"uris":["http://zotero.org/users/952979/items/XSXBDVDG"],"uri":["http://zotero.org/users/952979/items/XSXBDVDG"],"itemData":{"id":1605,"type":"article-journal","title":"Arginine pathways and the inflammatory response: interregulation of nitric oxide and polyamines: review article","container-title":"Amino Acids","page":"321-329","volume":"26","issue":"4","source":"PubMed","abstract":"An early response to an acute inflammatory insult, such as wound healing or experimental glomerulonephritis, is the conversion of arginine to the cytostatic molecule nitric oxide (NO). This 'anti-bacterial' phase is followed by the conversion of arginine to ornithine, which is the precursor for the pro-proliferative polyamines as well as proline for the production of extracellular matrix. This latter, pro-growth phase constitutes a 'repair' phase response. The temporal switch of arginine as a substrate for the cytostatic iNOS/NO axis to the pro-growth arginase/ ornithine/polyamine and proline axis is subject to regulation by inflammatory cytokines as well as interregulation by the arginine metabolites themselves. Arginine is also the precursor for another biogenic amine, agmatine. Here we describe the capacity of these three arginine pathways to interregulate, and propose a model whereby agmatine has the potential to serve in the coordination of the early and repair phase pathways of arginine in the inflammatory response by acting as a gating mechanism at the transition from the iNOS/NO axis to the arginase/ODC/polyamine axis. Due to the pathophysiologic and therapeutic potential, we will further examine the antiproliferative effects of agmatine on the polyamine pathway.","DOI":"10.1007/s00726-004-0078-4","ISSN":"0939-4451","note":"PMID: 15290337","shortTitle":"Arginine pathways and the inflammatory response","journalAbbreviation":"Amino Acids","language":"eng","author":[{"family":"Satriano","given":"J."}],"issued":{"date-parts":[["2004",7]]}}}],"schema":"https://github.com/citation-style-language/schema/raw/master/csl-citation.json"} </w:instrText>
      </w:r>
      <w:r>
        <w:fldChar w:fldCharType="separate"/>
      </w:r>
      <w:r w:rsidR="00A53A6B" w:rsidRPr="00A53A6B">
        <w:rPr>
          <w:rFonts w:ascii="Calibri" w:hAnsi="Calibri"/>
        </w:rPr>
        <w:t>(403)</w:t>
      </w:r>
      <w:r>
        <w:fldChar w:fldCharType="end"/>
      </w:r>
      <w:r>
        <w:t xml:space="preserve">. Therefore, knockdown of </w:t>
      </w:r>
      <w:r w:rsidRPr="004B00C8">
        <w:rPr>
          <w:i/>
        </w:rPr>
        <w:t>arg</w:t>
      </w:r>
      <w:r>
        <w:t xml:space="preserve"> should have a similar effect to overexpressing </w:t>
      </w:r>
      <w:r w:rsidRPr="004B00C8">
        <w:rPr>
          <w:i/>
        </w:rPr>
        <w:t>Nos</w:t>
      </w:r>
      <w:r>
        <w:t>. We utilised an RNAi construct targeted against Arg (</w:t>
      </w:r>
      <w:r>
        <w:rPr>
          <w:i/>
        </w:rPr>
        <w:t>w;UAS-RNAi-arg/Srp-GAL4,UAS-GFP;Crq-GAL4,UAS-GFP/+</w:t>
      </w:r>
      <w:r>
        <w:t xml:space="preserve">) to investigate if loss of arginase could increase hemocyte responses to a pro-inflammatory wound. We could not find a difference in </w:t>
      </w:r>
      <w:r w:rsidR="00482BB3">
        <w:t>recruitment to wounds</w:t>
      </w:r>
      <w:r>
        <w:t xml:space="preserve"> between </w:t>
      </w:r>
      <w:r w:rsidRPr="008E0287">
        <w:rPr>
          <w:i/>
        </w:rPr>
        <w:t>UAS-RNAi-arg</w:t>
      </w:r>
      <w:r>
        <w:t xml:space="preserve"> and control (n=29 and 28 for control and </w:t>
      </w:r>
      <w:r w:rsidRPr="008E0287">
        <w:rPr>
          <w:i/>
        </w:rPr>
        <w:t xml:space="preserve">UAS-RNAi-arg </w:t>
      </w:r>
      <w:r>
        <w:t xml:space="preserve">respectively, one-way ANOVA with Dunnett’s multiple comparisons test, p=0.9835, Fig 4.3). As with our results when Nos was manipulated, manipulation of Arg did not affect </w:t>
      </w:r>
      <w:r w:rsidR="00482BB3">
        <w:t>recruitment to wounds</w:t>
      </w:r>
      <w:r>
        <w:t xml:space="preserve">.  </w:t>
      </w:r>
    </w:p>
    <w:p w14:paraId="39800BF1" w14:textId="77777777" w:rsidR="004275D8" w:rsidRPr="00970AFF" w:rsidRDefault="004275D8" w:rsidP="004275D8">
      <w:pPr>
        <w:pStyle w:val="Thesisnormal"/>
      </w:pPr>
    </w:p>
    <w:p w14:paraId="0056E6E2" w14:textId="485BD827" w:rsidR="004275D8" w:rsidRDefault="004275D8" w:rsidP="004275D8">
      <w:pPr>
        <w:pStyle w:val="Heading3"/>
      </w:pPr>
      <w:bookmarkStart w:id="175" w:name="_Toc4589343"/>
      <w:r>
        <w:t xml:space="preserve">4.2.4 Overexpression of Catalase in hemocytes decreases </w:t>
      </w:r>
      <w:r w:rsidR="00126602">
        <w:t>hemocyte recruitment to wounds</w:t>
      </w:r>
      <w:bookmarkEnd w:id="175"/>
    </w:p>
    <w:p w14:paraId="20E426C6" w14:textId="77777777" w:rsidR="004275D8" w:rsidRDefault="004275D8" w:rsidP="004275D8">
      <w:pPr>
        <w:pStyle w:val="Thesisnormal"/>
      </w:pPr>
    </w:p>
    <w:p w14:paraId="6BB03605" w14:textId="01913FF2" w:rsidR="004275D8" w:rsidRDefault="004275D8" w:rsidP="004275D8">
      <w:pPr>
        <w:pStyle w:val="Thesisnormal"/>
      </w:pPr>
      <w:r>
        <w:t xml:space="preserve">ROS have been shown to promote M1 macrophage activation and recruitment of hemocytes to sites of injury </w:t>
      </w:r>
      <w:r>
        <w:fldChar w:fldCharType="begin"/>
      </w:r>
      <w:r w:rsidR="000A209C">
        <w:instrText xml:space="preserve"> ADDIN ZOTERO_ITEM CSL_CITATION {"citationID":"TZhCINL4","properties":{"formattedCitation":"(27)","plainCitation":"(27)","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J."}],"issued":{"date-parts":[["2017"]]}}}],"schema":"https://github.com/citation-style-language/schema/raw/master/csl-citation.json"} </w:instrText>
      </w:r>
      <w:r>
        <w:fldChar w:fldCharType="separate"/>
      </w:r>
      <w:r w:rsidR="004A1963" w:rsidRPr="004A1963">
        <w:rPr>
          <w:rFonts w:ascii="Calibri" w:hAnsi="Calibri"/>
        </w:rPr>
        <w:t>(27)</w:t>
      </w:r>
      <w:r>
        <w:fldChar w:fldCharType="end"/>
      </w:r>
      <w:r>
        <w:t>. Indeed, it has been suggested that H</w:t>
      </w:r>
      <w:r>
        <w:rPr>
          <w:vertAlign w:val="subscript"/>
        </w:rPr>
        <w:t>2</w:t>
      </w:r>
      <w:r>
        <w:t>O</w:t>
      </w:r>
      <w:r>
        <w:rPr>
          <w:vertAlign w:val="subscript"/>
        </w:rPr>
        <w:t>2</w:t>
      </w:r>
      <w:r>
        <w:t xml:space="preserve"> is may form a gradient from the wound site and is chemotactic for hemocytes </w:t>
      </w:r>
      <w:r>
        <w:fldChar w:fldCharType="begin"/>
      </w:r>
      <w:r w:rsidR="000A209C">
        <w:instrText xml:space="preserve"> ADDIN ZOTERO_ITEM CSL_CITATION {"citationID":"bqjA0I6o","properties":{"formattedCitation":"(152,224)","plainCitation":"(152,224)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id":1448,"uris":["http://zotero.org/users/952979/items/INVXV64F"],"uri":["http://zotero.org/users/952979/items/INVXV64F"],"itemData":{"id":1448,"type":"article-journal","title":"A tissue-scale gradient of hydrogen peroxide mediates rapid wound detection in zebrafish","container-title":"Nature","page":"996-999","volume":"459","issue":"7249","source":"PubMed","abstract":"Barrier structures (for example, epithelia around tissues and plasma membranes around cells) are required for internal homeostasis and protection from pathogens. Wound detection and healing represent a dormant morphogenetic program that can be rapidly executed to restore barrier integrity and tissue homeostasis. In animals, initial steps include recruitment of leukocytes to the site of injury across distances of hundreds of micrometres within minutes of wounding. The spatial signals that direct this immediate tissue response are unknown. Owing to their fast diffusion and versatile biological activities, reactive oxygen species, including hydrogen peroxide (H(2)O(2)), are interesting candidates for wound-to-leukocyte signalling. Here we probe the role of H(2)O(2) during the early events of wound responses in zebrafish larvae expressing a genetically encoded H(2)O(2) sensor. This reporter revealed a sustained rise in H(2)O(2) concentration at the wound margin, starting approximately 3 min after wounding and peaking at approximately 20 min, which extended approximately 100-200 microm into the tail-fin epithelium as a decreasing concentration gradient. Using pharmacological and genetic inhibition, we show that this gradient is created by dual oxidase (Duox), and that it is required for rapid recruitment of leukocytes to the wound. This is the first observation, to our knowledge, of a tissue-scale H(2)O(2) pattern, and the first evidence that H(2)O(2) signals to leukocytes in tissues, in addition to its known antiseptic role.","DOI":"10.1038/nature08119","ISSN":"1476-4687","note":"PMID: 19494811\nPMCID: PMC2803098","journalAbbreviation":"Nature","language":"eng","author":[{"family":"Niethammer","given":"Philipp"},{"family":"Grabher","given":"Clemens"},{"family":"Look","given":"A. Thomas"},{"family":"Mitchison","given":"Timothy J."}],"issued":{"date-parts":[["2009",6,18]]}}}],"schema":"https://github.com/citation-style-language/schema/raw/master/csl-citation.json"} </w:instrText>
      </w:r>
      <w:r>
        <w:fldChar w:fldCharType="separate"/>
      </w:r>
      <w:r w:rsidR="004A1963" w:rsidRPr="004A1963">
        <w:rPr>
          <w:rFonts w:ascii="Calibri" w:hAnsi="Calibri"/>
        </w:rPr>
        <w:t>(152,224)</w:t>
      </w:r>
      <w:r>
        <w:fldChar w:fldCharType="end"/>
      </w:r>
      <w:r>
        <w:t xml:space="preserve">. ROS are highly toxic and damaging to cells </w:t>
      </w:r>
      <w:r>
        <w:fldChar w:fldCharType="begin"/>
      </w:r>
      <w:r w:rsidR="000A209C">
        <w:instrText xml:space="preserve"> ADDIN ZOTERO_ITEM CSL_CITATION {"citationID":"IBuyWIcP","properties":{"formattedCitation":"(392)","plainCitation":"(392)","noteIndex":0},"citationItems":[{"id":1604,"uris":["http://zotero.org/users/952979/items/C55L724W"],"uri":["http://zotero.org/users/952979/items/C55L724W"],"itemData":{"id":1604,"type":"article-journal","title":"Reactive oxygen species (ROS) homeostasis and redox regulation in cellular signaling","container-title":"Cellular signalling","page":"981-990","volume":"24","issue":"5","source":"PubMed Central","abstract":"Reactive oxygen species (ROS) are generated during mitochondrial oxidative metabolism as well as in cellular response to xenobiotics, cytokines, and bacterial invasion. Oxidative stress refers to the imbalance due to excess ROS or oxidants over the capability of the cell to mount an effective antioxidant response. Oxidative stress results in macromolecular damage and is implicated in various disease states such as atherosclerosis, diabetes, cancer, neurodegeneration, and aging. Paradoxically, accumulating evidence indicates that ROS also serve as critical signaling molecules in cell proliferation and survival. While there is a large body of research demonstrating the general effect of oxidative stress on signaling pathways, less is known about the initial and direct regulation of signaling molecules by ROS, or what we term the “oxidative interface.” Cellular ROS sensing and metabolism are tightly regulated by a variety of proteins involved in the redox (reduction/oxidation) mechanism. This review focuses on the molecular mechanisms through which ROS directly interact with critical signaling molecules to initiate signaling in a broad variety of cellular processes, such as proliferation and survival (MAP kinases, PI3 kinase, PTEN, and protein tyrosine phosphatases), ROS homeostasis and antioxidant gene regulation (thioredoxin, peroxiredoxin, Ref-1, and Nrf-2), mitochondrial oxidative stress, apoptosis, and aging (p66Shc), iron homeostasis through iron–sulfur cluster proteins (IRE–IRP), and ATM-regulated DNA damage response.","DOI":"10.1016/j.cellsig.2012.01.008","ISSN":"0898-6568","note":"PMID: 22286106\nPMCID: PMC3454471","journalAbbreviation":"Cell Signal","author":[{"family":"Ray","given":"Paul D."},{"family":"Huang","given":"Bo-Wen"},{"family":"Tsuji","given":"Yoshiaki"}],"issued":{"date-parts":[["2012",5]]}}}],"schema":"https://github.com/citation-style-language/schema/raw/master/csl-citation.json"} </w:instrText>
      </w:r>
      <w:r>
        <w:fldChar w:fldCharType="separate"/>
      </w:r>
      <w:r w:rsidR="00A53A6B" w:rsidRPr="00A53A6B">
        <w:rPr>
          <w:rFonts w:ascii="Calibri" w:hAnsi="Calibri"/>
        </w:rPr>
        <w:t>(392)</w:t>
      </w:r>
      <w:r>
        <w:fldChar w:fldCharType="end"/>
      </w:r>
      <w:r>
        <w:t xml:space="preserve">; therefore, several mechanisms exist to regulate and sequester the activity of such species </w:t>
      </w:r>
      <w:r>
        <w:fldChar w:fldCharType="begin"/>
      </w:r>
      <w:r w:rsidR="000A209C">
        <w:instrText xml:space="preserve"> ADDIN ZOTERO_ITEM CSL_CITATION {"citationID":"Y1tBRcbU","properties":{"formattedCitation":"(404,405)","plainCitation":"(404,405)","noteIndex":0},"citationItems":[{"id":1603,"uris":["http://zotero.org/users/952979/items/PXXKC3AM"],"uri":["http://zotero.org/users/952979/items/PXXKC3AM"],"itemData":{"id":1603,"type":"article-journal","title":"Superoxide dismutases: Dual roles in controlling ROS damage and regulating ROS signaling","container-title":"J Cell Biol","page":"1915-1928","volume":"217","issue":"6","source":"jcb.rupress.org","abstract":"Superoxide dismutases (SODs) are universal enzymes of organisms that live in the presence of oxygen. They catalyze the conversion of superoxide into oxygen and hydrogen peroxide. Superoxide anions are the intended product of dedicated signaling enzymes as well as the byproduct of several metabolic processes including mitochondrial respiration. Through their activity, SOD enzymes control the levels of a variety of reactive oxygen species (ROS) and reactive nitrogen species, thus both limiting the potential toxicity of these molecules and controlling broad aspects of cellular life that are regulated by their signaling functions. All aerobic organisms have multiple SOD proteins targeted to different cellular and subcellular locations, reflecting the slow diffusion and multiple sources of their substrate superoxide. This compartmentalization also points to the need for fine local control of ROS signaling and to the possibility for ROS to signal between compartments. In this review, we discuss studies in model organisms and humans, which reveal the dual roles of SOD enzymes in controlling damage and regulating signaling.","DOI":"10.1083/jcb.201708007","ISSN":"0021-9525, 1540-8140","note":"PMID: 29669742","shortTitle":"Superoxide dismutases","journalAbbreviation":"J Cell Biol","language":"en","author":[{"family":"Wang","given":"Ying"},{"family":"Branicky","given":"Robyn"},{"family":"Noë","given":"Alycia"},{"family":"Hekimi","given":"Siegfried"}],"issued":{"date-parts":[["2018",6,4]]}}},{"id":1602,"uris":["http://zotero.org/users/952979/items/SRUSSBQB"],"uri":["http://zotero.org/users/952979/items/SRUSSBQB"],"itemData":{"id":1602,"type":"article-journal","title":"Regulation of Reactive Oxygen Species Generation in Cell Signaling","container-title":"Molecules and Cells","page":"491-509","volume":"32","issue":"6","source":"PubMed Central","abstract":"Reactive oxygen species (ROS) including superoxide anion and hydrogen peroxide (H2O2) are thought to be byproducts of aerobic respiration with damaging effects on DNA, protein, and lipid. A growing body of evidence indicates, however, that ROS are involved in the maintenance of redox homeostasis and various cellular signaling pathways. ROS are generated from diverse sources including mitochondrial respiratory chain, enzymatic activation of cytochrome p450, and NADPH oxidases further suggesting involvement in a complex array of cellular processes. This review summarizes the production and function of ROS. In particular, how cytosolic and membrane proteins regulate ROS generation for intracellular redox signaling will be detailed.","DOI":"10.1007/s10059-011-0276-3","ISSN":"1016-8478","note":"PMID: 22207195\nPMCID: PMC3887685","journalAbbreviation":"Mol Cells","author":[{"family":"Bae","given":"Yun Soo"},{"family":"Oh","given":"Hyunjin"},{"family":"Rhee","given":"Sue Goo"},{"family":"Yoo","given":"Young Do"}],"issued":{"date-parts":[["2011",12,31]]}}}],"schema":"https://github.com/citation-style-language/schema/raw/master/csl-citation.json"} </w:instrText>
      </w:r>
      <w:r>
        <w:fldChar w:fldCharType="separate"/>
      </w:r>
      <w:r w:rsidR="00A53A6B" w:rsidRPr="00A53A6B">
        <w:rPr>
          <w:rFonts w:ascii="Calibri" w:hAnsi="Calibri"/>
        </w:rPr>
        <w:t>(404,405)</w:t>
      </w:r>
      <w:r>
        <w:fldChar w:fldCharType="end"/>
      </w:r>
      <w:r>
        <w:t xml:space="preserve">. Catalase catalyses the conversion of hydrogen peroxide to water and oxygen </w:t>
      </w:r>
      <w:r>
        <w:fldChar w:fldCharType="begin"/>
      </w:r>
      <w:r w:rsidR="000A209C">
        <w:instrText xml:space="preserve"> ADDIN ZOTERO_ITEM CSL_CITATION {"citationID":"Rwg5yU3R","properties":{"formattedCitation":"(406)","plainCitation":"(406)","noteIndex":0},"citationItems":[{"id":1601,"uris":["http://zotero.org/users/952979/items/N9BVHAP3"],"uri":["http://zotero.org/users/952979/items/N9BVHAP3"],"itemData":{"id":1601,"type":"article-journal","title":"Molecular mechanisms of production and scavenging of reactive oxygen species by photosystem II","container-title":"Biochimica et Biophysica Acta (BBA) - Bioenergetics","collection-title":"Photosystem II","page":"218-231","volume":"1817","issue":"1","source":"ScienceDirect","abstract":"Photosystem II (PSII) is a multisubunit protein complex in cyanobacteria, algae and plants that use light energy for oxidation of water and reduction of plastoquinone. The conversion of excitation energy absorbed by chlorophylls into the energy of separated charges and subsequent water–plastoquinone oxidoreductase activity are inadvertently coupled with the formation of reactive oxygen species (ROS). Singlet oxygen is generated by the excitation energy transfer from triplet chlorophyll formed by the intersystem crossing from singlet chlorophyll and the charge recombination of separated charges in the PSII antenna complex and reaction center of PSII, respectively. Apart to the energy transfer, the electron transport associated with the reduction of plastoquinone and the oxidation of water is linked to the formation of superoxide anion radical, hydrogen peroxide and hydroxyl radical. To protect PSII pigments, proteins and lipids against the oxidative damage, PSII evolved a highly efficient antioxidant defense system comprising either a non-enzymatic (prenyllipids such as carotenoids and prenylquinols) or an enzymatic (superoxide dismutase and catalase) scavengers. It is pointed out here that both the formation and the scavenging of ROS are controlled by the energy level and the redox potential of the excitation energy transfer and the electron transport carries, respectively. The review is focused on the mechanistic aspects of ROS production and scavenging by PSII. This article is part of a Special Issue entitled: Photosystem II.","DOI":"10.1016/j.bbabio.2011.05.017","ISSN":"0005-2728","journalAbbreviation":"Biochimica et Biophysica Acta (BBA) - Bioenergetics","author":[{"family":"Pospíšil","given":"Pavel"}],"issued":{"date-parts":[["2012",1,1]]}}}],"schema":"https://github.com/citation-style-language/schema/raw/master/csl-citation.json"} </w:instrText>
      </w:r>
      <w:r>
        <w:fldChar w:fldCharType="separate"/>
      </w:r>
      <w:r w:rsidR="00A53A6B" w:rsidRPr="00A53A6B">
        <w:rPr>
          <w:rFonts w:ascii="Calibri" w:hAnsi="Calibri"/>
        </w:rPr>
        <w:t>(406)</w:t>
      </w:r>
      <w:r>
        <w:fldChar w:fldCharType="end"/>
      </w:r>
      <w:r>
        <w:t>. We overexpressed catalase in a hemocyte-specific manner (</w:t>
      </w:r>
      <w:r>
        <w:rPr>
          <w:i/>
        </w:rPr>
        <w:t>w;UAS-cat/Srp-GAL4,UAS-GFP;Crq-GAL4,UAS-</w:t>
      </w:r>
      <w:r w:rsidRPr="00A5636D">
        <w:rPr>
          <w:i/>
        </w:rPr>
        <w:t>GFP/+</w:t>
      </w:r>
      <w:r>
        <w:t xml:space="preserve">) in an attempt to dampen ROS levels within hemocytes (as demonstrated previously </w:t>
      </w:r>
      <w:r>
        <w:fldChar w:fldCharType="begin"/>
      </w:r>
      <w:r w:rsidR="000A209C">
        <w:instrText xml:space="preserve"> ADDIN ZOTERO_ITEM CSL_CITATION {"citationID":"oj6vIsPd","properties":{"formattedCitation":"(407)","plainCitation":"(407)","noteIndex":0},"citationItems":[{"id":1785,"uris":["http://zotero.org/users/952979/items/YPC37L33"],"uri":["http://zotero.org/users/952979/items/YPC37L33"],"itemData":{"id":1785,"type":"article-journal","title":"The Drosophila Duox maturation factor is a key component of a positive feedback loop that sustains regeneration signaling","container-title":"PLoS Genetics","volume":"13","issue":"7","source":"PubMed Central","abstract":"Regenerating tissue must initiate the signaling that drives regenerative growth, and sustain that signaling long enough for regeneration to complete. How these key signals are sustained is unclear. To gain a comprehensive view of the changes in gene expression that occur during regeneration, we performed whole-genome mRNAseq of actively regenerating tissue from damaged Drosophila wing imaginal discs. We used genetic tools to ablate the wing primordium to induce regeneration, and carried out transcriptional profiling of the regeneration blastema by fluorescently labeling and sorting the blastema cells, thus identifying differentially expressed genes. Importantly, by using genetic mutants of several of these differentially expressed genes we have confirmed that they have roles in regeneration. Using this approach, we show that high expression of the gene moladietz (mol), which encodes the Duox-maturation factor NIP, is required during regeneration to produce reactive oxygen species (ROS), which in turn sustain JNK signaling during regeneration. We also show that JNK signaling upregulates mol expression, thereby activating a positive feedback signal that ensures the prolonged JNK activation required for regenerative growth. Thus, by whole-genome transcriptional profiling of regenerating tissue we have identified a positive feedback loop that regulates the extent of regenerative growth., Regenerating tissue must initiate the signaling that drives regenerative growth, and then sustain that signaling long enough for regeneration to complete. Drosophila imaginal discs, the epithelial structures in the larva that will form the adult animal during metamorphosis, have been an important model system for tissue repair and regeneration for over 60 years. Here we show that damage-induced JNK signaling leads to the upregulation of a gene called moladietz, which encodes a co-factor for an enzyme, NADPH dual oxidase (Duox), that generates reactive oxygen species (ROS), a key tissue-damage signal. High expression of moladietz induces continuous production of ROS in the regenerating tissue. The sustained production of ROS then continues to activate JNK signaling throughout the course of regeneration, ensuring maximal tissue regrowth.","URL":"https://www.ncbi.nlm.nih.gov/pmc/articles/PMC5550008/","DOI":"10.1371/journal.pgen.1006937","ISSN":"1553-7390","note":"PMID: 28753614\nPMCID: PMC5550008","journalAbbreviation":"PLoS Genet","author":[{"family":"Khan","given":"Sumbul Jawed"},{"family":"Abidi","given":"Syeda Nayab Fatima"},{"family":"Skinner","given":"Andrea"},{"family":"Tian","given":"Yuan"},{"family":"Smith-Bolton","given":"Rachel K."}],"issued":{"date-parts":[["2017",7,28]]},"accessed":{"date-parts":[["2019",2,11]]}}}],"schema":"https://github.com/citation-style-language/schema/raw/master/csl-citation.json"} </w:instrText>
      </w:r>
      <w:r>
        <w:fldChar w:fldCharType="separate"/>
      </w:r>
      <w:r w:rsidR="00A53A6B" w:rsidRPr="00A53A6B">
        <w:rPr>
          <w:rFonts w:ascii="Calibri" w:hAnsi="Calibri"/>
        </w:rPr>
        <w:t>(407)</w:t>
      </w:r>
      <w:r>
        <w:fldChar w:fldCharType="end"/>
      </w:r>
      <w:r>
        <w:t>). We hypothesised that responses to a pro-inflammatory stimulus might be reduced due to a reduction in the levels of ROS. To test this, we laser ablated the ventral epithelium of stage 15 embryos to produce a wound. We found that there was a significant decrease in the number of hemocytes per μm</w:t>
      </w:r>
      <w:r>
        <w:rPr>
          <w:vertAlign w:val="superscript"/>
        </w:rPr>
        <w:t>2</w:t>
      </w:r>
      <w:r>
        <w:t xml:space="preserve"> of wound area in </w:t>
      </w:r>
      <w:r w:rsidRPr="00DA7B2A">
        <w:rPr>
          <w:i/>
        </w:rPr>
        <w:t>UAS-Cat</w:t>
      </w:r>
      <w:r>
        <w:t xml:space="preserve"> embryos compared to controls (n=21, Student’s t-test p&lt;0.01, Fig 4.4 A &amp; B). To confirm that this decrease was not a consequence of reduced numbers of hemocytes available to respond, the numbers of hemocytes on the VNC pre-wounding was counted. Pre-wound hemocyte numbers were not significantly different, suggesting that this decrease was not due to fewer hemocytes in the wounding area (n=23 and 29 for control and </w:t>
      </w:r>
      <w:r w:rsidRPr="00FE7370">
        <w:rPr>
          <w:i/>
        </w:rPr>
        <w:t xml:space="preserve">UAS-Cat </w:t>
      </w:r>
      <w:r>
        <w:lastRenderedPageBreak/>
        <w:t>embryos respectively, Student’s t-test, p=0.0667).  This suggests that a reduction of ROS is anti-inflammatory.</w:t>
      </w:r>
    </w:p>
    <w:p w14:paraId="035A296B" w14:textId="77777777" w:rsidR="008E0547" w:rsidRDefault="008E0547" w:rsidP="004275D8">
      <w:pPr>
        <w:pStyle w:val="Thesisnormal"/>
      </w:pPr>
    </w:p>
    <w:p w14:paraId="62155FF7" w14:textId="77777777" w:rsidR="004275D8" w:rsidRDefault="004275D8" w:rsidP="004275D8">
      <w:pPr>
        <w:pStyle w:val="Thesisnormal"/>
      </w:pPr>
      <w:r>
        <w:rPr>
          <w:noProof/>
          <w:lang w:eastAsia="en-GB"/>
        </w:rPr>
        <w:drawing>
          <wp:inline distT="0" distB="0" distL="0" distR="0" wp14:anchorId="2098E577" wp14:editId="24A7DC06">
            <wp:extent cx="5770659" cy="3695700"/>
            <wp:effectExtent l="0" t="0" r="1905" b="0"/>
            <wp:docPr id="25" name="Picture 25" descr="D:\Dropbox\PhD\Writing\Thesis\Chapter 4 Targetting M1 and M2 pathways\figures\RNAi-Arg wounding fig\RNAi-Arg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4 Targetting M1 and M2 pathways\figures\RNAi-Arg wounding fig\RNAi-Arg wounding fig.ti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37" b="53275"/>
                    <a:stretch/>
                  </pic:blipFill>
                  <pic:spPr bwMode="auto">
                    <a:xfrm>
                      <a:off x="0" y="0"/>
                      <a:ext cx="5774662" cy="3698264"/>
                    </a:xfrm>
                    <a:prstGeom prst="rect">
                      <a:avLst/>
                    </a:prstGeom>
                    <a:noFill/>
                    <a:ln>
                      <a:noFill/>
                    </a:ln>
                    <a:extLst>
                      <a:ext uri="{53640926-AAD7-44D8-BBD7-CCE9431645EC}">
                        <a14:shadowObscured xmlns:a14="http://schemas.microsoft.com/office/drawing/2010/main"/>
                      </a:ext>
                    </a:extLst>
                  </pic:spPr>
                </pic:pic>
              </a:graphicData>
            </a:graphic>
          </wp:inline>
        </w:drawing>
      </w:r>
    </w:p>
    <w:p w14:paraId="690F7433" w14:textId="2FCB0BAD" w:rsidR="004275D8" w:rsidRPr="00225EDA" w:rsidRDefault="004275D8" w:rsidP="004275D8">
      <w:pPr>
        <w:pStyle w:val="NoSpacing"/>
        <w:rPr>
          <w:b/>
        </w:rPr>
      </w:pPr>
      <w:r>
        <w:rPr>
          <w:b/>
        </w:rPr>
        <w:t>Fig</w:t>
      </w:r>
      <w:r w:rsidRPr="00225EDA">
        <w:rPr>
          <w:b/>
        </w:rPr>
        <w:t>ure 4.</w:t>
      </w:r>
      <w:r>
        <w:rPr>
          <w:b/>
        </w:rPr>
        <w:t>3</w:t>
      </w:r>
      <w:r w:rsidRPr="00225EDA">
        <w:rPr>
          <w:b/>
        </w:rPr>
        <w:t xml:space="preserve">. Knockdown of arginase within hemocytes does not affect </w:t>
      </w:r>
      <w:r w:rsidR="00482BB3">
        <w:rPr>
          <w:b/>
        </w:rPr>
        <w:t>recruitment to</w:t>
      </w:r>
      <w:r w:rsidRPr="00225EDA">
        <w:rPr>
          <w:b/>
        </w:rPr>
        <w:t xml:space="preserve"> wounds. </w:t>
      </w:r>
    </w:p>
    <w:p w14:paraId="10E9B0D5" w14:textId="5BA7888F" w:rsidR="004275D8" w:rsidRDefault="004275D8" w:rsidP="004275D8">
      <w:pPr>
        <w:pStyle w:val="NoSpacing"/>
      </w:pPr>
      <w:r>
        <w:t>(A) Representative stills of GFP-labelled hemocyte responses to wounds at 0- (top images) and 60-minutes (bottom images) post-wounding in stage 15 embryos for control (</w:t>
      </w:r>
      <w:r>
        <w:rPr>
          <w:i/>
        </w:rPr>
        <w:t>w;Srp-GAL4,UAS-GFP/+;Crq-GAL4,UAS-GFP/+</w:t>
      </w:r>
      <w:r>
        <w:t xml:space="preserve">) and </w:t>
      </w:r>
      <w:r w:rsidRPr="008E0287">
        <w:rPr>
          <w:i/>
        </w:rPr>
        <w:t>UAS-RNAi-Arg</w:t>
      </w:r>
      <w:r>
        <w:rPr>
          <w:i/>
        </w:rPr>
        <w:t xml:space="preserve"> (w;UAS-RNAi-arg/Srp-GAL4,UAS-GFP;Crq-GAL4,UAS-GFP/+)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n=29 and 28 for control and </w:t>
      </w:r>
      <w:r w:rsidRPr="008E0287">
        <w:rPr>
          <w:i/>
        </w:rPr>
        <w:t>UAS-RNAi-Arg</w:t>
      </w:r>
      <w:r>
        <w:t xml:space="preserve"> embryos respectively. One-way ANOVA with Dunnett’s multiple comparison test, p=0.9835. White dashed ovals outline wound perimeter. Scale bars represent 20μm.</w:t>
      </w:r>
      <w:r w:rsidR="00A354A3" w:rsidRPr="00A354A3">
        <w:t xml:space="preserve"> </w:t>
      </w:r>
      <w:r w:rsidR="00A354A3">
        <w:t>Control data is the same as in Fig 4.2, chapter 4 as these experiments were performed in parallel.</w:t>
      </w:r>
    </w:p>
    <w:p w14:paraId="703188DC" w14:textId="77777777" w:rsidR="004275D8" w:rsidRDefault="004275D8" w:rsidP="004275D8">
      <w:pPr>
        <w:pStyle w:val="Thesisnormal"/>
      </w:pPr>
    </w:p>
    <w:p w14:paraId="375C4394" w14:textId="77777777" w:rsidR="004275D8" w:rsidRDefault="004275D8" w:rsidP="004275D8">
      <w:pPr>
        <w:pStyle w:val="Thesisnormal"/>
      </w:pPr>
    </w:p>
    <w:p w14:paraId="69994EB8" w14:textId="77777777" w:rsidR="004275D8" w:rsidRDefault="004275D8" w:rsidP="004275D8">
      <w:pPr>
        <w:pStyle w:val="Thesisnormal"/>
      </w:pPr>
    </w:p>
    <w:p w14:paraId="396DCD66" w14:textId="77777777" w:rsidR="004275D8" w:rsidRDefault="004275D8" w:rsidP="004275D8">
      <w:pPr>
        <w:pStyle w:val="Thesisnormal"/>
      </w:pPr>
      <w:r>
        <w:rPr>
          <w:noProof/>
          <w:lang w:eastAsia="en-GB"/>
        </w:rPr>
        <w:lastRenderedPageBreak/>
        <w:drawing>
          <wp:inline distT="0" distB="0" distL="0" distR="0" wp14:anchorId="56B0AB32" wp14:editId="52A46EE9">
            <wp:extent cx="5902698" cy="7000875"/>
            <wp:effectExtent l="0" t="0" r="3175" b="0"/>
            <wp:docPr id="26" name="Picture 26" descr="D:\Dropbox\PhD\Writing\Thesis\Chapter 4 Targetting M1 and M2 pathways\figures\Cat wounding fig\UAS-Cat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Cat wounding fig\UAS-Cat wounding fig.tif"/>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6499"/>
                    <a:stretch/>
                  </pic:blipFill>
                  <pic:spPr bwMode="auto">
                    <a:xfrm>
                      <a:off x="0" y="0"/>
                      <a:ext cx="5906988" cy="7005963"/>
                    </a:xfrm>
                    <a:prstGeom prst="rect">
                      <a:avLst/>
                    </a:prstGeom>
                    <a:noFill/>
                    <a:ln>
                      <a:noFill/>
                    </a:ln>
                    <a:extLst>
                      <a:ext uri="{53640926-AAD7-44D8-BBD7-CCE9431645EC}">
                        <a14:shadowObscured xmlns:a14="http://schemas.microsoft.com/office/drawing/2010/main"/>
                      </a:ext>
                    </a:extLst>
                  </pic:spPr>
                </pic:pic>
              </a:graphicData>
            </a:graphic>
          </wp:inline>
        </w:drawing>
      </w:r>
    </w:p>
    <w:p w14:paraId="446D92C1" w14:textId="59F8BFCE" w:rsidR="004275D8" w:rsidRPr="0030625E" w:rsidRDefault="004275D8" w:rsidP="004275D8">
      <w:pPr>
        <w:pStyle w:val="NoSpacing"/>
        <w:rPr>
          <w:b/>
        </w:rPr>
      </w:pPr>
      <w:r>
        <w:rPr>
          <w:b/>
        </w:rPr>
        <w:t>Fig</w:t>
      </w:r>
      <w:r w:rsidRPr="0030625E">
        <w:rPr>
          <w:b/>
        </w:rPr>
        <w:t>ure 4.</w:t>
      </w:r>
      <w:r>
        <w:rPr>
          <w:b/>
        </w:rPr>
        <w:t>4</w:t>
      </w:r>
      <w:r w:rsidRPr="0030625E">
        <w:rPr>
          <w:b/>
        </w:rPr>
        <w:t xml:space="preserve">. Overexpression of </w:t>
      </w:r>
      <w:r>
        <w:rPr>
          <w:b/>
        </w:rPr>
        <w:t>catalase</w:t>
      </w:r>
      <w:r w:rsidRPr="0030625E">
        <w:rPr>
          <w:b/>
        </w:rPr>
        <w:t xml:space="preserve"> within hemocytes </w:t>
      </w:r>
      <w:r>
        <w:rPr>
          <w:b/>
        </w:rPr>
        <w:t>decreases</w:t>
      </w:r>
      <w:r w:rsidRPr="0030625E">
        <w:rPr>
          <w:b/>
        </w:rPr>
        <w:t xml:space="preserve"> hemocyte </w:t>
      </w:r>
      <w:r w:rsidR="00482BB3">
        <w:rPr>
          <w:b/>
        </w:rPr>
        <w:t>recruitment to wounds</w:t>
      </w:r>
      <w:r w:rsidRPr="0030625E">
        <w:rPr>
          <w:b/>
        </w:rPr>
        <w:t xml:space="preserve">. </w:t>
      </w:r>
    </w:p>
    <w:p w14:paraId="3AA3C1A4" w14:textId="44612E39" w:rsidR="004275D8" w:rsidRDefault="004275D8" w:rsidP="004275D8">
      <w:pPr>
        <w:pStyle w:val="NoSpacing"/>
      </w:pPr>
      <w:r>
        <w:t>(A) Representative stills of GFP-labelled hemocyte responses to wounds at 0- (top images) and 60-minutes (bottom images) post-wounding in stage 15 embryos for control (</w:t>
      </w:r>
      <w:r>
        <w:rPr>
          <w:i/>
        </w:rPr>
        <w:t>w;Srp-GAL4,UAS-GFP/+;Crq-GAL4,UAS-</w:t>
      </w:r>
      <w:r w:rsidRPr="00A5636D">
        <w:rPr>
          <w:i/>
        </w:rPr>
        <w:t>GFP/+</w:t>
      </w:r>
      <w:r>
        <w:t xml:space="preserve">) and </w:t>
      </w:r>
      <w:r w:rsidRPr="00FE7370">
        <w:rPr>
          <w:i/>
        </w:rPr>
        <w:t>UAS-Cat</w:t>
      </w:r>
      <w:r>
        <w:rPr>
          <w:i/>
        </w:rPr>
        <w:t xml:space="preserve"> (w;UAS-cat/Srp-GAL4,UAS-GFP;Crq-GAL4,UAS-</w:t>
      </w:r>
      <w:r w:rsidRPr="00A5636D">
        <w:rPr>
          <w:i/>
        </w:rPr>
        <w:t>GFP/+</w:t>
      </w:r>
      <w:r>
        <w:rPr>
          <w:i/>
        </w:rPr>
        <w:t>)</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n=21 for control and </w:t>
      </w:r>
      <w:r w:rsidRPr="00FE7370">
        <w:rPr>
          <w:i/>
        </w:rPr>
        <w:t xml:space="preserve">UAS-Cat </w:t>
      </w:r>
      <w:r>
        <w:t xml:space="preserve">embryos. Asterisks (**) represent Student’s t-test, p&lt;0.01. (C) Scatterplot of the number of hemocytes on the </w:t>
      </w:r>
      <w:r>
        <w:lastRenderedPageBreak/>
        <w:t xml:space="preserve">ventral nerve cord pre-wounding. Lines and error bars represent mean ± SD, n=23 and 29 for control and </w:t>
      </w:r>
      <w:r w:rsidRPr="00FE7370">
        <w:rPr>
          <w:i/>
        </w:rPr>
        <w:t xml:space="preserve">UAS-Cat </w:t>
      </w:r>
      <w:r>
        <w:t xml:space="preserve">embryos respectively. Student’s t-test, p=0.0667. White dashed ovals outline wound perimeter. Scale bars represent 20μm. </w:t>
      </w:r>
    </w:p>
    <w:p w14:paraId="37488E04" w14:textId="77777777" w:rsidR="004275D8" w:rsidRDefault="004275D8" w:rsidP="004275D8">
      <w:pPr>
        <w:pStyle w:val="Thesisnormal"/>
      </w:pPr>
    </w:p>
    <w:p w14:paraId="757CF655" w14:textId="77777777" w:rsidR="004275D8" w:rsidRDefault="004275D8" w:rsidP="004275D8">
      <w:pPr>
        <w:pStyle w:val="Thesisnormal"/>
      </w:pPr>
    </w:p>
    <w:p w14:paraId="560314A3" w14:textId="77777777" w:rsidR="004275D8" w:rsidRDefault="004275D8" w:rsidP="004275D8">
      <w:pPr>
        <w:pStyle w:val="Heading3"/>
      </w:pPr>
      <w:bookmarkStart w:id="176" w:name="_Toc4589344"/>
      <w:r>
        <w:t xml:space="preserve">4.2.5 Knockdown of GSS </w:t>
      </w:r>
      <w:r w:rsidRPr="00BB1D98">
        <w:t>does</w:t>
      </w:r>
      <w:r>
        <w:t xml:space="preserve"> not affect wounding responses</w:t>
      </w:r>
      <w:bookmarkEnd w:id="176"/>
    </w:p>
    <w:p w14:paraId="4F3B917F" w14:textId="77777777" w:rsidR="004275D8" w:rsidRDefault="004275D8" w:rsidP="004275D8">
      <w:pPr>
        <w:pStyle w:val="Thesisnormal"/>
      </w:pPr>
    </w:p>
    <w:p w14:paraId="3B499EA3" w14:textId="18498889" w:rsidR="004275D8" w:rsidRPr="00FF378C" w:rsidRDefault="004275D8" w:rsidP="004275D8">
      <w:pPr>
        <w:pStyle w:val="Thesisnormal"/>
      </w:pPr>
      <w:r>
        <w:t xml:space="preserve">As we could demonstrate that overexpressing catalase within hemocytes decreased the </w:t>
      </w:r>
      <w:r w:rsidR="00482BB3">
        <w:t xml:space="preserve">number of hemocytes recruited to the </w:t>
      </w:r>
      <w:r>
        <w:t>wound, we decided to further investigate oxidative stress in hemocytes. Glutathione is a potent anti-oxidant that has been shown to function in T</w:t>
      </w:r>
      <w:r>
        <w:rPr>
          <w:vertAlign w:val="subscript"/>
        </w:rPr>
        <w:t>H</w:t>
      </w:r>
      <w:r>
        <w:t>1/T</w:t>
      </w:r>
      <w:r>
        <w:rPr>
          <w:vertAlign w:val="subscript"/>
        </w:rPr>
        <w:t>H</w:t>
      </w:r>
      <w:r>
        <w:t xml:space="preserve">2 responses </w:t>
      </w:r>
      <w:r>
        <w:fldChar w:fldCharType="begin"/>
      </w:r>
      <w:r w:rsidR="000A209C">
        <w:instrText xml:space="preserve"> ADDIN ZOTERO_ITEM CSL_CITATION {"citationID":"N8yujIxX","properties":{"formattedCitation":"(408)","plainCitation":"(408)","noteIndex":0},"citationItems":[{"id":1587,"uris":["http://zotero.org/users/952979/items/3MRX8UE4"],"uri":["http://zotero.org/users/952979/items/3MRX8UE4"],"itemData":{"id":1587,"type":"article-journal","title":"Glutathione levels in antigen-presenting cells modulate Th1 versus Th2 response patterns","container-title":"Proceedings of the National Academy of Sciences of the United States of America","page":"3071-3076","volume":"95","issue":"6","source":"PubMed","abstract":"Current thinking attributes the balance between T helper 1 (Th1) and Th2 cytokine response patterns in immune responses to the nature of the antigen, the genetic composition of the host, and the cytokines involved in the early interaction between T cells and antigen-presenting cells. Here we introduce glutathione, a tripeptide that regulates intracellular redox and other aspects of cell physiology, as a key regulatory element in this process. By using three different methods to deplete glutathione from T cell receptor transgenic and conventional mice and studying in vivo and/or in vitro responses to three distinct antigens, we show that glutathione levels in antigen-presenting cells determine whether Th1 or Th2 response patterns predominate. These findings present new insights into immune response alterations in HIV and other diseases. Further, they potentially offer an explanation for the well known differences in immune responses in \"Th1\" and \"Th2\" mouse strains.","ISSN":"0027-8424","note":"PMID: 9501217\nPMCID: PMC19696","journalAbbreviation":"Proc. Natl. Acad. Sci. U.S.A.","language":"eng","author":[{"family":"Peterson","given":"J. D."},{"family":"Herzenberg","given":"L. A."},{"family":"Vasquez","given":"K."},{"family":"Waltenbaugh","given":"C."}],"issued":{"date-parts":[["1998",3,17]]}}}],"schema":"https://github.com/citation-style-language/schema/raw/master/csl-citation.json"} </w:instrText>
      </w:r>
      <w:r>
        <w:fldChar w:fldCharType="separate"/>
      </w:r>
      <w:r w:rsidR="00A53A6B" w:rsidRPr="00A53A6B">
        <w:rPr>
          <w:rFonts w:ascii="Calibri" w:hAnsi="Calibri"/>
        </w:rPr>
        <w:t>(408)</w:t>
      </w:r>
      <w:r>
        <w:fldChar w:fldCharType="end"/>
      </w:r>
      <w:r>
        <w:t xml:space="preserve"> in addition to macrophage M1/M2 responses </w:t>
      </w:r>
      <w:r>
        <w:fldChar w:fldCharType="begin"/>
      </w:r>
      <w:r w:rsidR="000A209C">
        <w:instrText xml:space="preserve"> ADDIN ZOTERO_ITEM CSL_CITATION {"citationID":"rCZy8HJA","properties":{"formattedCitation":"(409,410)","plainCitation":"(409,410)","noteIndex":0},"citationItems":[{"id":1850,"uris":["http://zotero.org/users/952979/items/ACS8IN9K"],"uri":["http://zotero.org/users/952979/items/ACS8IN9K"],"itemData":{"id":1850,"type":"article-journal","title":"Regulation of LPS induced IL-12 production by IFN-γ and IL-4 through intracellular glutathione status in human alveolar macrophages","container-title":"Clinical and Experimental Immunology","page":"290-296","volume":"124","issue":"2","source":"PubMed Central","abstract":"Interleukin-12 (IL-12) is secreted from monocytes and macrophages; it exerts pleiotropic effects on T cells and natural killer (NK) cells, and stimulates interferon-γ (IFN-γ) secretion. Glutathione tripeptide regulates the intracellular redox status and other aspects of cell physiology. We examined whether IFN-γ and IL-4 affect the balance between intracellular reduced glutathione (GSH) and oxidized (GSSG) glutathione, as this may affect IL-12 production in human alveolar macrophages (AM). We used both AM from healthy non-smokers obtained by bronchoalveolar lavage and the monocytic THP-1 cell line in this study. Incubation of AM for 2 h with the GSH precursor N-acetylcysteine (NAC) increased the intracellular GSH/GSSG ratio, and enhanced lipopolysaccharide (LPS)-induced IL-12 secretion by AM. In THP-1 cells, NAC increased the GSH/GSSG ratio and the expression of LPS-induced IL-12 mRNA, whereas l-buthionine-[S,R]-sulphoximine (BSO) decreased these. NAC and BSO offset their own effects on the intracellular GSH/GSSG ratio and the expression of LPS-induced IL-12 mRNA. Furthermore, exposure of AM to the helper T cell type 1 (Th1) cytokine IFN-γ or the helper T cell type 2 (Th2) cytokine IL-4 for 72 h increased and decreased the GSH/GSSG ratio, respectively. Lipopolysaccharide (LPS)-induced secretion of IL-12 in AM was enhanced by IFN-γ but inhibited by IL-4. These results suggest that IFN-γ and IL-4 oppositely affect the GSH/GSSG balance, which may regulate IL-12 secretion from AM in response to LPS.","DOI":"10.1046/j.1365-2249.2001.01535.x","ISSN":"0009-9104","note":"PMID: 11422207\nPMCID: PMC1906042","journalAbbreviation":"Clin Exp Immunol","author":[{"family":"Dobashi","given":"K"},{"family":"Aihara","given":"M"},{"family":"Araki","given":"T"},{"family":"Shimizu","given":"Y"},{"family":"Utsugi","given":"M"},{"family":"Iizuka","given":"K"},{"family":"Murata","given":"Y"},{"family":"Hamuro","given":"J"},{"family":"Nakazawa","given":"T"},{"family":"Mori","given":"M"}],"issued":{"date-parts":[["2001",5]]}}},{"id":1586,"uris":["http://zotero.org/users/952979/items/EW7UGV86"],"uri":["http://zotero.org/users/952979/items/EW7UGV86"],"itemData":{"id":1586,"type":"article-journal","title":"Identification of a novel macrophage phenotype that develops in response to atherogenic phospholipids via Nrf2","container-title":"Circulation research","page":"737-746","volume":"107","issue":"6","source":"PubMed Central","abstract":"Rationale\nMacrophages change their phenotype and biological functions depending on the microenvironment. In atherosclerosis, oxidative tissue damage accompanies chronic inflammation, however, macrophage phenotypic changes in response to oxidatively modified molecules are not known.\n\nObjective\nTo examine macrophage phenotypic changes in response to oxidized phospholipids that are present in atherosclerotic lesions.\n\nMethods and Results\nWe show that oxidized phospholipid-treated macrophages develop into a novel phenotype (Mox), strikingly different from the conventional M1 and M2 macrophage phenotypes. Compared to M1 and M2, Mox show a different gene expression pattern, as well as decreased phagocytotic and chemotactic capacity. Treatment with oxidized phospholipids induces both M1 and M2 macrophages to switch to the Mox phenotype. Whole genome expression array analysis and subsequent gene ontology clustering revealed that the Mox phenotype was characterized by abundant over-representation of Nrf2-mediated expression of redox-regulatory genes. In macrophages isolated from Nrf2−/− mice, oxidized phospholipid-induced gene expression and regulation of redox status were compromised. Moreover, we found that Mox macrophages comprise 30% of all macrophages cells in advanced atherosclerotic lesions of LDL receptor knockout mice.\n\nConclusions\nTogether, we identify Nrf2 as a key regulator in the formation of a novel macrophage phenotype (Mox) that develops in response to oxidative tissue damage. The unique biological properties of Mox suggest this phenotype may play an important role in atherosclerotic lesion development as well as in other settings of chronic inflammation.","DOI":"10.1161/CIRCRESAHA.109.215715","ISSN":"0009-7330","note":"PMID: 20651288\nPMCID: PMC2941538","journalAbbreviation":"Circ Res","author":[{"family":"Kadl","given":"Alexandra"},{"family":"Meher","given":"Akshaya K."},{"family":"Sharma","given":"Poonam R."},{"family":"Lee","given":"Monica Y."},{"family":"Doran","given":"Amanda C."},{"family":"Johnstone","given":"Scott R."},{"family":"Elliott","given":"Michael R."},{"family":"Gruber","given":"Florian"},{"family":"Han","given":"Jenny"},{"family":"Chen","given":"Wenshu"},{"family":"Kensler","given":"Thomas"},{"family":"Ravichandran","given":"Kodi S."},{"family":"Isakson","given":"Brant E."},{"family":"Wamhoff","given":"Brian R."},{"family":"Leitinger","given":"Norbert"}],"issued":{"date-parts":[["2010",9,17]]}}}],"schema":"https://github.com/citation-style-language/schema/raw/master/csl-citation.json"} </w:instrText>
      </w:r>
      <w:r>
        <w:fldChar w:fldCharType="separate"/>
      </w:r>
      <w:r w:rsidR="00A53A6B" w:rsidRPr="00A53A6B">
        <w:rPr>
          <w:rFonts w:ascii="Calibri" w:hAnsi="Calibri"/>
        </w:rPr>
        <w:t>(409,410)</w:t>
      </w:r>
      <w:r>
        <w:fldChar w:fldCharType="end"/>
      </w:r>
      <w:r>
        <w:t xml:space="preserve">. The ratio of oxidised glutathione to non-oxidised (GSH:GSSG) is lower in M2 polarised macrophages than in M1 macrophages </w:t>
      </w:r>
      <w:r>
        <w:fldChar w:fldCharType="begin"/>
      </w:r>
      <w:r w:rsidR="000A209C">
        <w:instrText xml:space="preserve"> ADDIN ZOTERO_ITEM CSL_CITATION {"citationID":"iZgP5szI","properties":{"formattedCitation":"(410)","plainCitation":"(410)","noteIndex":0},"citationItems":[{"id":1586,"uris":["http://zotero.org/users/952979/items/EW7UGV86"],"uri":["http://zotero.org/users/952979/items/EW7UGV86"],"itemData":{"id":1586,"type":"article-journal","title":"Identification of a novel macrophage phenotype that develops in response to atherogenic phospholipids via Nrf2","container-title":"Circulation research","page":"737-746","volume":"107","issue":"6","source":"PubMed Central","abstract":"Rationale\nMacrophages change their phenotype and biological functions depending on the microenvironment. In atherosclerosis, oxidative tissue damage accompanies chronic inflammation, however, macrophage phenotypic changes in response to oxidatively modified molecules are not known.\n\nObjective\nTo examine macrophage phenotypic changes in response to oxidized phospholipids that are present in atherosclerotic lesions.\n\nMethods and Results\nWe show that oxidized phospholipid-treated macrophages develop into a novel phenotype (Mox), strikingly different from the conventional M1 and M2 macrophage phenotypes. Compared to M1 and M2, Mox show a different gene expression pattern, as well as decreased phagocytotic and chemotactic capacity. Treatment with oxidized phospholipids induces both M1 and M2 macrophages to switch to the Mox phenotype. Whole genome expression array analysis and subsequent gene ontology clustering revealed that the Mox phenotype was characterized by abundant over-representation of Nrf2-mediated expression of redox-regulatory genes. In macrophages isolated from Nrf2−/− mice, oxidized phospholipid-induced gene expression and regulation of redox status were compromised. Moreover, we found that Mox macrophages comprise 30% of all macrophages cells in advanced atherosclerotic lesions of LDL receptor knockout mice.\n\nConclusions\nTogether, we identify Nrf2 as a key regulator in the formation of a novel macrophage phenotype (Mox) that develops in response to oxidative tissue damage. The unique biological properties of Mox suggest this phenotype may play an important role in atherosclerotic lesion development as well as in other settings of chronic inflammation.","DOI":"10.1161/CIRCRESAHA.109.215715","ISSN":"0009-7330","note":"PMID: 20651288\nPMCID: PMC2941538","journalAbbreviation":"Circ Res","author":[{"family":"Kadl","given":"Alexandra"},{"family":"Meher","given":"Akshaya K."},{"family":"Sharma","given":"Poonam R."},{"family":"Lee","given":"Monica Y."},{"family":"Doran","given":"Amanda C."},{"family":"Johnstone","given":"Scott R."},{"family":"Elliott","given":"Michael R."},{"family":"Gruber","given":"Florian"},{"family":"Han","given":"Jenny"},{"family":"Chen","given":"Wenshu"},{"family":"Kensler","given":"Thomas"},{"family":"Ravichandran","given":"Kodi S."},{"family":"Isakson","given":"Brant E."},{"family":"Wamhoff","given":"Brian R."},{"family":"Leitinger","given":"Norbert"}],"issued":{"date-parts":[["2010",9,17]]}}}],"schema":"https://github.com/citation-style-language/schema/raw/master/csl-citation.json"} </w:instrText>
      </w:r>
      <w:r>
        <w:fldChar w:fldCharType="separate"/>
      </w:r>
      <w:r w:rsidR="00A53A6B" w:rsidRPr="00A53A6B">
        <w:rPr>
          <w:rFonts w:ascii="Calibri" w:hAnsi="Calibri"/>
        </w:rPr>
        <w:t>(410)</w:t>
      </w:r>
      <w:r>
        <w:fldChar w:fldCharType="end"/>
      </w:r>
      <w:r>
        <w:t xml:space="preserve">. Glutathione synthesis occurs in two steps, with the first step requiring </w:t>
      </w:r>
      <w:r w:rsidRPr="002C1F96">
        <w:t>glutamylcysteine synthetase</w:t>
      </w:r>
      <w:r>
        <w:t xml:space="preserve"> and the second step requiring glutathione synthetase (GSS) </w:t>
      </w:r>
      <w:r>
        <w:fldChar w:fldCharType="begin"/>
      </w:r>
      <w:r w:rsidR="000A209C">
        <w:instrText xml:space="preserve"> ADDIN ZOTERO_ITEM CSL_CITATION {"citationID":"Be8YlvYc","properties":{"formattedCitation":"(411)","plainCitation":"(411)","noteIndex":0},"citationItems":[{"id":1585,"uris":["http://zotero.org/users/952979/items/GFH7XNR2"],"uri":["http://zotero.org/users/952979/items/GFH7XNR2"],"itemData":{"id":1585,"type":"article-journal","title":"GLUTATHIONE SYNTHESIS","container-title":"Biochimica et biophysica acta","page":"3143-3153","volume":"1830","issue":"5","source":"PubMed Central","abstract":"BACKGROUND\nGlutathione (GSH) is present in all mammalian tissues as the most abundant non-protein thiol that defends against oxidative stress. GSH is also a key determinant of redox signaling, vital in detoxification of xenobiotics, regulates cell proliferation, apoptosis, immune function, and fibrogenesis. Biosynthesis of GSH occurs in the cytosol in a tightly regulated manner. Key determinants of GSH synthesis are the availability of the sulfur amino acid precursor, cysteine, and the activity of the rate-limiting enzyme, glutamate cysteine ligase (GCL), which is composed of a catalytic (GCLC) and a modifier (GCLM) subunit. The second enzyme of GSH synthesis is GSH synthetase (GS).\n\nSCOPE OF REVIEW\nThis review summarizes key functions of GSH and focuses on factors that regulate the biosynthesis of GSH, including pathological conditions where GSH synthesis is dysregulated.\n\nMAJOR CONCLUSIONS\nGCL subunits and GS are regulated at multiple levels and often in a coordinated manner. Key transcription factors that regulate the expression of these genes include NF-E2 related factor 2 (Nrf2) via the antioxidant response element (ARE), AP-1, and nuclear factor kappa B (NFκB). There is increasing evidence that dysregulation of GSH synthesis contributes to the pathogenesis of many pathological conditions. These include diabetes mellitus, pulmonary and liver fibrosis, alcoholic liver disease, cholestatic liver injury, endotoxemia and drug-resistant tumor cells.\n\nGENERAL SIGNIFICANCE\nGSH is a key antioxidant that also modulates diverse cellular processes. A better understanding of how its synthesis is regulated and dysregulated in disease states may lead to improvement in the treatment of these disorders.","DOI":"10.1016/j.bbagen.2012.09.008","ISSN":"0006-3002","note":"PMID: 22995213\nPMCID: PMC3549305","journalAbbreviation":"Biochim Biophys Acta","author":[{"family":"Lu","given":"Shelly C."}],"issued":{"date-parts":[["2013",5]]}}}],"schema":"https://github.com/citation-style-language/schema/raw/master/csl-citation.json"} </w:instrText>
      </w:r>
      <w:r>
        <w:fldChar w:fldCharType="separate"/>
      </w:r>
      <w:r w:rsidR="00A53A6B" w:rsidRPr="00A53A6B">
        <w:rPr>
          <w:rFonts w:ascii="Calibri" w:hAnsi="Calibri"/>
        </w:rPr>
        <w:t>(411)</w:t>
      </w:r>
      <w:r>
        <w:fldChar w:fldCharType="end"/>
      </w:r>
      <w:r>
        <w:t xml:space="preserve">. However, the precise role of glutathione in </w:t>
      </w:r>
      <w:r>
        <w:rPr>
          <w:i/>
        </w:rPr>
        <w:t xml:space="preserve">Drosophila </w:t>
      </w:r>
      <w:r>
        <w:t>hemocytes is not known. We utilised RNAi against GSS (</w:t>
      </w:r>
      <w:r w:rsidRPr="00B22C2B">
        <w:rPr>
          <w:i/>
        </w:rPr>
        <w:t>w;Srp-GAL4,UAS-GFP/UAS-RNAi-GSS;Crq-GAL4,UAS-GFP/+)</w:t>
      </w:r>
      <w:r>
        <w:t xml:space="preserve"> as a method of potentially increasing the oxidative stress within hemocytes by reducing this key anti-oxidant. We expected to potentially observe the opposite result to that with </w:t>
      </w:r>
      <w:r w:rsidRPr="00150925">
        <w:rPr>
          <w:i/>
        </w:rPr>
        <w:t>UAS-Cat</w:t>
      </w:r>
      <w:r>
        <w:rPr>
          <w:i/>
        </w:rPr>
        <w:t>,</w:t>
      </w:r>
      <w:r w:rsidRPr="00150925">
        <w:t xml:space="preserve"> which reduced oxidative stress.</w:t>
      </w:r>
      <w:r>
        <w:t xml:space="preserve"> We found that there was no significant difference in </w:t>
      </w:r>
      <w:r w:rsidR="00482BB3">
        <w:t>recruitment to wounds</w:t>
      </w:r>
      <w:r>
        <w:t xml:space="preserve"> between embryos with decreased GSS compared to controls (n=15 and 14 embryos for control and </w:t>
      </w:r>
      <w:r w:rsidRPr="008E0287">
        <w:rPr>
          <w:i/>
        </w:rPr>
        <w:t>UAS-RNAi-GSS</w:t>
      </w:r>
      <w:r>
        <w:t xml:space="preserve"> respectively, Student’s t-test, p=0.6481, Fig 4.5). This suggests that GSS may not control hemocyte behaviour, however, we have not directly investigated the ratio of GSH:GSSG and have not shown this to be altered so this remains an open question. </w:t>
      </w:r>
    </w:p>
    <w:p w14:paraId="1257A377" w14:textId="77777777" w:rsidR="004275D8" w:rsidRDefault="004275D8" w:rsidP="004275D8">
      <w:pPr>
        <w:pStyle w:val="Thesisnormal"/>
      </w:pPr>
    </w:p>
    <w:p w14:paraId="4726D450" w14:textId="77777777" w:rsidR="004275D8" w:rsidRDefault="004275D8" w:rsidP="004275D8">
      <w:pPr>
        <w:pStyle w:val="Thesisnormal"/>
      </w:pPr>
    </w:p>
    <w:p w14:paraId="37ABD0DD" w14:textId="77777777" w:rsidR="004275D8" w:rsidRDefault="004275D8" w:rsidP="004275D8">
      <w:pPr>
        <w:pStyle w:val="Thesisnormal"/>
      </w:pPr>
    </w:p>
    <w:p w14:paraId="557872EB" w14:textId="77777777" w:rsidR="004275D8" w:rsidRDefault="004275D8" w:rsidP="004275D8">
      <w:pPr>
        <w:pStyle w:val="Thesisnormal"/>
      </w:pPr>
    </w:p>
    <w:p w14:paraId="08DD89E6" w14:textId="77777777" w:rsidR="004275D8" w:rsidRDefault="004275D8" w:rsidP="004275D8">
      <w:pPr>
        <w:pStyle w:val="Thesisnormal"/>
      </w:pPr>
    </w:p>
    <w:p w14:paraId="35FFFEF1" w14:textId="77777777" w:rsidR="004275D8" w:rsidRDefault="004275D8" w:rsidP="004275D8">
      <w:pPr>
        <w:pStyle w:val="Thesisnormal"/>
      </w:pPr>
    </w:p>
    <w:p w14:paraId="38E43AD8" w14:textId="77777777" w:rsidR="004275D8" w:rsidRDefault="004275D8" w:rsidP="004275D8">
      <w:pPr>
        <w:pStyle w:val="Thesisnormal"/>
      </w:pPr>
      <w:r>
        <w:rPr>
          <w:noProof/>
          <w:lang w:eastAsia="en-GB"/>
        </w:rPr>
        <w:lastRenderedPageBreak/>
        <w:drawing>
          <wp:inline distT="0" distB="0" distL="0" distR="0" wp14:anchorId="093FC102" wp14:editId="6DDC0D77">
            <wp:extent cx="5971233" cy="3781425"/>
            <wp:effectExtent l="0" t="0" r="0" b="0"/>
            <wp:docPr id="27" name="Picture 27" descr="D:\Dropbox\PhD\Writing\Thesis\Chapter 4 Targetting M1 and M2 pathways\figures\RNAi-GSS wounding fig\RNAi-GSS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RNAi-GSS wounding fig\RNAi-GSS wounding fig.tif"/>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5416"/>
                    <a:stretch/>
                  </pic:blipFill>
                  <pic:spPr bwMode="auto">
                    <a:xfrm>
                      <a:off x="0" y="0"/>
                      <a:ext cx="5977823" cy="3785599"/>
                    </a:xfrm>
                    <a:prstGeom prst="rect">
                      <a:avLst/>
                    </a:prstGeom>
                    <a:noFill/>
                    <a:ln>
                      <a:noFill/>
                    </a:ln>
                    <a:extLst>
                      <a:ext uri="{53640926-AAD7-44D8-BBD7-CCE9431645EC}">
                        <a14:shadowObscured xmlns:a14="http://schemas.microsoft.com/office/drawing/2010/main"/>
                      </a:ext>
                    </a:extLst>
                  </pic:spPr>
                </pic:pic>
              </a:graphicData>
            </a:graphic>
          </wp:inline>
        </w:drawing>
      </w:r>
    </w:p>
    <w:p w14:paraId="26B23B66" w14:textId="11E5AD13" w:rsidR="004275D8" w:rsidRPr="0030625E" w:rsidRDefault="004275D8" w:rsidP="004275D8">
      <w:pPr>
        <w:pStyle w:val="NoSpacing"/>
        <w:rPr>
          <w:b/>
        </w:rPr>
      </w:pPr>
      <w:r>
        <w:rPr>
          <w:b/>
        </w:rPr>
        <w:t>Fig</w:t>
      </w:r>
      <w:r w:rsidRPr="0030625E">
        <w:rPr>
          <w:b/>
        </w:rPr>
        <w:t>ure 4.</w:t>
      </w:r>
      <w:r>
        <w:rPr>
          <w:b/>
        </w:rPr>
        <w:t>5</w:t>
      </w:r>
      <w:r w:rsidRPr="0030625E">
        <w:rPr>
          <w:b/>
        </w:rPr>
        <w:t xml:space="preserve">. </w:t>
      </w:r>
      <w:r>
        <w:rPr>
          <w:b/>
        </w:rPr>
        <w:t>Knockdown</w:t>
      </w:r>
      <w:r w:rsidRPr="0030625E">
        <w:rPr>
          <w:b/>
        </w:rPr>
        <w:t xml:space="preserve"> of </w:t>
      </w:r>
      <w:r>
        <w:rPr>
          <w:b/>
        </w:rPr>
        <w:t xml:space="preserve">GSS </w:t>
      </w:r>
      <w:r w:rsidRPr="0030625E">
        <w:rPr>
          <w:b/>
        </w:rPr>
        <w:t xml:space="preserve">within hemocytes </w:t>
      </w:r>
      <w:r>
        <w:rPr>
          <w:b/>
        </w:rPr>
        <w:t>does not affect</w:t>
      </w:r>
      <w:r w:rsidRPr="0030625E">
        <w:rPr>
          <w:b/>
        </w:rPr>
        <w:t xml:space="preserve"> </w:t>
      </w:r>
      <w:r w:rsidR="00482BB3">
        <w:rPr>
          <w:b/>
        </w:rPr>
        <w:t>hemocyte recruitment to wounds</w:t>
      </w:r>
      <w:r w:rsidRPr="0030625E">
        <w:rPr>
          <w:b/>
        </w:rPr>
        <w:t xml:space="preserve">. </w:t>
      </w:r>
    </w:p>
    <w:p w14:paraId="1E9D841C" w14:textId="70CD94F1" w:rsidR="004275D8" w:rsidRDefault="004275D8" w:rsidP="004275D8">
      <w:pPr>
        <w:pStyle w:val="NoSpacing"/>
      </w:pPr>
      <w:r>
        <w:t>(A) Representative stills of GFP-labelled hemocyte responses to wounds at 0- (top images) and 60-minutes (bottom images) post-wounding in stage 15 embryos for control (</w:t>
      </w:r>
      <w:r>
        <w:rPr>
          <w:i/>
        </w:rPr>
        <w:t xml:space="preserve">w;Srp-GAL4,UAS-GFP;Crq-GAL4,UAS-GFP/+) </w:t>
      </w:r>
      <w:r>
        <w:t xml:space="preserve">and </w:t>
      </w:r>
      <w:r w:rsidRPr="008E0287">
        <w:rPr>
          <w:i/>
        </w:rPr>
        <w:t>UAS-RNAi-GSS</w:t>
      </w:r>
      <w:r>
        <w:rPr>
          <w:i/>
        </w:rPr>
        <w:t xml:space="preserve"> (w;UAS-RNAi-GSS/</w:t>
      </w:r>
      <w:r w:rsidRPr="00CC191B">
        <w:rPr>
          <w:i/>
        </w:rPr>
        <w:t xml:space="preserve"> </w:t>
      </w:r>
      <w:r>
        <w:rPr>
          <w:i/>
        </w:rPr>
        <w:t>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n=15 and 14 for control and </w:t>
      </w:r>
      <w:r w:rsidRPr="008E0287">
        <w:rPr>
          <w:i/>
        </w:rPr>
        <w:t>UAS-RNAi-GSS</w:t>
      </w:r>
      <w:r>
        <w:t xml:space="preserve"> embryos, Student’s t-test, p=0.6481. White dashed ovals outline wound perimeter. Scale bars represent 20μm. </w:t>
      </w:r>
    </w:p>
    <w:p w14:paraId="1BE1E7A9" w14:textId="77777777" w:rsidR="004275D8" w:rsidRDefault="004275D8" w:rsidP="004275D8">
      <w:pPr>
        <w:pStyle w:val="Thesisnormal"/>
      </w:pPr>
    </w:p>
    <w:p w14:paraId="44810ECB" w14:textId="77777777" w:rsidR="004275D8" w:rsidRDefault="004275D8" w:rsidP="004275D8">
      <w:pPr>
        <w:pStyle w:val="Thesisnormal"/>
      </w:pPr>
    </w:p>
    <w:p w14:paraId="262157C4" w14:textId="77777777" w:rsidR="004275D8" w:rsidRDefault="004275D8" w:rsidP="004275D8">
      <w:pPr>
        <w:pStyle w:val="Thesisnormal"/>
      </w:pPr>
    </w:p>
    <w:p w14:paraId="6830C1C2" w14:textId="77777777" w:rsidR="004275D8" w:rsidRDefault="004275D8" w:rsidP="004275D8">
      <w:pPr>
        <w:pStyle w:val="Thesisnormal"/>
      </w:pPr>
    </w:p>
    <w:p w14:paraId="31861B3A" w14:textId="77777777" w:rsidR="004275D8" w:rsidRDefault="004275D8" w:rsidP="004275D8">
      <w:pPr>
        <w:pStyle w:val="Thesisnormal"/>
      </w:pPr>
    </w:p>
    <w:p w14:paraId="00CF3B31" w14:textId="77777777" w:rsidR="004275D8" w:rsidRDefault="004275D8" w:rsidP="004275D8">
      <w:pPr>
        <w:pStyle w:val="Thesisnormal"/>
      </w:pPr>
    </w:p>
    <w:p w14:paraId="291E8657" w14:textId="77777777" w:rsidR="004275D8" w:rsidRDefault="004275D8" w:rsidP="004275D8">
      <w:pPr>
        <w:pStyle w:val="Thesisnormal"/>
      </w:pPr>
    </w:p>
    <w:p w14:paraId="131492A6" w14:textId="77777777" w:rsidR="004275D8" w:rsidRDefault="004275D8" w:rsidP="004275D8">
      <w:pPr>
        <w:pStyle w:val="Thesisnormal"/>
      </w:pPr>
    </w:p>
    <w:p w14:paraId="174A9D85" w14:textId="77777777" w:rsidR="004275D8" w:rsidRDefault="004275D8" w:rsidP="004275D8">
      <w:pPr>
        <w:pStyle w:val="Thesisnormal"/>
      </w:pPr>
    </w:p>
    <w:p w14:paraId="2489C3C8" w14:textId="77777777" w:rsidR="004275D8" w:rsidRDefault="004275D8" w:rsidP="004275D8">
      <w:pPr>
        <w:pStyle w:val="Thesisnormal"/>
      </w:pPr>
    </w:p>
    <w:p w14:paraId="5428A449" w14:textId="77777777" w:rsidR="004275D8" w:rsidRDefault="004275D8" w:rsidP="004275D8">
      <w:pPr>
        <w:pStyle w:val="Thesisnormal"/>
      </w:pPr>
    </w:p>
    <w:p w14:paraId="363377CC" w14:textId="0AD9D0D5" w:rsidR="004275D8" w:rsidRDefault="004275D8" w:rsidP="004275D8">
      <w:pPr>
        <w:pStyle w:val="Heading3"/>
      </w:pPr>
      <w:bookmarkStart w:id="177" w:name="_Toc4589345"/>
      <w:r>
        <w:lastRenderedPageBreak/>
        <w:t xml:space="preserve">4.2.6 Knockdown of Keap1 in hemocytes does not alter </w:t>
      </w:r>
      <w:r w:rsidR="00482BB3">
        <w:t>recruitment to wounds</w:t>
      </w:r>
      <w:bookmarkEnd w:id="177"/>
    </w:p>
    <w:p w14:paraId="6F87A539" w14:textId="77777777" w:rsidR="004275D8" w:rsidRDefault="004275D8" w:rsidP="004275D8">
      <w:pPr>
        <w:pStyle w:val="Thesisnormal"/>
      </w:pPr>
    </w:p>
    <w:p w14:paraId="41DA6CED" w14:textId="311D5312" w:rsidR="004275D8" w:rsidRPr="006A16C9" w:rsidRDefault="004275D8" w:rsidP="004275D8">
      <w:pPr>
        <w:pStyle w:val="Thesisnormal"/>
      </w:pPr>
      <w:r>
        <w:t>Nuclear factor erythroid 2-related factor (</w:t>
      </w:r>
      <w:r w:rsidRPr="00B22C2B">
        <w:t>Nrf2</w:t>
      </w:r>
      <w:r>
        <w:t xml:space="preserve">) is responsible for the regulation of various antioxidant proteins </w:t>
      </w:r>
      <w:r>
        <w:fldChar w:fldCharType="begin"/>
      </w:r>
      <w:r w:rsidR="000A209C">
        <w:instrText xml:space="preserve"> ADDIN ZOTERO_ITEM CSL_CITATION {"citationID":"bQiZFQ3t","properties":{"formattedCitation":"(412)","plainCitation":"(412)","noteIndex":0},"citationItems":[{"id":1594,"uris":["http://zotero.org/users/952979/items/GVQA5GAQ"],"uri":["http://zotero.org/users/952979/items/GVQA5GAQ"],"itemData":{"id":1594,"type":"article-journal","title":"Role of Nrf2 in Oxidative Stress and Toxicity","container-title":"Annual review of pharmacology and toxicology","page":"401-426","volume":"53","source":"PubMed Central","abstract":"Organismal life encounters reactive oxidants from internal metabolism and environmental toxicant exposure. Reactive oxygen and nitrogen species cause oxidative stress and are traditionally viewed as being harmful. On the other hand, controlled production of oxidants in normal cells serves useful purposes to regulate signaling pathways. Reactive oxidants are counterbalanced by complex antioxidant defense systems regulated by a web of pathways to ensure that the response to oxidants is adequate for the body’s needs. A recurrent theme in oxidant signaling and antioxidant defense is reactive cysteine thiol–based redox signaling. The nuclear factor erythroid 2–related factor 2 (Nrf2) is an emerging regulator of cellular resistance to oxidants. Nrf2 controls the basal and induced expression of an array of antioxidant response element–dependent genes to regulate the physiological and pathophysiological outcomes of oxidant exposure. This review discusses the impact of Nrf2 on oxidative stress and toxicity and how Nrf2 senses oxidants and regulates antioxidant defense.","DOI":"10.1146/annurev-pharmtox-011112-140320","ISSN":"0362-1642","note":"PMID: 23294312\nPMCID: PMC4680839","journalAbbreviation":"Annu Rev Pharmacol Toxicol","author":[{"family":"Ma","given":"Qiang"}],"issued":{"date-parts":[["2013"]]}}}],"schema":"https://github.com/citation-style-language/schema/raw/master/csl-citation.json"} </w:instrText>
      </w:r>
      <w:r>
        <w:fldChar w:fldCharType="separate"/>
      </w:r>
      <w:r w:rsidR="00A53A6B" w:rsidRPr="00A53A6B">
        <w:rPr>
          <w:rFonts w:ascii="Calibri" w:hAnsi="Calibri"/>
        </w:rPr>
        <w:t>(412)</w:t>
      </w:r>
      <w:r>
        <w:fldChar w:fldCharType="end"/>
      </w:r>
      <w:r>
        <w:t>. Under basal conditions, Nrf2 is repressed via Kelch-like ECH-Associated protein-1 (</w:t>
      </w:r>
      <w:r w:rsidRPr="00B22C2B">
        <w:t>Keap1</w:t>
      </w:r>
      <w:r>
        <w:t xml:space="preserve">) dependent ubiquitin-mediated degradation </w:t>
      </w:r>
      <w:r>
        <w:fldChar w:fldCharType="begin"/>
      </w:r>
      <w:r w:rsidR="000A209C">
        <w:instrText xml:space="preserve"> ADDIN ZOTERO_ITEM CSL_CITATION {"citationID":"TLpFgFUm","properties":{"formattedCitation":"(413)","plainCitation":"(413)","noteIndex":0},"citationItems":[{"id":1595,"uris":["http://zotero.org/users/952979/items/BVBXET5F"],"uri":["http://zotero.org/users/952979/items/BVBXET5F"],"itemData":{"id":1595,"type":"article-journal","title":"Nrf2-Keap1 defines a physiologically important stress response mechanism","container-title":"Trends in Molecular Medicine","page":"549-557","volume":"10","issue":"11","source":"PubMed","abstract":"The transcription factor Nrf2 regulates the basal and inducible expression of numerous detoxifying and antioxidant genes. The cytoplasmic protein Keap1 interacts with Nrf2 and represses its function. Analysis of keap1-knockout mice provides solid evidence that Keap1 acts as a negative regulator of Nrf2 and as a sensor of xenobiotic and oxidative stresses. The simultaneous ablation of the keap1 and nrf2 genes reversed all apparent phenotypes of the Keap1-deficient mice, suggesting that Nrf2 is a primary target of Keap1. The Nrf2-Keap1 system is now recognized as one of the major cellular defence mechanisms against oxidative and xenobiotic stresses. Furthermore, extensive studies have suggested that the Nrf2-Keap1 system contributes to protection against various pathologies, including carcinogenesis, liver toxicity, respiratory distress and inflammation.","DOI":"10.1016/j.molmed.2004.09.003","ISSN":"1471-4914","note":"PMID: 15519281","journalAbbreviation":"Trends Mol Med","language":"eng","author":[{"family":"Motohashi","given":"Hozumi"},{"family":"Yamamoto","given":"Masayuki"}],"issued":{"date-parts":[["2004",11]]}}}],"schema":"https://github.com/citation-style-language/schema/raw/master/csl-citation.json"} </w:instrText>
      </w:r>
      <w:r>
        <w:fldChar w:fldCharType="separate"/>
      </w:r>
      <w:r w:rsidR="00A53A6B" w:rsidRPr="00A53A6B">
        <w:rPr>
          <w:rFonts w:ascii="Calibri" w:hAnsi="Calibri"/>
        </w:rPr>
        <w:t>(413)</w:t>
      </w:r>
      <w:r>
        <w:fldChar w:fldCharType="end"/>
      </w:r>
      <w:r>
        <w:t xml:space="preserve">. In macrophages, Nrf2 suppresses pro-inflammatory cytokine production, thereby inhibiting M1-polarisation </w:t>
      </w:r>
      <w:r>
        <w:fldChar w:fldCharType="begin"/>
      </w:r>
      <w:r w:rsidR="000A209C">
        <w:instrText xml:space="preserve"> ADDIN ZOTERO_ITEM CSL_CITATION {"citationID":"BTmfQ1ME","properties":{"formattedCitation":"(414)","plainCitation":"(414)","noteIndex":0},"citationItems":[{"id":1596,"uris":["http://zotero.org/users/952979/items/89NAQN2S"],"uri":["http://zotero.org/users/952979/items/89NAQN2S"],"itemData":{"id":1596,"type":"article-journal","title":"Nrf2 suppresses macrophage inflammatory response by blocking proinflammatory cytokine transcription","container-title":"Nature Communications","page":"11624","volume":"7","source":"www.nature.com","abstract":"Nrf2 (NF-E2-related factor-2) transcription factor regulates oxidative/xenobiotic stress response and also represses inflammation. However, the mechanisms how Nrf2 alleviates inflammation are still unclear. Here, we demonstrate that Nrf2 interferes with lipopolysaccharide-induced transcriptional upregulation of proinflammatory cytokines, including IL-6 and IL-1β. Chromatin immunoprecipitation (ChIP)-seq and ChIP-qPCR analyses revealed that Nrf2 binds to the proximity of these genes in macrophages and inhibits RNA Pol II recruitment. Further, we found that Nrf2-mediated inhibition is independent of the Nrf2-binding motif and reactive oxygen species level. Murine inflammatory models further demonstrated that Nrf2 interferes with IL6 induction and inflammatory phenotypes in vivo. Thus, contrary to the widely accepted view that Nrf2 suppresses inflammation through redox control, we demonstrate here that Nrf2 opposes transcriptional upregulation of proinflammatory cytokine genes. This study identifies Nrf2 as the upstream regulator of cytokine production and establishes a molecular basis for an Nrf2-mediated anti-inflammation approach.","DOI":"10.1038/ncomms11624","ISSN":"2041-1723","language":"en","author":[{"family":"Kobayashi","given":"Eri H."},{"family":"Suzuki","given":"Takafumi"},{"family":"Funayama","given":"Ryo"},{"family":"Nagashima","given":"Takeshi"},{"family":"Hayashi","given":"Makiko"},{"family":"Sekine","given":"Hiroki"},{"family":"Tanaka","given":"Nobuyuki"},{"family":"Moriguchi","given":"Takashi"},{"family":"Motohashi","given":"Hozumi"},{"family":"Nakayama","given":"Keiko"},{"family":"Yamamoto","given":"Masayuki"}],"issued":{"date-parts":[["2016",5,23]]}}}],"schema":"https://github.com/citation-style-language/schema/raw/master/csl-citation.json"} </w:instrText>
      </w:r>
      <w:r>
        <w:fldChar w:fldCharType="separate"/>
      </w:r>
      <w:r w:rsidR="00A53A6B" w:rsidRPr="00A53A6B">
        <w:rPr>
          <w:rFonts w:ascii="Calibri" w:hAnsi="Calibri"/>
        </w:rPr>
        <w:t>(414)</w:t>
      </w:r>
      <w:r>
        <w:fldChar w:fldCharType="end"/>
      </w:r>
      <w:r>
        <w:t xml:space="preserve">. Nrf2 can be activated by itaconate, a by-product of M1-polarisation, as a means of limiting the pro-inflammatory response </w:t>
      </w:r>
      <w:r>
        <w:fldChar w:fldCharType="begin"/>
      </w:r>
      <w:r w:rsidR="000A209C">
        <w:instrText xml:space="preserve"> ADDIN ZOTERO_ITEM CSL_CITATION {"citationID":"1XDTp6Pa","properties":{"formattedCitation":"(400)","plainCitation":"(400)","noteIndex":0},"citationItems":[{"id":1663,"uris":["http://zotero.org/users/952979/items/R4S8BI58"],"uri":["http://zotero.org/users/952979/items/R4S8BI58"],"itemData":{"id":1663,"type":"article-journal","title":"Itaconate is an anti-inflammatory metabolite that activates Nrf2 via alkylation of KEAP1","container-title":"Nature","page":"113-117","volume":"556","issue":"7699","source":"www.nature.com","abstract":"The endogenous metabolite itaconate has recently emerged as a regulator of macrophage function, but its precise mechanism of action remains poorly understood1,2,3. Here we show that itaconate is required for the activation of the anti-inflammatory transcription factor Nrf2 (also known as NFE2L2) by lipopolysaccharide in mouse and human macrophages. We find that itaconate directly modifies proteins via alkylation of cysteine residues. Itaconate alkylates cysteine residues 151, 257, 288, 273 and 297 on the protein KEAP1, enabling Nrf2 to increase the expression of downstream genes with anti-oxidant and anti-inflammatory capacities. The activation of Nrf2 is required for the anti-inflammatory action of itaconate. We describe the use of a new cell-permeable itaconate derivative, 4-octyl itaconate, which is protective against lipopolysaccharide-induced lethality in vivo and decreases cytokine production. We show that type I interferons boost the expression of Irg1 (also known as Acod1) and itaconate production. Furthermore, we find that itaconate production limits the type I interferon response, indicating a negative feedback loop that involves interferons and itaconate. Our findings demonstrate that itaconate is a crucial anti-inflammatory metabolite that acts via Nrf2 to limit inflammation and modulate type I interferons.","DOI":"10.1038/nature25986","ISSN":"1476-4687","language":"en","author":[{"family":"Mills","given":"Evanna L."},{"family":"Ryan","given":"Dylan G."},{"family":"Prag","given":"Hiran A."},{"family":"Dikovskaya","given":"Dina"},{"family":"Menon","given":"Deepthi"},{"family":"Zaslona","given":"Zbigniew"},{"family":"Jedrychowski","given":"Mark P."},{"family":"Costa","given":"Ana S. H."},{"family":"Higgins","given":"Maureen"},{"family":"Hams","given":"Emily"},{"family":"Szpyt","given":"John"},{"family":"Runtsch","given":"Marah C."},{"family":"King","given":"Martin S."},{"family":"McGouran","given":"Joanna F."},{"family":"Fischer","given":"Roman"},{"family":"Kessler","given":"Benedikt M."},{"family":"McGettrick","given":"Anne F."},{"family":"Hughes","given":"Mark M."},{"family":"Carroll","given":"Richard G."},{"family":"Booty","given":"Lee M."},{"family":"Knatko","given":"Elena V."},{"family":"Meakin","given":"Paul J."},{"family":"Ashford","given":"Michael L. J."},{"family":"Modis","given":"Louise K."},{"family":"Brunori","given":"Gino"},{"family":"Sévin","given":"Daniel C."},{"family":"Fallon","given":"Padraic G."},{"family":"Caldwell","given":"Stuart T."},{"family":"Kunji","given":"Edmund R. S."},{"family":"Chouchani","given":"Edward T."},{"family":"Frezza","given":"Christian"},{"family":"Dinkova-Kostova","given":"Albena T."},{"family":"Hartley","given":"Richard C."},{"family":"Murphy","given":"Michael P."},{"family":"O’Neill","given":"Luke A."}],"issued":{"date-parts":[["2018",4]]}}}],"schema":"https://github.com/citation-style-language/schema/raw/master/csl-citation.json"} </w:instrText>
      </w:r>
      <w:r>
        <w:fldChar w:fldCharType="separate"/>
      </w:r>
      <w:r w:rsidR="00A53A6B" w:rsidRPr="00A53A6B">
        <w:rPr>
          <w:rFonts w:ascii="Calibri" w:hAnsi="Calibri"/>
        </w:rPr>
        <w:t>(400)</w:t>
      </w:r>
      <w:r>
        <w:fldChar w:fldCharType="end"/>
      </w:r>
      <w:r>
        <w:t xml:space="preserve">. In </w:t>
      </w:r>
      <w:r>
        <w:rPr>
          <w:i/>
        </w:rPr>
        <w:t>Drosophila</w:t>
      </w:r>
      <w:r>
        <w:t xml:space="preserve">, Nrf2 belongs to the Cap’n’collar family which have roles in stress defence and antioxidant responses </w:t>
      </w:r>
      <w:r>
        <w:fldChar w:fldCharType="begin"/>
      </w:r>
      <w:r w:rsidR="000A209C">
        <w:instrText xml:space="preserve"> ADDIN ZOTERO_ITEM CSL_CITATION {"citationID":"6y6htDjG","properties":{"formattedCitation":"(415)","plainCitation":"(415)","noteIndex":0},"citationItems":[{"id":1783,"uris":["http://zotero.org/users/952979/items/3BWTRFYV"],"uri":["http://zotero.org/users/952979/items/3BWTRFYV"],"itemData":{"id":1783,"type":"article-journal","title":"Mechanisms and Functions of Nrf2 Signaling in Drosophila","container-title":"Free radical biology &amp; medicine","page":"302-313","volume":"88","issue":"Pt B","source":"PubMed Central","abstract":"The Nrf2 transcription factor belongs to the Cap’n’collar family, named after the founding member of this group, the product of the Drosophila cap’n’collar gene. The encoded protein, Cap’n’collar, abbreviated Cnc, offers a convenient and accessible model to study the structure, function and biology of Nrf2 transcription factors at organism, tissue, cell and molecular levels, using the powerful genetic, genomic and biochemical tools available in Drosophila. In this review we provide an account of the original identification of Cnc as a regulator of embryonic development. We will then describe the discovery of Nrf2 like-functions of Cnc and its role in acute stress signaling and aging. The establishment of Drosophila as a model organism in which the mechanisms and functions of Nrf2 signaling can be studied has led to several discoveries, the regulation of stem cell activity by an Nrf2-mediated redox mechanism, the interaction of Nrf2 with p62 and Myc in the control of tissue growth and unfolded protein response, and more. Several of these more recent lines of investigation will be highlighted. Model organisms like fly and worm remain powerful experimental platforms that can help to unravel the many remaining puzzles regarding the role of Nrf2 and its relatives in controlling the physiology and maintaining the health of multicellular organisms.","DOI":"10.1016/j.freeradbiomed.2015.06.020","ISSN":"0891-5849","note":"PMID: 26117322\nPMCID: PMC5458735","journalAbbreviation":"Free Radic Biol Med","author":[{"family":"Pitoniak","given":"Andrew"},{"family":"Bohmann","given":"Dirk"}],"issued":{"date-parts":[["2015",11]]}}}],"schema":"https://github.com/citation-style-language/schema/raw/master/csl-citation.json"} </w:instrText>
      </w:r>
      <w:r>
        <w:fldChar w:fldCharType="separate"/>
      </w:r>
      <w:r w:rsidR="00A53A6B" w:rsidRPr="00A53A6B">
        <w:rPr>
          <w:rFonts w:ascii="Calibri" w:hAnsi="Calibri"/>
        </w:rPr>
        <w:t>(415)</w:t>
      </w:r>
      <w:r>
        <w:fldChar w:fldCharType="end"/>
      </w:r>
      <w:r>
        <w:t>. To investigate the effect of Nrf2 expression on hemocyte pro-inflammatory behaviour, we reduced expression of Keap1 using RNAi (</w:t>
      </w:r>
      <w:r>
        <w:rPr>
          <w:i/>
        </w:rPr>
        <w:t>w;UAS-RNAi-Keap1/Srp-GAL4,UAS-GFP;Crq-GAL4,UAS-GFP/+)</w:t>
      </w:r>
      <w:r w:rsidRPr="006F0D58">
        <w:t>, thereby releasing Nrf2</w:t>
      </w:r>
      <w:r>
        <w:t>. We hypothesised that this would represent a pro-inflammatory stimuli and therefore reduce hemocyte recruitment to wounds.  We found that there was no difference in the number of hemocytes per µm</w:t>
      </w:r>
      <w:r>
        <w:rPr>
          <w:vertAlign w:val="superscript"/>
        </w:rPr>
        <w:t>2</w:t>
      </w:r>
      <w:r>
        <w:t xml:space="preserve"> of wound area in </w:t>
      </w:r>
      <w:r w:rsidRPr="00187EBE">
        <w:rPr>
          <w:i/>
        </w:rPr>
        <w:t>UAS-RNAi-Keap1</w:t>
      </w:r>
      <w:r>
        <w:t xml:space="preserve"> embryos compared to controls (n=20 and 25 embryos for control and </w:t>
      </w:r>
      <w:r w:rsidRPr="00187EBE">
        <w:rPr>
          <w:i/>
        </w:rPr>
        <w:t>UAS-RNAi-Keap1</w:t>
      </w:r>
      <w:r>
        <w:t xml:space="preserve"> respectively, Student’s t-test, p=0.1684, Fig 4.6). This could be the result of non-functioning RNAi, inefficient knockdown of </w:t>
      </w:r>
      <w:r w:rsidRPr="00522200">
        <w:rPr>
          <w:i/>
        </w:rPr>
        <w:t>Keap1</w:t>
      </w:r>
      <w:r>
        <w:t xml:space="preserve"> or would suggest that Keap1 is not required for hemocyte responses to sites of injury. </w:t>
      </w:r>
    </w:p>
    <w:p w14:paraId="73918541" w14:textId="77777777" w:rsidR="004275D8" w:rsidRDefault="004275D8" w:rsidP="004275D8">
      <w:pPr>
        <w:pStyle w:val="Thesisnormal"/>
      </w:pPr>
      <w:r>
        <w:t xml:space="preserve"> </w:t>
      </w:r>
    </w:p>
    <w:p w14:paraId="30B2018E" w14:textId="77777777" w:rsidR="004275D8" w:rsidRDefault="004275D8" w:rsidP="004275D8">
      <w:pPr>
        <w:pStyle w:val="Thesisnormal"/>
      </w:pPr>
    </w:p>
    <w:p w14:paraId="37F270A4" w14:textId="77777777" w:rsidR="004275D8" w:rsidRDefault="004275D8" w:rsidP="004275D8">
      <w:pPr>
        <w:pStyle w:val="Thesisnormal"/>
      </w:pPr>
    </w:p>
    <w:p w14:paraId="6AD80510" w14:textId="77777777" w:rsidR="004275D8" w:rsidRDefault="004275D8" w:rsidP="004275D8">
      <w:pPr>
        <w:pStyle w:val="Thesisnormal"/>
      </w:pPr>
    </w:p>
    <w:p w14:paraId="7C472D92" w14:textId="77777777" w:rsidR="004275D8" w:rsidRDefault="004275D8" w:rsidP="004275D8">
      <w:pPr>
        <w:pStyle w:val="Thesisnormal"/>
      </w:pPr>
    </w:p>
    <w:p w14:paraId="51AC367F" w14:textId="77777777" w:rsidR="004275D8" w:rsidRDefault="004275D8" w:rsidP="004275D8">
      <w:pPr>
        <w:pStyle w:val="Thesisnormal"/>
      </w:pPr>
    </w:p>
    <w:p w14:paraId="56B374BC" w14:textId="77777777" w:rsidR="004275D8" w:rsidRDefault="004275D8" w:rsidP="004275D8">
      <w:pPr>
        <w:pStyle w:val="Thesisnormal"/>
      </w:pPr>
    </w:p>
    <w:p w14:paraId="3D923EE4" w14:textId="77777777" w:rsidR="004275D8" w:rsidRDefault="004275D8" w:rsidP="004275D8">
      <w:pPr>
        <w:pStyle w:val="Thesisnormal"/>
      </w:pPr>
    </w:p>
    <w:p w14:paraId="2E838E91" w14:textId="77777777" w:rsidR="004275D8" w:rsidRDefault="004275D8" w:rsidP="004275D8">
      <w:pPr>
        <w:pStyle w:val="Thesisnormal"/>
      </w:pPr>
    </w:p>
    <w:p w14:paraId="08010D12" w14:textId="77777777" w:rsidR="004275D8" w:rsidRDefault="004275D8" w:rsidP="004275D8">
      <w:pPr>
        <w:pStyle w:val="Thesisnormal"/>
      </w:pPr>
    </w:p>
    <w:p w14:paraId="2B5F2E74" w14:textId="77777777" w:rsidR="004275D8" w:rsidRDefault="004275D8" w:rsidP="004275D8">
      <w:pPr>
        <w:pStyle w:val="Thesisnormal"/>
      </w:pPr>
    </w:p>
    <w:p w14:paraId="7D85D37B" w14:textId="77777777" w:rsidR="004275D8" w:rsidRDefault="004275D8" w:rsidP="004275D8">
      <w:pPr>
        <w:pStyle w:val="Thesisnormal"/>
      </w:pPr>
    </w:p>
    <w:p w14:paraId="120F107F" w14:textId="77777777" w:rsidR="004275D8" w:rsidRDefault="004275D8" w:rsidP="004275D8">
      <w:pPr>
        <w:pStyle w:val="Thesisnormal"/>
      </w:pPr>
    </w:p>
    <w:p w14:paraId="66F88085" w14:textId="77777777" w:rsidR="004275D8" w:rsidRDefault="004275D8" w:rsidP="004275D8">
      <w:pPr>
        <w:pStyle w:val="Thesisnormal"/>
        <w:rPr>
          <w:noProof/>
          <w:lang w:eastAsia="en-GB"/>
        </w:rPr>
      </w:pPr>
    </w:p>
    <w:p w14:paraId="66676AD8" w14:textId="77777777" w:rsidR="004275D8" w:rsidRDefault="004275D8" w:rsidP="004275D8">
      <w:pPr>
        <w:pStyle w:val="Thesisnormal"/>
      </w:pPr>
      <w:r>
        <w:rPr>
          <w:noProof/>
          <w:lang w:eastAsia="en-GB"/>
        </w:rPr>
        <w:lastRenderedPageBreak/>
        <w:drawing>
          <wp:inline distT="0" distB="0" distL="0" distR="0" wp14:anchorId="2DFD80B9" wp14:editId="714001A9">
            <wp:extent cx="5877288" cy="3848100"/>
            <wp:effectExtent l="0" t="0" r="9525" b="0"/>
            <wp:docPr id="28" name="Picture 28" descr="D:\Dropbox\PhD\Writing\Thesis\Chapter 4 Targetting M1 and M2 pathways\figures\Keap1 wounding fig\RNAi-Keap1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4 Targetting M1 and M2 pathways\figures\Keap1 wounding fig\RNAi-Keap1 wounding fig.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3904"/>
                    <a:stretch/>
                  </pic:blipFill>
                  <pic:spPr bwMode="auto">
                    <a:xfrm>
                      <a:off x="0" y="0"/>
                      <a:ext cx="5881393" cy="3850788"/>
                    </a:xfrm>
                    <a:prstGeom prst="rect">
                      <a:avLst/>
                    </a:prstGeom>
                    <a:noFill/>
                    <a:ln>
                      <a:noFill/>
                    </a:ln>
                    <a:extLst>
                      <a:ext uri="{53640926-AAD7-44D8-BBD7-CCE9431645EC}">
                        <a14:shadowObscured xmlns:a14="http://schemas.microsoft.com/office/drawing/2010/main"/>
                      </a:ext>
                    </a:extLst>
                  </pic:spPr>
                </pic:pic>
              </a:graphicData>
            </a:graphic>
          </wp:inline>
        </w:drawing>
      </w:r>
    </w:p>
    <w:p w14:paraId="287ADC54" w14:textId="2E958D61" w:rsidR="004275D8" w:rsidRDefault="004275D8" w:rsidP="004275D8">
      <w:pPr>
        <w:pStyle w:val="NoSpacing"/>
      </w:pPr>
      <w:r>
        <w:rPr>
          <w:b/>
        </w:rPr>
        <w:t>Figure 4.6.</w:t>
      </w:r>
      <w:r w:rsidRPr="0030625E">
        <w:rPr>
          <w:b/>
        </w:rPr>
        <w:t xml:space="preserve"> </w:t>
      </w:r>
      <w:r>
        <w:rPr>
          <w:b/>
        </w:rPr>
        <w:t>Knockdown of</w:t>
      </w:r>
      <w:r w:rsidRPr="00096833">
        <w:rPr>
          <w:b/>
        </w:rPr>
        <w:t xml:space="preserve"> </w:t>
      </w:r>
      <w:r>
        <w:rPr>
          <w:b/>
        </w:rPr>
        <w:t xml:space="preserve">Keap1 </w:t>
      </w:r>
      <w:r w:rsidRPr="00096833">
        <w:rPr>
          <w:b/>
        </w:rPr>
        <w:t xml:space="preserve">within hemocytes </w:t>
      </w:r>
      <w:r>
        <w:rPr>
          <w:b/>
        </w:rPr>
        <w:t xml:space="preserve">does not significantly affect hemocyte </w:t>
      </w:r>
      <w:r w:rsidR="00482BB3">
        <w:rPr>
          <w:b/>
        </w:rPr>
        <w:t>recruitment to wounds</w:t>
      </w:r>
      <w:r>
        <w:rPr>
          <w:b/>
        </w:rPr>
        <w:t>.</w:t>
      </w:r>
      <w:r>
        <w:t xml:space="preserve"> </w:t>
      </w:r>
    </w:p>
    <w:p w14:paraId="0C633FA9" w14:textId="319BBB12" w:rsidR="004275D8" w:rsidRDefault="004275D8" w:rsidP="004275D8">
      <w:pPr>
        <w:pStyle w:val="NoSpacing"/>
      </w:pPr>
      <w:r>
        <w:t>(A) Representative stills of GFP labelled hemocyte responses to wounds at 0- (top images) and 60-minutes (bottom images) post-wounding in stage 15 embryos for control (</w:t>
      </w:r>
      <w:r>
        <w:rPr>
          <w:i/>
        </w:rPr>
        <w:t>w;</w:t>
      </w:r>
      <w:r w:rsidRPr="00CC191B">
        <w:rPr>
          <w:i/>
        </w:rPr>
        <w:t xml:space="preserve"> </w:t>
      </w:r>
      <w:r>
        <w:rPr>
          <w:i/>
        </w:rPr>
        <w:t>Srp-GAL4,UAS-GFP;Crq-GAL4,UAS-GFP/+</w:t>
      </w:r>
      <w:r>
        <w:t xml:space="preserve">) and </w:t>
      </w:r>
      <w:r w:rsidRPr="008E0287">
        <w:rPr>
          <w:i/>
        </w:rPr>
        <w:t>UAS-RNAi-Keap1</w:t>
      </w:r>
      <w:r>
        <w:rPr>
          <w:i/>
        </w:rPr>
        <w:t xml:space="preserve"> </w:t>
      </w:r>
      <w:r>
        <w:t>(</w:t>
      </w:r>
      <w:r>
        <w:rPr>
          <w:i/>
        </w:rPr>
        <w:t>w;UAS-RNAi-Keap1/</w:t>
      </w:r>
      <w:r w:rsidRPr="00CC191B">
        <w:rPr>
          <w:i/>
        </w:rPr>
        <w:t xml:space="preserve"> </w:t>
      </w:r>
      <w:r>
        <w:rPr>
          <w:i/>
        </w:rPr>
        <w:t>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n=20 and 25 for control and </w:t>
      </w:r>
      <w:r w:rsidRPr="008E0287">
        <w:rPr>
          <w:i/>
        </w:rPr>
        <w:t>UAS-RNAi-Keap1</w:t>
      </w:r>
      <w:r>
        <w:t xml:space="preserve"> embryos respectively. Student’s t-test, p=0.1684. White dashed ovals outline wound perimeter. Scale bars represent 20μm. </w:t>
      </w:r>
    </w:p>
    <w:p w14:paraId="568DF243" w14:textId="77777777" w:rsidR="004275D8" w:rsidRDefault="004275D8" w:rsidP="004275D8">
      <w:pPr>
        <w:pStyle w:val="Thesisnormal"/>
      </w:pPr>
    </w:p>
    <w:p w14:paraId="1E93D334" w14:textId="77777777" w:rsidR="004275D8" w:rsidRDefault="004275D8" w:rsidP="004275D8">
      <w:pPr>
        <w:pStyle w:val="Thesisnormal"/>
      </w:pPr>
    </w:p>
    <w:p w14:paraId="281A23B8" w14:textId="77777777" w:rsidR="004275D8" w:rsidRDefault="004275D8" w:rsidP="004275D8">
      <w:pPr>
        <w:pStyle w:val="Thesisnormal"/>
      </w:pPr>
    </w:p>
    <w:p w14:paraId="0DD91BAB" w14:textId="77777777" w:rsidR="004275D8" w:rsidRDefault="004275D8" w:rsidP="004275D8">
      <w:pPr>
        <w:pStyle w:val="Thesisnormal"/>
      </w:pPr>
    </w:p>
    <w:p w14:paraId="5D073015" w14:textId="77777777" w:rsidR="004275D8" w:rsidRDefault="004275D8" w:rsidP="004275D8">
      <w:pPr>
        <w:pStyle w:val="Thesisnormal"/>
      </w:pPr>
    </w:p>
    <w:p w14:paraId="77CC81F9" w14:textId="77777777" w:rsidR="004275D8" w:rsidRDefault="004275D8" w:rsidP="004275D8">
      <w:pPr>
        <w:pStyle w:val="Thesisnormal"/>
      </w:pPr>
    </w:p>
    <w:p w14:paraId="7BA32052" w14:textId="77777777" w:rsidR="004275D8" w:rsidRDefault="004275D8" w:rsidP="004275D8">
      <w:pPr>
        <w:pStyle w:val="Thesisnormal"/>
      </w:pPr>
    </w:p>
    <w:p w14:paraId="3C1BD529" w14:textId="77777777" w:rsidR="004275D8" w:rsidRDefault="004275D8" w:rsidP="004275D8">
      <w:pPr>
        <w:pStyle w:val="Thesisnormal"/>
      </w:pPr>
    </w:p>
    <w:p w14:paraId="12CD6AFA" w14:textId="77777777" w:rsidR="004275D8" w:rsidRDefault="004275D8" w:rsidP="004275D8">
      <w:pPr>
        <w:pStyle w:val="Thesisnormal"/>
      </w:pPr>
    </w:p>
    <w:p w14:paraId="6D8DAD91" w14:textId="77777777" w:rsidR="004275D8" w:rsidRDefault="004275D8" w:rsidP="004275D8">
      <w:pPr>
        <w:pStyle w:val="Thesisnormal"/>
      </w:pPr>
    </w:p>
    <w:p w14:paraId="6F488F15" w14:textId="77777777" w:rsidR="004275D8" w:rsidRDefault="004275D8" w:rsidP="004275D8">
      <w:pPr>
        <w:pStyle w:val="Thesisnormal"/>
      </w:pPr>
    </w:p>
    <w:p w14:paraId="4DA5F8C3" w14:textId="77777777" w:rsidR="004275D8" w:rsidRDefault="004275D8" w:rsidP="004275D8">
      <w:pPr>
        <w:pStyle w:val="Heading3"/>
      </w:pPr>
      <w:bookmarkStart w:id="178" w:name="_Toc4589346"/>
      <w:r>
        <w:lastRenderedPageBreak/>
        <w:t>4.2.7 Knockdown of ND75 is sufficient to increase ROS levels in hemocytes</w:t>
      </w:r>
      <w:bookmarkEnd w:id="178"/>
    </w:p>
    <w:p w14:paraId="73452C79" w14:textId="77777777" w:rsidR="004275D8" w:rsidRDefault="004275D8" w:rsidP="004275D8">
      <w:pPr>
        <w:pStyle w:val="Thesisnormal"/>
      </w:pPr>
    </w:p>
    <w:p w14:paraId="3FC823C8" w14:textId="53AEABCB" w:rsidR="004275D8" w:rsidRPr="00BD41E2" w:rsidRDefault="004275D8" w:rsidP="004275D8">
      <w:pPr>
        <w:pStyle w:val="Thesisnormal"/>
      </w:pPr>
      <w:r>
        <w:t xml:space="preserve">Increased ROS levels are a key marker of M1 macrophages </w:t>
      </w:r>
      <w:r>
        <w:fldChar w:fldCharType="begin"/>
      </w:r>
      <w:r w:rsidR="000A209C">
        <w:instrText xml:space="preserve"> ADDIN ZOTERO_ITEM CSL_CITATION {"citationID":"u0aut2q1","properties":{"formattedCitation":"(33)","plainCitation":"(33)","noteIndex":0},"citationItems":[{"id":1547,"uris":["http://zotero.org/users/952979/items/JJB2QZZK"],"uri":["http://zotero.org/users/952979/items/JJB2QZZK"],"itemData":{"id":1547,"type":"article-journal","title":"Mitochondria are the powerhouses of immunity","container-title":"Nature Immunology","page":"488-498","volume":"18","issue":"5","source":"www.nature.com","abstract":"Recent evidence indicates that mitochondria lie at the heart of immunity. Mitochondrial DNA acts as a danger-associated molecular pattern (DAMP), and the mitochondrial outer membrane is a platform for signaling molecules such as MAVS in RIG-I signaling, and for the NLRP3 inflammasome. Mitochondrial biogenesis, fusion and fission have roles in aspects of immune-cell activation. Most important, Krebs cycle intermediates such as succinate, fumarate and citrate engage in processes related to immunity and inflammation, in both innate and adaptive immune cells. These discoveries are revealing mitochondrial targets that could potentially be exploited for therapeutic gain in inflammation and cancer.\nView full text","DOI":"10.1038/ni.3704","ISSN":"1529-2908","journalAbbreviation":"Nat Immunol","language":"en","author":[{"family":"Mills","given":"Evanna L."},{"family":"Kelly","given":"Beth"},{"family":"O'Neill","given":"Luke A. J."}],"issued":{"date-parts":[["2017",5]]}}}],"schema":"https://github.com/citation-style-language/schema/raw/master/csl-citation.json"} </w:instrText>
      </w:r>
      <w:r>
        <w:fldChar w:fldCharType="separate"/>
      </w:r>
      <w:r w:rsidR="004A1963" w:rsidRPr="004A1963">
        <w:rPr>
          <w:rFonts w:ascii="Calibri" w:hAnsi="Calibri"/>
        </w:rPr>
        <w:t>(33)</w:t>
      </w:r>
      <w:r>
        <w:fldChar w:fldCharType="end"/>
      </w:r>
      <w:r>
        <w:t xml:space="preserve">. As we could demonstrate that overexpression of catalase (specifically within hemocytes) can reduce </w:t>
      </w:r>
      <w:r w:rsidR="00482BB3">
        <w:t xml:space="preserve">hemocyte recruitment to </w:t>
      </w:r>
      <w:r>
        <w:t>wound</w:t>
      </w:r>
      <w:r w:rsidR="00482BB3">
        <w:t>s</w:t>
      </w:r>
      <w:r>
        <w:t xml:space="preserve"> (Fig 4.4), we hypothesised that increasing the levels of ROS within hemocytes would promote a pro-inflammatory phenotype. It has been shown that knockdown of ND75 (a subunit of complex-I of the electron transport chain (ETC)) causes ROS leakage from the mitochondria and complex-I deficiency </w:t>
      </w:r>
      <w:r>
        <w:fldChar w:fldCharType="begin"/>
      </w:r>
      <w:r w:rsidR="000A209C">
        <w:instrText xml:space="preserve"> ADDIN ZOTERO_ITEM CSL_CITATION {"citationID":"QF3bxDE7","properties":{"formattedCitation":"(416,417)","plainCitation":"(416,417)","noteIndex":0},"citationItems":[{"id":1599,"uris":["http://zotero.org/users/952979/items/DGTHV457"],"uri":["http://zotero.org/users/952979/items/DGTHV457"],"itemData":{"id":1599,"type":"article-journal","title":"Glia are critical for the neuropathology of complex I deficiency in Drosophila","container-title":"Human Molecular Genetics","page":"4686-4692","volume":"23","issue":"17","source":"PubMed Central","abstract":"Mitochondrial electron transport chain (ETC) disorders cause severe neurological disease, typically in the context of fatal encephalomyelopathies. Neuronal cell autonomous energy deficiency due to reduced mitochondrial adenosine triphosphate production is currently the leading hypothesis to explain the neurotoxicity in ETC disorders. To define the mechanisms underlying neuropathology in ETC disorders, we have modeled the most common type of ETC disorder, complex I deficiency, in Drosophila. Our model recapitulates important clinical features of the disease including neuronal loss, mitochondrial enlargement, motor dysfunction and early death. Using cell-type specific gene knockdown, we find that both neurons and glia contribute to the disease phenotype and that glia play a critical non-cell autonomous role in the development of neuronal toxicity. Our results open up an unexpected avenue of research, and could lead to the development of new treatment strategies.","DOI":"10.1093/hmg/ddu188","ISSN":"0964-6906","note":"PMID: 24760769\nPMCID: PMC4119418","journalAbbreviation":"Hum Mol Genet","author":[{"family":"Hegde","given":"Vijay R."},{"family":"Vogel","given":"Rutger"},{"family":"Feany","given":"Mel B."}],"issued":{"date-parts":[["2014",9,1]]}}},{"id":1397,"uris":["http://zotero.org/users/952979/items/2Q2NI9EI"],"uri":["http://zotero.org/users/952979/items/2Q2NI9EI"],"itemData":{"id":1397,"type":"article-journal","title":"Reactive oxygen species prime Drosophila haematopoietic progenitors for differentiation","container-title":"Nature","page":"537-541","volume":"461","issue":"7263","source":"www.nature.com","abstract":"Reactive oxygen species (ROS), produced during various electron transfer reactions in vivo, are generally considered to be deleterious to cells. In the mammalian haematopoietic system, haematopoietic stem cells contain low levels of ROS. However, unexpectedly, the common myeloid progenitors (CMPs) produce significantly increased levels of ROS2. The functional significance of this difference in ROS level in the two progenitor types remains unresolved. Here we show that Drosophila multipotent haematopoietic progenitors, which are largely akin to the mammalian myeloid progenitors, display increased levels of ROS under in vivo physiological conditions, which are downregulated on differentiation. Scavenging the ROS from these haematopoietic progenitors by using in vivo genetic tools retards their differentiation into mature blood cells. Conversely, increasing the haematopoietic progenitor ROS beyond their basal level triggers precocious differentiation into all three mature blood cell types found in Drosophila, through a signalling pathway that involves JNK and FoxO activation as well as Polycomb downregulation. We conclude that the developmentally regulated, moderately high ROS level in the progenitor population sensitizes them to differentiation, and establishes a signalling role for ROS in the regulation of haematopoietic cell fate. Our results lead to a model that could be extended to reveal a probable signalling role for ROS in the differentiation of CMPs in mammalian haematopoietic development and oxidative stress response.","DOI":"10.1038/nature08313","ISSN":"0028-0836","journalAbbreviation":"Nature","language":"en","author":[{"family":"Owusu-Ansah","given":"Edward"},{"family":"Banerjee","given":"Utpal"}],"issued":{"date-parts":[["2009",9,24]]}}}],"schema":"https://github.com/citation-style-language/schema/raw/master/csl-citation.json"} </w:instrText>
      </w:r>
      <w:r>
        <w:fldChar w:fldCharType="separate"/>
      </w:r>
      <w:r w:rsidR="00A53A6B" w:rsidRPr="00A53A6B">
        <w:rPr>
          <w:rFonts w:ascii="Calibri" w:hAnsi="Calibri"/>
        </w:rPr>
        <w:t>(416,417)</w:t>
      </w:r>
      <w:r>
        <w:fldChar w:fldCharType="end"/>
      </w:r>
      <w:r>
        <w:t>. We utilised an RNAi line targeting ND75 (</w:t>
      </w:r>
      <w:r>
        <w:rPr>
          <w:i/>
        </w:rPr>
        <w:t>w;UAS-RNAi-ND75/Srp-GAL4,UAS-GFP;Crq-GAL4,UAS-GFP/+</w:t>
      </w:r>
      <w:r>
        <w:t xml:space="preserve">) to increase ROS levels specifically in hemocytes. We first needed to confirm that ROS levels were indeed increased, therefore, we stained embryos with DHR123 and measured the intensity within hemocytes. Embryos expressing RNAi against ND75 were visibly brighter than controls when stained with DHR123 (Fig 4.7 A-B). In addition, it appeared that ROS staining was not limited to mitochondria. This was a significant increase when quantified by measuring intensity of GFP (DHR123) (n=50 and 97 for control and </w:t>
      </w:r>
      <w:r w:rsidRPr="008E0287">
        <w:rPr>
          <w:i/>
        </w:rPr>
        <w:t>UAS-RNAi-ND75</w:t>
      </w:r>
      <w:r>
        <w:t xml:space="preserve">, </w:t>
      </w:r>
      <w:r w:rsidR="00C8437D">
        <w:t xml:space="preserve">Mann-Whitney test </w:t>
      </w:r>
      <w:r>
        <w:t>p&lt;0.001, Fig 4.7 C). This significance was lost when comparing the embryo average intensity of GFP</w:t>
      </w:r>
      <w:r w:rsidR="00CE0689">
        <w:t xml:space="preserve"> </w:t>
      </w:r>
      <w:r>
        <w:t xml:space="preserve">(n=3 and 4 for control and </w:t>
      </w:r>
      <w:r w:rsidRPr="008E0287">
        <w:rPr>
          <w:i/>
        </w:rPr>
        <w:t>UAS-RNAi-ND75</w:t>
      </w:r>
      <w:r>
        <w:t xml:space="preserve">, </w:t>
      </w:r>
      <w:r w:rsidR="00C8437D">
        <w:t>Mann-Whitney test</w:t>
      </w:r>
      <w:r>
        <w:t xml:space="preserve">, p=0.2836, Fig 4.7 D). This suggests that individual hemocytes expressing </w:t>
      </w:r>
      <w:r w:rsidRPr="00722A24">
        <w:rPr>
          <w:i/>
        </w:rPr>
        <w:t>RNAi-ND75</w:t>
      </w:r>
      <w:r>
        <w:t xml:space="preserve"> have increased levels of ROS and that the RNAi fly line disrupts the ETC, releasing ROS into the cell cytoplasm. </w:t>
      </w:r>
    </w:p>
    <w:p w14:paraId="7C117303" w14:textId="77777777" w:rsidR="004275D8" w:rsidRDefault="004275D8" w:rsidP="004275D8">
      <w:pPr>
        <w:pStyle w:val="Thesisnormal"/>
      </w:pPr>
    </w:p>
    <w:p w14:paraId="4476459B" w14:textId="77777777" w:rsidR="004275D8" w:rsidRDefault="004275D8" w:rsidP="004275D8">
      <w:pPr>
        <w:pStyle w:val="Thesisnormal"/>
      </w:pPr>
    </w:p>
    <w:p w14:paraId="08592D8B" w14:textId="77777777" w:rsidR="004275D8" w:rsidRDefault="004275D8" w:rsidP="004275D8">
      <w:pPr>
        <w:pStyle w:val="Thesisnormal"/>
      </w:pPr>
    </w:p>
    <w:p w14:paraId="6034E5FE" w14:textId="77777777" w:rsidR="004275D8" w:rsidRDefault="004275D8" w:rsidP="004275D8">
      <w:pPr>
        <w:pStyle w:val="Thesisnormal"/>
      </w:pPr>
    </w:p>
    <w:p w14:paraId="68681976" w14:textId="77777777" w:rsidR="004275D8" w:rsidRDefault="004275D8" w:rsidP="004275D8">
      <w:pPr>
        <w:pStyle w:val="Thesisnormal"/>
      </w:pPr>
    </w:p>
    <w:p w14:paraId="7CA5BC0C" w14:textId="77777777" w:rsidR="004275D8" w:rsidRDefault="004275D8" w:rsidP="004275D8">
      <w:pPr>
        <w:pStyle w:val="Thesisnormal"/>
      </w:pPr>
    </w:p>
    <w:p w14:paraId="7D2C260C" w14:textId="77777777" w:rsidR="004275D8" w:rsidRDefault="004275D8" w:rsidP="004275D8">
      <w:pPr>
        <w:pStyle w:val="Thesisnormal"/>
      </w:pPr>
    </w:p>
    <w:p w14:paraId="21BC86C8" w14:textId="77777777" w:rsidR="004275D8" w:rsidRDefault="004275D8" w:rsidP="004275D8">
      <w:pPr>
        <w:pStyle w:val="Thesisnormal"/>
      </w:pPr>
    </w:p>
    <w:p w14:paraId="588B7A33" w14:textId="77777777" w:rsidR="004275D8" w:rsidRDefault="004275D8" w:rsidP="004275D8">
      <w:pPr>
        <w:pStyle w:val="Thesisnormal"/>
      </w:pPr>
      <w:r>
        <w:rPr>
          <w:noProof/>
          <w:lang w:eastAsia="en-GB"/>
        </w:rPr>
        <w:lastRenderedPageBreak/>
        <w:drawing>
          <wp:inline distT="0" distB="0" distL="0" distR="0" wp14:anchorId="3F8CA309" wp14:editId="115766D1">
            <wp:extent cx="5986275" cy="5686425"/>
            <wp:effectExtent l="0" t="0" r="0" b="0"/>
            <wp:docPr id="29" name="Picture 29" descr="C:\Users\Gigabyte\Dropbox\PhD\Writing\Thesis\Chapter 4 Hemocyte subtypes function\figures\RNAi-ND75 ROS staining fig\RNAi-ND75 ROS stain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gabyte\Dropbox\PhD\Writing\Thesis\Chapter 4 Hemocyte subtypes function\figures\RNAi-ND75 ROS staining fig\RNAi-ND75 ROS staining fig.tif"/>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33124"/>
                    <a:stretch/>
                  </pic:blipFill>
                  <pic:spPr bwMode="auto">
                    <a:xfrm>
                      <a:off x="0" y="0"/>
                      <a:ext cx="5993634" cy="569341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9DBE4AB" w14:textId="77777777" w:rsidR="004275D8" w:rsidRPr="0030625E" w:rsidRDefault="004275D8" w:rsidP="004275D8">
      <w:pPr>
        <w:pStyle w:val="NoSpacing"/>
        <w:rPr>
          <w:b/>
        </w:rPr>
      </w:pPr>
      <w:r>
        <w:rPr>
          <w:b/>
        </w:rPr>
        <w:t>Fig</w:t>
      </w:r>
      <w:r w:rsidRPr="0030625E">
        <w:rPr>
          <w:b/>
        </w:rPr>
        <w:t>ure 4.</w:t>
      </w:r>
      <w:r>
        <w:rPr>
          <w:b/>
        </w:rPr>
        <w:t>7</w:t>
      </w:r>
      <w:r w:rsidRPr="0030625E">
        <w:rPr>
          <w:b/>
        </w:rPr>
        <w:t xml:space="preserve">. </w:t>
      </w:r>
      <w:r>
        <w:rPr>
          <w:b/>
        </w:rPr>
        <w:t>Knockdown</w:t>
      </w:r>
      <w:r w:rsidRPr="0030625E">
        <w:rPr>
          <w:b/>
        </w:rPr>
        <w:t xml:space="preserve"> of </w:t>
      </w:r>
      <w:r>
        <w:rPr>
          <w:b/>
        </w:rPr>
        <w:t xml:space="preserve">ND75 </w:t>
      </w:r>
      <w:r w:rsidRPr="0030625E">
        <w:rPr>
          <w:b/>
        </w:rPr>
        <w:t xml:space="preserve">within hemocytes </w:t>
      </w:r>
      <w:r>
        <w:rPr>
          <w:b/>
        </w:rPr>
        <w:t>increases</w:t>
      </w:r>
      <w:r w:rsidRPr="0030625E">
        <w:rPr>
          <w:b/>
        </w:rPr>
        <w:t xml:space="preserve"> </w:t>
      </w:r>
      <w:r>
        <w:rPr>
          <w:b/>
        </w:rPr>
        <w:t xml:space="preserve">levels of ROS within </w:t>
      </w:r>
      <w:r w:rsidRPr="0030625E">
        <w:rPr>
          <w:b/>
        </w:rPr>
        <w:t>hemocyte</w:t>
      </w:r>
      <w:r>
        <w:rPr>
          <w:b/>
        </w:rPr>
        <w:t>s</w:t>
      </w:r>
      <w:r w:rsidRPr="0030625E">
        <w:rPr>
          <w:b/>
        </w:rPr>
        <w:t xml:space="preserve">. </w:t>
      </w:r>
    </w:p>
    <w:p w14:paraId="03E074C7" w14:textId="3BB07DC9" w:rsidR="004275D8" w:rsidRDefault="004275D8" w:rsidP="004275D8">
      <w:pPr>
        <w:pStyle w:val="NoSpacing"/>
      </w:pPr>
      <w:r>
        <w:t>(A) Representative stills of GFP labelled hemocytes stained for ROS with DHR123 in stage 15 embryos for control (</w:t>
      </w:r>
      <w:r>
        <w:rPr>
          <w:i/>
        </w:rPr>
        <w:t>w;Srp-GAL4,UAS-GFP/+;Crq-GAL4,UAS-GFP/+</w:t>
      </w:r>
      <w:r>
        <w:t xml:space="preserve">) and </w:t>
      </w:r>
      <w:r w:rsidRPr="008E0287">
        <w:rPr>
          <w:i/>
        </w:rPr>
        <w:t>UAS-RNAi-ND75</w:t>
      </w:r>
      <w:r>
        <w:rPr>
          <w:i/>
        </w:rPr>
        <w:t xml:space="preserve"> (w;UAS-RNAi-ND75/Srp-GAL4,UAS-GFP;Crq-GAL4,UAS-GFP/+)</w:t>
      </w:r>
      <w:r>
        <w:t xml:space="preserve">. Scale bars represent 20μm. (B) Zoomed images of (A), 1. Control and 2. </w:t>
      </w:r>
      <w:r w:rsidRPr="008E0287">
        <w:rPr>
          <w:i/>
        </w:rPr>
        <w:t>UAS-RNAi-ND75</w:t>
      </w:r>
      <w:r>
        <w:t xml:space="preserve"> hemocytes. Scale bars represent 5μm. (C) Scatterplot of the mean intensity of GFP within hemocytes. Lines and error bars represent mean ± SD, n=50 and 97 for control and </w:t>
      </w:r>
      <w:r w:rsidRPr="008E0287">
        <w:rPr>
          <w:i/>
        </w:rPr>
        <w:t>UAS-RNAi-ND75</w:t>
      </w:r>
      <w:r>
        <w:t xml:space="preserve"> embryos respectively. Asterisk represents </w:t>
      </w:r>
      <w:r w:rsidR="00C8437D">
        <w:t>Mann-Whitney test</w:t>
      </w:r>
      <w:r>
        <w:t xml:space="preserve">, ****p&lt;0.0001. (D) Scatterplot of the embryo average of the mean intensity of GFP within hemocytes. Lines and error bars represent mean ± SD, n=3 and 4 for control and </w:t>
      </w:r>
      <w:r w:rsidRPr="008E0287">
        <w:rPr>
          <w:i/>
        </w:rPr>
        <w:t>UAS-RNAi-ND75</w:t>
      </w:r>
      <w:r>
        <w:t xml:space="preserve"> embryos, respect</w:t>
      </w:r>
      <w:r w:rsidR="00C8437D">
        <w:t>ively. Mann-Whitney test, p=0.</w:t>
      </w:r>
      <w:r>
        <w:t>6</w:t>
      </w:r>
      <w:r w:rsidR="00C8437D">
        <w:t>286</w:t>
      </w:r>
      <w:r>
        <w:t xml:space="preserve">. </w:t>
      </w:r>
    </w:p>
    <w:p w14:paraId="54ECA51F" w14:textId="77777777" w:rsidR="004275D8" w:rsidRDefault="004275D8" w:rsidP="004275D8">
      <w:pPr>
        <w:pStyle w:val="Thesisnormal"/>
      </w:pPr>
    </w:p>
    <w:p w14:paraId="15878442" w14:textId="77777777" w:rsidR="004275D8" w:rsidRDefault="004275D8" w:rsidP="004275D8">
      <w:pPr>
        <w:pStyle w:val="Thesisnormal"/>
      </w:pPr>
    </w:p>
    <w:p w14:paraId="0AE9A455" w14:textId="77777777" w:rsidR="004275D8" w:rsidRPr="00500A97" w:rsidRDefault="004275D8" w:rsidP="004275D8">
      <w:pPr>
        <w:pStyle w:val="Thesisnormal"/>
      </w:pPr>
    </w:p>
    <w:p w14:paraId="405207E0" w14:textId="45B29B20" w:rsidR="004275D8" w:rsidRDefault="004275D8" w:rsidP="004275D8">
      <w:pPr>
        <w:pStyle w:val="Heading3"/>
      </w:pPr>
      <w:bookmarkStart w:id="179" w:name="_Toc4589347"/>
      <w:r>
        <w:lastRenderedPageBreak/>
        <w:t xml:space="preserve">4.2.8 Knockdown of ND75 in hemocytes decreases </w:t>
      </w:r>
      <w:r w:rsidR="00482BB3">
        <w:t>hemocyte recruitment to wounds</w:t>
      </w:r>
      <w:bookmarkEnd w:id="179"/>
    </w:p>
    <w:p w14:paraId="260502A7" w14:textId="77777777" w:rsidR="004275D8" w:rsidRDefault="004275D8" w:rsidP="004275D8">
      <w:pPr>
        <w:pStyle w:val="Thesisnormal"/>
      </w:pPr>
    </w:p>
    <w:p w14:paraId="29439830" w14:textId="77777777" w:rsidR="004275D8" w:rsidRPr="004F2B71" w:rsidRDefault="004275D8" w:rsidP="004275D8">
      <w:pPr>
        <w:pStyle w:val="Thesisnormal"/>
      </w:pPr>
      <w:r>
        <w:t>RNAi-mediated knockdown of ND75 in hemocytes potentially increased ROS levels. To determine if an increase in ROS levels within hemocytes was pro-inflammatory, we wounded the ventral epithelium of stage 15 embryos. In wounding embryos with hemocytes overexpressing an RNAi molecule targeting ND75, we found a decreased response, with fewer hemocytes per μm</w:t>
      </w:r>
      <w:r>
        <w:rPr>
          <w:vertAlign w:val="superscript"/>
        </w:rPr>
        <w:t>2</w:t>
      </w:r>
      <w:r>
        <w:t xml:space="preserve"> of wound area than control embryos (n=24 and 33 for control and </w:t>
      </w:r>
      <w:r w:rsidRPr="00B22C2B">
        <w:rPr>
          <w:i/>
        </w:rPr>
        <w:t>UAS-RNAi-ND75</w:t>
      </w:r>
      <w:r>
        <w:t xml:space="preserve"> respectively, Student’s t-test p&lt;0.05, Fig 4.8 A &amp; B). The number of hemocytes on the ventral midline was lower in </w:t>
      </w:r>
      <w:r w:rsidRPr="00966DF6">
        <w:rPr>
          <w:i/>
        </w:rPr>
        <w:t>UAS-RNAi-ND75</w:t>
      </w:r>
      <w:r>
        <w:t xml:space="preserve"> compared to control, suggesting that this may be a reason for the observed decrease in wound response (n=23 and 39 for control and </w:t>
      </w:r>
      <w:r w:rsidRPr="008E0287">
        <w:rPr>
          <w:i/>
        </w:rPr>
        <w:t>UAS-RNAi-ND75</w:t>
      </w:r>
      <w:r>
        <w:t xml:space="preserve"> embryos respectively, Student’s t-test, *p&lt;0.05, Fig 4.8 C). This would suggest that ND75 is required for hemocyte responses to sites of injury, although this may not be due to ROS levels. </w:t>
      </w:r>
    </w:p>
    <w:p w14:paraId="213222E9" w14:textId="77777777" w:rsidR="004275D8" w:rsidRDefault="004275D8" w:rsidP="004275D8">
      <w:pPr>
        <w:pStyle w:val="Thesisnormal"/>
      </w:pPr>
    </w:p>
    <w:p w14:paraId="1B720456" w14:textId="3E6DBA0D" w:rsidR="004275D8" w:rsidRDefault="004275D8" w:rsidP="004275D8">
      <w:pPr>
        <w:pStyle w:val="Heading3"/>
      </w:pPr>
      <w:bookmarkStart w:id="180" w:name="_Toc4589348"/>
      <w:r>
        <w:t xml:space="preserve">4.2.9 Overexpression of Succinate Dehydrogenase in hemocytes does not </w:t>
      </w:r>
      <w:r w:rsidR="00482BB3">
        <w:t>alter hemocyte recruitment to wounds</w:t>
      </w:r>
      <w:bookmarkEnd w:id="180"/>
    </w:p>
    <w:p w14:paraId="001D19DC" w14:textId="77777777" w:rsidR="004275D8" w:rsidRDefault="004275D8" w:rsidP="004275D8">
      <w:pPr>
        <w:pStyle w:val="Thesisnormal"/>
      </w:pPr>
    </w:p>
    <w:p w14:paraId="7775AC64" w14:textId="4B7ED2AF" w:rsidR="004275D8" w:rsidRDefault="004275D8" w:rsidP="004275D8">
      <w:pPr>
        <w:pStyle w:val="Thesisnormal"/>
      </w:pPr>
      <w:r>
        <w:t>We were surprised to find that increasing ROS levels within hemocytes did not improve the</w:t>
      </w:r>
      <w:r w:rsidR="00482BB3">
        <w:t xml:space="preserve"> numbers of hemocytes recruited to</w:t>
      </w:r>
      <w:r>
        <w:t xml:space="preserve"> wound</w:t>
      </w:r>
      <w:r w:rsidR="00482BB3">
        <w:t>s</w:t>
      </w:r>
      <w:r>
        <w:t xml:space="preserve">. One possible explanation for this is that we were affecting metabolism, as ND75 forms part of complex-I of the ETC </w:t>
      </w:r>
      <w:r>
        <w:fldChar w:fldCharType="begin"/>
      </w:r>
      <w:r w:rsidR="000A209C">
        <w:instrText xml:space="preserve"> ADDIN ZOTERO_ITEM CSL_CITATION {"citationID":"09G9X3hS","properties":{"formattedCitation":"(418)","plainCitation":"(418)","noteIndex":0},"citationItems":[{"id":1610,"uris":["http://zotero.org/users/952979/items/G2NP9KP7"],"uri":["http://zotero.org/users/952979/items/G2NP9KP7"],"itemData":{"id":1610,"type":"article-journal","title":"Understanding mitochondrial complex I assembly in health and disease","container-title":"Biochimica et Biophysica Acta (BBA) - Bioenergetics","collection-title":"Biogenesis/Assembly of Respiratory Enzyme Complexes","page":"851-862","volume":"1817","issue":"6","source":"ScienceDirect","abstract":"Complex I (NADH:ubiquinone oxidoreductase) is the largest multimeric enzyme complex of the mitochondrial respiratory chain, which is responsible for electron transport and the generation of a proton gradient across the mitochondrial inner membrane to drive ATP production. Eukaryotic complex I consists of 14 conserved subunits, which are homologous to the bacterial subunits, and more than 26 accessory subunits. In mammals, complex I consists of 45 subunits, which must be assembled correctly to form the properly functioning mature complex. Complex I dysfunction is the most common oxidative phosphorylation (OXPHOS) disorder in humans and defects in the complex I assembly process are often observed. This assembly process has been difficult to characterize because of its large size, the lack of a high resolution structure for complex I, and its dual control by nuclear and mitochondrial DNA. However, in recent years, some of the atomic structure of the complex has been resolved and new insights into complex I assembly have been generated. Furthermore, a number of proteins have been identified as assembly factors for complex I biogenesis and many patients carrying mutations in genes associated with complex I deficiency and mitochondrial diseases have been discovered. Here, we review the current knowledge of the eukaryotic complex I assembly process and new insights from the identification of novel assembly factors. This article is part of a Special Issue entitled: Biogenesis/Assembly of Respiratory Enzyme Complexes.","DOI":"10.1016/j.bbabio.2011.08.010","ISSN":"0005-2728","journalAbbreviation":"Biochimica et Biophysica Acta (BBA) - Bioenergetics","author":[{"family":"Mimaki","given":"Masakazu"},{"family":"Wang","given":"Xiaonan"},{"family":"McKenzie","given":"Matthew"},{"family":"Thorburn","given":"David R."},{"family":"Ryan","given":"Michael T."}],"issued":{"date-parts":[["2012",6,1]]}}}],"schema":"https://github.com/citation-style-language/schema/raw/master/csl-citation.json"} </w:instrText>
      </w:r>
      <w:r>
        <w:fldChar w:fldCharType="separate"/>
      </w:r>
      <w:r w:rsidR="00A53A6B" w:rsidRPr="00A53A6B">
        <w:rPr>
          <w:rFonts w:ascii="Calibri" w:hAnsi="Calibri"/>
        </w:rPr>
        <w:t>(418)</w:t>
      </w:r>
      <w:r>
        <w:fldChar w:fldCharType="end"/>
      </w:r>
      <w:r>
        <w:t>. M1 macrophages are known to have disruptions in oxidative phosphorylation and increased expression of Succinate dehydrogenase (</w:t>
      </w:r>
      <w:r w:rsidRPr="00B22C2B">
        <w:t>Sdh</w:t>
      </w:r>
      <w:r>
        <w:t xml:space="preserve">), resulting in an accumulation of succinate </w:t>
      </w:r>
      <w:r>
        <w:fldChar w:fldCharType="begin"/>
      </w:r>
      <w:r w:rsidR="000A209C">
        <w:instrText xml:space="preserve"> ADDIN ZOTERO_ITEM CSL_CITATION {"citationID":"GPLe5GN6","properties":{"formattedCitation":"(34,35)","plainCitation":"(34,35)","noteIndex":0},"citationItems":[{"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A."}],"issued":{"date-parts":[["2016",10,6]]}}},{"id":1648,"uris":["http://zotero.org/users/952979/items/4CQXZFAC"],"uri":["http://zotero.org/users/952979/items/4CQXZFAC"],"itemData":{"id":1648,"type":"article-journal","title":"Succinate is an inflammatory signal that induces IL-1β through HIF-1α","container-title":"Nature","page":"238-242","volume":"496","issue":"7444","source":"PubMed","abstract":"Macrophages activated by the Gram-negative bacterial product lipopolysaccharide switch their core metabolism from oxidative phosphorylation to glycolysis. Here we show that inhibition of glycolysis with 2-deoxyglucose suppresses lipopolysaccharide-induced interleukin-1β but not tumour-necrosis factor-α in mouse macrophages. A comprehensive metabolic map of lipopolysaccharide-activated macrophages shows upregulation of glycolytic and downregulation of mitochondrial genes, which correlates directly with the expression profiles of altered metabolites. Lipopolysaccharide strongly increases the levels of the tricarboxylic-acid cycle intermediate succinate. Glutamine-dependent anerplerosis is the principal source of succinate, although the 'GABA (γ-aminobutyric acid) shunt' pathway also has a role. Lipopolysaccharide-induced succinate stabilizes hypoxia-inducible factor-1α, an effect that is inhibited by 2-deoxyglucose, with interleukin-1β as an important target. Lipopolysaccharide also increases succinylation of several proteins. We therefore identify succinate as a metabolite in innate immune signalling, which enhances interleukin-1β production during inflammation.","DOI":"10.1038/nature11986","ISSN":"1476-4687","note":"PMID: 23535595\nPMCID: PMC4031686","journalAbbreviation":"Nature","language":"eng","author":[{"family":"Tannahill","given":"G. M."},{"family":"Curtis","given":"A. M."},{"family":"Adamik","given":"J."},{"family":"Palsson-McDermott","given":"E. M."},{"family":"McGettrick","given":"A. F."},{"family":"Goel","given":"G."},{"family":"Frezza","given":"C."},{"family":"Bernard","given":"N. J."},{"family":"Kelly","given":"B."},{"family":"Foley","given":"N. H."},{"family":"Zheng","given":"L."},{"family":"Gardet","given":"A."},{"family":"Tong","given":"Z."},{"family":"Jany","given":"S. S."},{"family":"Corr","given":"S. C."},{"family":"Haneklaus","given":"M."},{"family":"Caffrey","given":"B. E."},{"family":"Pierce","given":"K."},{"family":"Walmsley","given":"S."},{"family":"Beasley","given":"F. C."},{"family":"Cummins","given":"E."},{"family":"Nizet","given":"V."},{"family":"Whyte","given":"M."},{"family":"Taylor","given":"C. T."},{"family":"Lin","given":"H."},{"family":"Masters","given":"S. L."},{"family":"Gottlieb","given":"E."},{"family":"Kelly","given":"V. P."},{"family":"Clish","given":"C."},{"family":"Auron","given":"P. E."},{"family":"Xavier","given":"R. J."},{"family":"O'Neill","given":"L. a. J."}],"issued":{"date-parts":[["2013",4,11]]}}}],"schema":"https://github.com/citation-style-language/schema/raw/master/csl-citation.json"} </w:instrText>
      </w:r>
      <w:r>
        <w:fldChar w:fldCharType="separate"/>
      </w:r>
      <w:r w:rsidR="004A1963" w:rsidRPr="004A1963">
        <w:rPr>
          <w:rFonts w:ascii="Calibri" w:hAnsi="Calibri"/>
        </w:rPr>
        <w:t>(34,35)</w:t>
      </w:r>
      <w:r>
        <w:fldChar w:fldCharType="end"/>
      </w:r>
      <w:r>
        <w:t xml:space="preserve">. Sdh also forms complex-II of the ETC </w:t>
      </w:r>
      <w:r>
        <w:fldChar w:fldCharType="begin"/>
      </w:r>
      <w:r w:rsidR="000A209C">
        <w:instrText xml:space="preserve"> ADDIN ZOTERO_ITEM CSL_CITATION {"citationID":"Tql1RC5N","properties":{"formattedCitation":"(399)","plainCitation":"(399)","noteIndex":0},"citationItems":[{"id":1613,"uris":["http://zotero.org/users/952979/items/PDC8ZX3U"],"uri":["http://zotero.org/users/952979/items/PDC8ZX3U"],"itemData":{"id":1613,"type":"article-journal","title":"A quick look at biochemistry: Carbohydrate metabolism","container-title":"Clinical Biochemistry","page":"1339-1352","volume":"46","issue":"15","source":"ScienceDirect","abstract":"In mammals, there are different metabolic pathways in cells that break down fuel molecules to transfer their energy into high energy compounds such as adenosine-5′-triphosphate (ATP), guanosine-5′-triphosphate (GTP), reduced nicotinamide adenine dinucleotide (NADH2), reduced flavin adenine dinucleotide (FADH2) and reduced nicotinamide adenine dinucleotide phosphate (NADPH2). This process is called cellular respiration. In carbohydrate metabolism, the breakdown starts from digestion of food in the gastrointestinal tract and is followed by absorption of carbohydrate components by the enterocytes in the form of monosaccharides. Monosaccharides are transferred to cells for aerobic and anaerobic respiration via glycolysis, citric acid cycle and pentose phosphate pathway to be used in the starvation state. In the normal state, the skeletal muscle and liver cells store monosaccharides in the form of glycogen. In the obesity state, the extra glucose is converted to triglycerides via lipogenesis and is stored in the lipid droplets of adipocytes. In the lipotoxicity state, the lipid droplets of other tissues such as the liver, skeletal muscle and pancreatic beta cells also accumulate triacylglycerol. This event is the axis of the pathogenesis of metabolic dysregulation in insulin resistance, metabolic syndrome and type 2 diabetes. In this paper a summary of the metabolism of carbohydrates is presented in a way that researchers can follow the biochemical processes easily.","DOI":"10.1016/j.clinbiochem.2013.04.027","ISSN":"0009-9120","shortTitle":"A quick look at biochemistry","journalAbbreviation":"Clinical Biochemistry","author":[{"family":"Dashty","given":"Monireh"}],"issued":{"date-parts":[["2013",10,1]]}}}],"schema":"https://github.com/citation-style-language/schema/raw/master/csl-citation.json"} </w:instrText>
      </w:r>
      <w:r>
        <w:fldChar w:fldCharType="separate"/>
      </w:r>
      <w:r w:rsidR="00A53A6B" w:rsidRPr="00A53A6B">
        <w:rPr>
          <w:rFonts w:ascii="Calibri" w:hAnsi="Calibri"/>
        </w:rPr>
        <w:t>(399)</w:t>
      </w:r>
      <w:r>
        <w:fldChar w:fldCharType="end"/>
      </w:r>
      <w:r>
        <w:t xml:space="preserve">. We therefore utilised </w:t>
      </w:r>
      <w:r w:rsidRPr="00FE7370">
        <w:rPr>
          <w:i/>
        </w:rPr>
        <w:t>UAS-Sdh</w:t>
      </w:r>
      <w:r>
        <w:t>, driving overexpression specifically in hemocytes (</w:t>
      </w:r>
      <w:r>
        <w:rPr>
          <w:i/>
        </w:rPr>
        <w:t>w;UAS-SdhA/Srp-GAL4,UAS-</w:t>
      </w:r>
      <w:r w:rsidRPr="00F62BB5">
        <w:rPr>
          <w:i/>
        </w:rPr>
        <w:t>GFP;Crq</w:t>
      </w:r>
      <w:r>
        <w:rPr>
          <w:i/>
        </w:rPr>
        <w:t>-GAL4,UAS-</w:t>
      </w:r>
      <w:r w:rsidRPr="00F62BB5">
        <w:rPr>
          <w:i/>
        </w:rPr>
        <w:t>GFP/+</w:t>
      </w:r>
      <w:r>
        <w:t>) to investigate if we could demonstrate opposing effects to those observed with ND75 knockdown and promote a pro-inflammatory phenotype. We wounded stage 15 embryos via laser ablation and found that there</w:t>
      </w:r>
      <w:r w:rsidR="00CE0689">
        <w:t xml:space="preserve"> were</w:t>
      </w:r>
      <w:r>
        <w:t xml:space="preserve"> </w:t>
      </w:r>
      <w:r w:rsidR="00CE0689">
        <w:t xml:space="preserve">slightly more hemocytes recruited to the wound in </w:t>
      </w:r>
      <w:r w:rsidRPr="00771702">
        <w:rPr>
          <w:i/>
        </w:rPr>
        <w:t>UAS-SdhA</w:t>
      </w:r>
      <w:r>
        <w:t xml:space="preserve"> </w:t>
      </w:r>
      <w:r w:rsidR="00CE0689">
        <w:t xml:space="preserve">embryos compared to </w:t>
      </w:r>
      <w:r>
        <w:t xml:space="preserve">controls (n=21 and 25 for control and </w:t>
      </w:r>
      <w:r w:rsidRPr="00771702">
        <w:rPr>
          <w:i/>
        </w:rPr>
        <w:t>UAS-SdhA</w:t>
      </w:r>
      <w:r>
        <w:t xml:space="preserve"> respectively, Student’s t-test, p=0.0938, Fig 4.9). This suggests that succinate accumulation may impact hemocyte behaviour. </w:t>
      </w:r>
    </w:p>
    <w:p w14:paraId="78635D41" w14:textId="77777777" w:rsidR="004275D8" w:rsidRDefault="004275D8" w:rsidP="004275D8">
      <w:pPr>
        <w:pStyle w:val="Thesisnormal"/>
      </w:pPr>
    </w:p>
    <w:p w14:paraId="176ECE92" w14:textId="77777777" w:rsidR="004275D8" w:rsidRDefault="004275D8" w:rsidP="004275D8">
      <w:pPr>
        <w:pStyle w:val="Thesisnormal"/>
      </w:pPr>
    </w:p>
    <w:p w14:paraId="10F78139" w14:textId="77777777" w:rsidR="004275D8" w:rsidRDefault="004275D8" w:rsidP="004275D8">
      <w:pPr>
        <w:pStyle w:val="Thesisnormal"/>
      </w:pPr>
      <w:r>
        <w:rPr>
          <w:noProof/>
          <w:lang w:eastAsia="en-GB"/>
        </w:rPr>
        <w:lastRenderedPageBreak/>
        <w:drawing>
          <wp:inline distT="0" distB="0" distL="0" distR="0" wp14:anchorId="61100B88" wp14:editId="3F9755AB">
            <wp:extent cx="5739154" cy="6591300"/>
            <wp:effectExtent l="0" t="0" r="0" b="0"/>
            <wp:docPr id="30" name="Picture 30" descr="D:\Dropbox\PhD\Writing\Thesis\Chapter 4 Targetting M1 and M2 pathways\figures\RNAi-ND75 wounding fig\RNAi-ND75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RNAi-ND75 wounding fig\RNAi-ND75 wounding fig.tif"/>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268" b="16877"/>
                    <a:stretch/>
                  </pic:blipFill>
                  <pic:spPr bwMode="auto">
                    <a:xfrm>
                      <a:off x="0" y="0"/>
                      <a:ext cx="5741627" cy="6594140"/>
                    </a:xfrm>
                    <a:prstGeom prst="rect">
                      <a:avLst/>
                    </a:prstGeom>
                    <a:noFill/>
                    <a:ln>
                      <a:noFill/>
                    </a:ln>
                    <a:extLst>
                      <a:ext uri="{53640926-AAD7-44D8-BBD7-CCE9431645EC}">
                        <a14:shadowObscured xmlns:a14="http://schemas.microsoft.com/office/drawing/2010/main"/>
                      </a:ext>
                    </a:extLst>
                  </pic:spPr>
                </pic:pic>
              </a:graphicData>
            </a:graphic>
          </wp:inline>
        </w:drawing>
      </w:r>
    </w:p>
    <w:p w14:paraId="02251471" w14:textId="586FBC00" w:rsidR="004275D8" w:rsidRDefault="004275D8" w:rsidP="004275D8">
      <w:pPr>
        <w:pStyle w:val="NoSpacing"/>
      </w:pPr>
      <w:r>
        <w:rPr>
          <w:b/>
        </w:rPr>
        <w:t>Fig</w:t>
      </w:r>
      <w:r w:rsidRPr="0030625E">
        <w:rPr>
          <w:b/>
        </w:rPr>
        <w:t>ure 4.</w:t>
      </w:r>
      <w:r>
        <w:rPr>
          <w:b/>
        </w:rPr>
        <w:t>8</w:t>
      </w:r>
      <w:r w:rsidRPr="0030625E">
        <w:rPr>
          <w:b/>
        </w:rPr>
        <w:t xml:space="preserve">. </w:t>
      </w:r>
      <w:r>
        <w:rPr>
          <w:b/>
        </w:rPr>
        <w:t xml:space="preserve">Knockdown </w:t>
      </w:r>
      <w:r w:rsidRPr="00096833">
        <w:rPr>
          <w:b/>
        </w:rPr>
        <w:t xml:space="preserve">of </w:t>
      </w:r>
      <w:r>
        <w:rPr>
          <w:b/>
        </w:rPr>
        <w:t>ND75</w:t>
      </w:r>
      <w:r w:rsidRPr="00096833">
        <w:rPr>
          <w:b/>
        </w:rPr>
        <w:t xml:space="preserve"> within hemocytes </w:t>
      </w:r>
      <w:r>
        <w:rPr>
          <w:b/>
        </w:rPr>
        <w:t>increases</w:t>
      </w:r>
      <w:r w:rsidRPr="00096833">
        <w:rPr>
          <w:b/>
        </w:rPr>
        <w:t xml:space="preserve"> </w:t>
      </w:r>
      <w:r>
        <w:rPr>
          <w:b/>
        </w:rPr>
        <w:t xml:space="preserve">hemocyte </w:t>
      </w:r>
      <w:r w:rsidR="00482BB3">
        <w:rPr>
          <w:b/>
        </w:rPr>
        <w:t>recruitment to wounds</w:t>
      </w:r>
      <w:r>
        <w:rPr>
          <w:b/>
        </w:rPr>
        <w:t>.</w:t>
      </w:r>
      <w:r>
        <w:t xml:space="preserve"> </w:t>
      </w:r>
    </w:p>
    <w:p w14:paraId="638DF762" w14:textId="0C041335" w:rsidR="004275D8" w:rsidRDefault="004275D8" w:rsidP="004275D8">
      <w:pPr>
        <w:pStyle w:val="NoSpacing"/>
      </w:pPr>
      <w:r>
        <w:t>(A) Representative stills of GFP labelled hemocyte responses to wounds at 0- (top images) and 60-minutes (bottom images) post-wounding in stage 15 embryos for control (</w:t>
      </w:r>
      <w:r>
        <w:rPr>
          <w:i/>
        </w:rPr>
        <w:t>w;Srp-GAL4,UAS-GFP/+;Crq-GAL4,UAS-GFP/+</w:t>
      </w:r>
      <w:r>
        <w:t xml:space="preserve">) and </w:t>
      </w:r>
      <w:r w:rsidRPr="008E0287">
        <w:rPr>
          <w:i/>
        </w:rPr>
        <w:t>UAS-RNAi-ND75</w:t>
      </w:r>
      <w:r>
        <w:rPr>
          <w:i/>
        </w:rPr>
        <w:t xml:space="preserve"> (w;UAS-RNAi-ND75/Srp-GAL4,UAS-GFP;Crq-GAL4,UAS-GFP/+)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n=24 and 33 for control and </w:t>
      </w:r>
      <w:r w:rsidRPr="008E0287">
        <w:rPr>
          <w:i/>
        </w:rPr>
        <w:t>UAS-RNAi-ND75</w:t>
      </w:r>
      <w:r>
        <w:t xml:space="preserve"> embryos respectively. Asterisk represents Student’s t-test, *p&lt;0.05. White dashed ovals outline wound perimeter. (C) Scatterplot of the number of hemocytes on the ventral </w:t>
      </w:r>
      <w:r>
        <w:lastRenderedPageBreak/>
        <w:t xml:space="preserve">midline pre-wounding, n=23 and 39 for control and </w:t>
      </w:r>
      <w:r w:rsidRPr="008E0287">
        <w:rPr>
          <w:i/>
        </w:rPr>
        <w:t>UAS-RNAi-ND75</w:t>
      </w:r>
      <w:r>
        <w:t xml:space="preserve"> embryos respectively. Asterisk represents Student’s t-test, *p&lt;0.05. Scale bars represent 20μm. </w:t>
      </w:r>
    </w:p>
    <w:p w14:paraId="58585D9E" w14:textId="77777777" w:rsidR="004275D8" w:rsidRDefault="004275D8" w:rsidP="004275D8">
      <w:pPr>
        <w:pStyle w:val="Thesisnormal"/>
      </w:pPr>
    </w:p>
    <w:p w14:paraId="510C6045" w14:textId="77777777" w:rsidR="004275D8" w:rsidRDefault="004275D8" w:rsidP="004275D8">
      <w:pPr>
        <w:pStyle w:val="Thesisnormal"/>
      </w:pPr>
      <w:r>
        <w:rPr>
          <w:noProof/>
          <w:lang w:eastAsia="en-GB"/>
        </w:rPr>
        <w:drawing>
          <wp:inline distT="0" distB="0" distL="0" distR="0" wp14:anchorId="2BBE653A" wp14:editId="423E2F52">
            <wp:extent cx="5705475" cy="4011183"/>
            <wp:effectExtent l="0" t="0" r="0" b="8890"/>
            <wp:docPr id="31" name="Picture 31" descr="D:\Dropbox\PhD\Writing\Thesis\Chapter 4 Targetting M1 and M2 pathways\figures\SdhA wounding fig\SdhA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4 Targetting M1 and M2 pathways\figures\SdhA wounding fig\SdhA wounding fig.tif"/>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50504"/>
                    <a:stretch/>
                  </pic:blipFill>
                  <pic:spPr bwMode="auto">
                    <a:xfrm>
                      <a:off x="0" y="0"/>
                      <a:ext cx="5709098" cy="4013730"/>
                    </a:xfrm>
                    <a:prstGeom prst="rect">
                      <a:avLst/>
                    </a:prstGeom>
                    <a:noFill/>
                    <a:ln>
                      <a:noFill/>
                    </a:ln>
                    <a:extLst>
                      <a:ext uri="{53640926-AAD7-44D8-BBD7-CCE9431645EC}">
                        <a14:shadowObscured xmlns:a14="http://schemas.microsoft.com/office/drawing/2010/main"/>
                      </a:ext>
                    </a:extLst>
                  </pic:spPr>
                </pic:pic>
              </a:graphicData>
            </a:graphic>
          </wp:inline>
        </w:drawing>
      </w:r>
    </w:p>
    <w:p w14:paraId="62D62A28" w14:textId="78BAADD3" w:rsidR="004275D8" w:rsidRDefault="004275D8" w:rsidP="004275D8">
      <w:pPr>
        <w:pStyle w:val="NoSpacing"/>
      </w:pPr>
      <w:r>
        <w:rPr>
          <w:b/>
        </w:rPr>
        <w:t>Fig</w:t>
      </w:r>
      <w:r w:rsidRPr="0030625E">
        <w:rPr>
          <w:b/>
        </w:rPr>
        <w:t>ure 4.</w:t>
      </w:r>
      <w:r>
        <w:rPr>
          <w:b/>
        </w:rPr>
        <w:t>9</w:t>
      </w:r>
      <w:r w:rsidRPr="0030625E">
        <w:rPr>
          <w:b/>
        </w:rPr>
        <w:t xml:space="preserve">. </w:t>
      </w:r>
      <w:r>
        <w:rPr>
          <w:b/>
        </w:rPr>
        <w:t xml:space="preserve">Overexpression </w:t>
      </w:r>
      <w:r w:rsidRPr="00096833">
        <w:rPr>
          <w:b/>
        </w:rPr>
        <w:t xml:space="preserve">of </w:t>
      </w:r>
      <w:r>
        <w:rPr>
          <w:b/>
        </w:rPr>
        <w:t xml:space="preserve">succinate dehydrogenase </w:t>
      </w:r>
      <w:r w:rsidRPr="00096833">
        <w:rPr>
          <w:b/>
        </w:rPr>
        <w:t xml:space="preserve">within hemocytes </w:t>
      </w:r>
      <w:r>
        <w:rPr>
          <w:b/>
        </w:rPr>
        <w:t>does not significantly increase</w:t>
      </w:r>
      <w:r w:rsidRPr="00096833">
        <w:rPr>
          <w:b/>
        </w:rPr>
        <w:t xml:space="preserve"> </w:t>
      </w:r>
      <w:r>
        <w:rPr>
          <w:b/>
        </w:rPr>
        <w:t xml:space="preserve">hemocyte </w:t>
      </w:r>
      <w:r w:rsidR="00482BB3">
        <w:rPr>
          <w:b/>
        </w:rPr>
        <w:t>recruitment to wounds</w:t>
      </w:r>
      <w:r>
        <w:rPr>
          <w:b/>
        </w:rPr>
        <w:t>.</w:t>
      </w:r>
      <w:r>
        <w:t xml:space="preserve"> </w:t>
      </w:r>
    </w:p>
    <w:p w14:paraId="4D1C1A5F" w14:textId="4A1ED2ED" w:rsidR="004275D8" w:rsidRDefault="004275D8" w:rsidP="004275D8">
      <w:pPr>
        <w:pStyle w:val="NoSpacing"/>
      </w:pPr>
      <w:r>
        <w:t>(A) Representative stills of GFP labelled hemocyte responses to wounds at 0- (top image) and 60- minutes (bottom image) post-wounding in stage 15 embryos for control (</w:t>
      </w:r>
      <w:r>
        <w:rPr>
          <w:i/>
        </w:rPr>
        <w:t>w;Srp-GAL4,UAS-</w:t>
      </w:r>
      <w:r w:rsidRPr="00F62BB5">
        <w:rPr>
          <w:i/>
        </w:rPr>
        <w:t>GFP</w:t>
      </w:r>
      <w:r>
        <w:rPr>
          <w:i/>
        </w:rPr>
        <w:t>/+</w:t>
      </w:r>
      <w:r w:rsidRPr="00F62BB5">
        <w:rPr>
          <w:i/>
        </w:rPr>
        <w:t>;Crq</w:t>
      </w:r>
      <w:r>
        <w:rPr>
          <w:i/>
        </w:rPr>
        <w:t>-GAL4,UAS-</w:t>
      </w:r>
      <w:r w:rsidRPr="00F62BB5">
        <w:rPr>
          <w:i/>
        </w:rPr>
        <w:t>GFP/+</w:t>
      </w:r>
      <w:r>
        <w:t xml:space="preserve">) and </w:t>
      </w:r>
      <w:r w:rsidRPr="00771702">
        <w:rPr>
          <w:i/>
        </w:rPr>
        <w:t>UAS-SdhA</w:t>
      </w:r>
      <w:r>
        <w:rPr>
          <w:i/>
        </w:rPr>
        <w:t xml:space="preserve"> </w:t>
      </w:r>
      <w:r>
        <w:t>(</w:t>
      </w:r>
      <w:r>
        <w:rPr>
          <w:i/>
        </w:rPr>
        <w:t>w;UAS-SdhA/Srp-GAL4,UAS-</w:t>
      </w:r>
      <w:r w:rsidRPr="00F62BB5">
        <w:rPr>
          <w:i/>
        </w:rPr>
        <w:t>GFP;Crq</w:t>
      </w:r>
      <w:r>
        <w:rPr>
          <w:i/>
        </w:rPr>
        <w:t>-GAL4,UAS-</w:t>
      </w:r>
      <w:r w:rsidRPr="00F62BB5">
        <w:rPr>
          <w:i/>
        </w:rPr>
        <w:t>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n=21 and 25 for control </w:t>
      </w:r>
      <w:r w:rsidRPr="00771702">
        <w:t>and</w:t>
      </w:r>
      <w:r w:rsidRPr="00771702">
        <w:rPr>
          <w:i/>
        </w:rPr>
        <w:t xml:space="preserve"> UAS-SdhA </w:t>
      </w:r>
      <w:r>
        <w:t xml:space="preserve">embryos respectively. Student’s t-test, p=0.0938. White dashed ovals outline wound perimeter. Scale bars represent 20μm. </w:t>
      </w:r>
    </w:p>
    <w:p w14:paraId="4A2C802F" w14:textId="77777777" w:rsidR="004275D8" w:rsidRDefault="004275D8" w:rsidP="004275D8">
      <w:pPr>
        <w:pStyle w:val="Thesisnormal"/>
      </w:pPr>
    </w:p>
    <w:p w14:paraId="283E6477" w14:textId="77777777" w:rsidR="004275D8" w:rsidRDefault="004275D8" w:rsidP="004275D8">
      <w:pPr>
        <w:pStyle w:val="Thesisnormal"/>
      </w:pPr>
    </w:p>
    <w:p w14:paraId="7CA0F774" w14:textId="77777777" w:rsidR="004275D8" w:rsidRDefault="004275D8" w:rsidP="004275D8">
      <w:pPr>
        <w:pStyle w:val="Thesisnormal"/>
      </w:pPr>
    </w:p>
    <w:p w14:paraId="46420F42" w14:textId="77777777" w:rsidR="004275D8" w:rsidRDefault="004275D8" w:rsidP="004275D8">
      <w:pPr>
        <w:pStyle w:val="Thesisnormal"/>
      </w:pPr>
    </w:p>
    <w:p w14:paraId="6F502307" w14:textId="77777777" w:rsidR="004275D8" w:rsidRDefault="004275D8" w:rsidP="004275D8">
      <w:pPr>
        <w:pStyle w:val="Thesisnormal"/>
      </w:pPr>
    </w:p>
    <w:p w14:paraId="705CAB64" w14:textId="77777777" w:rsidR="004275D8" w:rsidRDefault="004275D8" w:rsidP="004275D8">
      <w:pPr>
        <w:pStyle w:val="Thesisnormal"/>
      </w:pPr>
    </w:p>
    <w:p w14:paraId="2E28123E" w14:textId="77777777" w:rsidR="004275D8" w:rsidRDefault="004275D8" w:rsidP="004275D8">
      <w:pPr>
        <w:pStyle w:val="Thesisnormal"/>
      </w:pPr>
    </w:p>
    <w:p w14:paraId="52509230" w14:textId="77777777" w:rsidR="004275D8" w:rsidRDefault="004275D8" w:rsidP="004275D8">
      <w:pPr>
        <w:pStyle w:val="Thesisnormal"/>
      </w:pPr>
    </w:p>
    <w:p w14:paraId="78052815" w14:textId="77777777" w:rsidR="004275D8" w:rsidRDefault="004275D8" w:rsidP="004275D8">
      <w:pPr>
        <w:pStyle w:val="Heading3"/>
      </w:pPr>
      <w:bookmarkStart w:id="181" w:name="_Toc4589349"/>
      <w:r>
        <w:lastRenderedPageBreak/>
        <w:t>4.2.10 Overexpression of Succinate Dehydrogenase decreases the number of apoptotic cells in hemocytes</w:t>
      </w:r>
      <w:bookmarkEnd w:id="181"/>
    </w:p>
    <w:p w14:paraId="78DF9600" w14:textId="77777777" w:rsidR="004275D8" w:rsidRDefault="004275D8" w:rsidP="004275D8">
      <w:pPr>
        <w:pStyle w:val="Thesisnormal"/>
      </w:pPr>
    </w:p>
    <w:p w14:paraId="348A7F41" w14:textId="4E57437F" w:rsidR="004275D8" w:rsidRDefault="004275D8" w:rsidP="004275D8">
      <w:pPr>
        <w:pStyle w:val="Thesisnormal"/>
      </w:pPr>
      <w:r>
        <w:t xml:space="preserve">Although we could not observe a significantly different response with wounding when Sdh was overexpressed, </w:t>
      </w:r>
      <w:r w:rsidR="00CE0689">
        <w:t>there was an increase in the number of hemocyte recruited to the wound</w:t>
      </w:r>
      <w:r>
        <w:t xml:space="preserve">. We therefore characterised an anti-inflammatory behaviour, efferocytosis of apoptotic cells, in this background to determine if hemocyte functions were being affected. We quantified the number of vacuoles within individual hemocytes as a read-out of efferocytosis (Fig 4.10 A-B). We found a significant decrease in the number of vacuoles per hemocyte when SdhA was overexpressed compared to control hemocytes (n=18 and 24 for control and </w:t>
      </w:r>
      <w:r w:rsidRPr="00540AEB">
        <w:rPr>
          <w:i/>
        </w:rPr>
        <w:t>UAS-SdhA</w:t>
      </w:r>
      <w:r>
        <w:t xml:space="preserve"> respectively, Student’s t-test p&lt;0.05, Fig 4.10 </w:t>
      </w:r>
      <w:r w:rsidR="008A1A5D">
        <w:t>C</w:t>
      </w:r>
      <w:r>
        <w:t xml:space="preserve">). This data suggests that disruption of cellular metabolism within hemocytes can affect the phagocytosis of apoptotic cells. </w:t>
      </w:r>
    </w:p>
    <w:p w14:paraId="4040A0D4" w14:textId="77777777" w:rsidR="004275D8" w:rsidRDefault="004275D8" w:rsidP="004275D8">
      <w:pPr>
        <w:pStyle w:val="Thesisnormal"/>
      </w:pPr>
    </w:p>
    <w:p w14:paraId="0A66B20C" w14:textId="77777777" w:rsidR="004275D8" w:rsidRDefault="004275D8" w:rsidP="004275D8">
      <w:pPr>
        <w:pStyle w:val="Thesisnormal"/>
      </w:pPr>
    </w:p>
    <w:p w14:paraId="20C91F59" w14:textId="77777777" w:rsidR="004275D8" w:rsidRDefault="004275D8" w:rsidP="004275D8">
      <w:pPr>
        <w:pStyle w:val="Thesisnormal"/>
      </w:pPr>
    </w:p>
    <w:p w14:paraId="201F4D5C" w14:textId="77777777" w:rsidR="008A1A5D" w:rsidRDefault="008A1A5D" w:rsidP="004275D8">
      <w:pPr>
        <w:pStyle w:val="Thesisnormal"/>
        <w:rPr>
          <w:noProof/>
          <w:lang w:eastAsia="en-GB"/>
        </w:rPr>
      </w:pPr>
    </w:p>
    <w:p w14:paraId="5EC45A85" w14:textId="77777777" w:rsidR="004275D8" w:rsidRDefault="004275D8" w:rsidP="004275D8">
      <w:pPr>
        <w:pStyle w:val="Thesisnormal"/>
      </w:pPr>
      <w:r>
        <w:rPr>
          <w:noProof/>
          <w:lang w:eastAsia="en-GB"/>
        </w:rPr>
        <w:lastRenderedPageBreak/>
        <w:drawing>
          <wp:inline distT="0" distB="0" distL="0" distR="0" wp14:anchorId="66AA410B" wp14:editId="7C217396">
            <wp:extent cx="5799759" cy="64293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igabyte\Dropbox\PhD\Writing\Thesis\Chapter 4 Hemocyte subtypes function\figures\SdhA vacuole fig\Final figure.tif"/>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1864"/>
                    <a:stretch/>
                  </pic:blipFill>
                  <pic:spPr bwMode="auto">
                    <a:xfrm>
                      <a:off x="0" y="0"/>
                      <a:ext cx="5805735" cy="6436000"/>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DD17B35" w14:textId="77777777" w:rsidR="004275D8" w:rsidRPr="00BF4CBD" w:rsidRDefault="004275D8" w:rsidP="004275D8">
      <w:pPr>
        <w:pStyle w:val="NoSpacing"/>
        <w:rPr>
          <w:b/>
        </w:rPr>
      </w:pPr>
      <w:r>
        <w:rPr>
          <w:b/>
        </w:rPr>
        <w:t>Figure 4.10</w:t>
      </w:r>
      <w:r w:rsidRPr="00BF4CBD">
        <w:rPr>
          <w:b/>
        </w:rPr>
        <w:t>. Overexpression of succinate dehydrogenase within hemocytes decreases</w:t>
      </w:r>
      <w:r>
        <w:rPr>
          <w:b/>
        </w:rPr>
        <w:t xml:space="preserve"> efferocytosis of apoptotic cells</w:t>
      </w:r>
    </w:p>
    <w:p w14:paraId="58706064" w14:textId="77777777" w:rsidR="004275D8" w:rsidRDefault="004275D8" w:rsidP="004275D8">
      <w:pPr>
        <w:pStyle w:val="NoSpacing"/>
      </w:pPr>
      <w:r>
        <w:t>(A) Representative stills of GFP labelled hemocytes in stage 15 embryos for control (</w:t>
      </w:r>
      <w:r>
        <w:rPr>
          <w:i/>
        </w:rPr>
        <w:t>w;Srp-GAL4,UAS-</w:t>
      </w:r>
      <w:r w:rsidRPr="00F62BB5">
        <w:rPr>
          <w:i/>
        </w:rPr>
        <w:t>GFP</w:t>
      </w:r>
      <w:r>
        <w:rPr>
          <w:i/>
        </w:rPr>
        <w:t>/+</w:t>
      </w:r>
      <w:r w:rsidRPr="00F62BB5">
        <w:rPr>
          <w:i/>
        </w:rPr>
        <w:t>;Crq</w:t>
      </w:r>
      <w:r>
        <w:rPr>
          <w:i/>
        </w:rPr>
        <w:t>-GAL4,UAS-</w:t>
      </w:r>
      <w:r w:rsidRPr="00F62BB5">
        <w:rPr>
          <w:i/>
        </w:rPr>
        <w:t>GFP/+</w:t>
      </w:r>
      <w:r>
        <w:t>) and UAS-SdhA (</w:t>
      </w:r>
      <w:r>
        <w:rPr>
          <w:i/>
        </w:rPr>
        <w:t>w;UAS-SdhA/Srp-GAL4,UAS-</w:t>
      </w:r>
      <w:r w:rsidRPr="00F62BB5">
        <w:rPr>
          <w:i/>
        </w:rPr>
        <w:t>GFP;Crq</w:t>
      </w:r>
      <w:r>
        <w:rPr>
          <w:i/>
        </w:rPr>
        <w:t>-GAL4,UAS-</w:t>
      </w:r>
      <w:r w:rsidRPr="00F62BB5">
        <w:rPr>
          <w:i/>
        </w:rPr>
        <w:t>GFP/+</w:t>
      </w:r>
      <w:r>
        <w:t xml:space="preserve">). Scale bars represent 20μm. (B) Zoomed images of (A), 1. Control, 2. </w:t>
      </w:r>
      <w:r w:rsidRPr="00771702">
        <w:rPr>
          <w:i/>
        </w:rPr>
        <w:t>UAS-SdhA</w:t>
      </w:r>
      <w:r>
        <w:t xml:space="preserve">. Scale bars represent 5μm. Red asterisks indicate vacuoles with hemocytes, as quantified. (C) Scatterplot of the number of vacuoles per individual hemocyte. Lines and error bars represent mean ± SD, n=132 and 189 for control and UAS-SdhA respectively. Asterisk represents Student’s t-test, ***p&lt;0.001. (D) Scatterplot of the average number of vacuoles per hemocyte per embryo. Lines and error bars represent mean ± SD, n=18 and 24 for control and </w:t>
      </w:r>
      <w:r w:rsidRPr="00771702">
        <w:rPr>
          <w:i/>
        </w:rPr>
        <w:t>UAS-SdhA</w:t>
      </w:r>
      <w:r>
        <w:t xml:space="preserve"> respectively. Asterisk represents Student’s t-test, *p&lt;0.05.</w:t>
      </w:r>
    </w:p>
    <w:p w14:paraId="6A2EC8BF" w14:textId="2F2A085D" w:rsidR="004275D8" w:rsidRDefault="004275D8" w:rsidP="004275D8">
      <w:pPr>
        <w:pStyle w:val="Heading3"/>
      </w:pPr>
      <w:bookmarkStart w:id="182" w:name="_Toc4589350"/>
      <w:r>
        <w:lastRenderedPageBreak/>
        <w:t xml:space="preserve">4.2.11 Knockdown of complex-I of the electron transport chain in hemocytes does not alter </w:t>
      </w:r>
      <w:r w:rsidR="00482BB3">
        <w:t>hemocyte recruitment to wounds</w:t>
      </w:r>
      <w:bookmarkEnd w:id="182"/>
    </w:p>
    <w:p w14:paraId="1FD84139" w14:textId="77777777" w:rsidR="004275D8" w:rsidRDefault="004275D8" w:rsidP="004275D8">
      <w:pPr>
        <w:pStyle w:val="Thesisnormal"/>
      </w:pPr>
    </w:p>
    <w:p w14:paraId="464AE885" w14:textId="19BAF4D2" w:rsidR="004275D8" w:rsidRDefault="004275D8" w:rsidP="004275D8">
      <w:pPr>
        <w:pStyle w:val="Thesisnormal"/>
      </w:pPr>
      <w:r>
        <w:t xml:space="preserve">In demonstrating that manipulation of the ETC could affect hemocyte behaviour in a pro- and anti-inflammatory manner, we expanded this to investigate complex-I further. Disruption of complex-I is known to cause metabolic disorders </w:t>
      </w:r>
      <w:r>
        <w:fldChar w:fldCharType="begin"/>
      </w:r>
      <w:r w:rsidR="000A209C">
        <w:instrText xml:space="preserve"> ADDIN ZOTERO_ITEM CSL_CITATION {"citationID":"JyoUvAlu","properties":{"formattedCitation":"(419)","plainCitation":"(419)","noteIndex":0},"citationItems":[{"id":1600,"uris":["http://zotero.org/users/952979/items/JD4IEADV"],"uri":["http://zotero.org/users/952979/items/JD4IEADV"],"itemData":{"id":1600,"type":"article-journal","title":"Mitochondrial Respiratory Complex I: Structure, Function and Implication in Human Diseases","container-title":"Current medicinal chemistry","page":"1266-1277","volume":"16","issue":"10","source":"PubMed Central","abstract":"Mitochondria are ubiquitous organelles in eukaryotic cells whose primary function is to generate energy supplies in the form of ATP through oxidative phosphorylation. As the entry point for most electrons into the respiratory chain, NADH:ubiquinone oxidoreductase, or complex I, is the largest and least understood component of the mitochondrial oxidative phosphorylation system. Substantial progress has been made in recent years in understanding its subunit composition, its assembly, the interaction among complex I and other respiratory components, and its role in oxidative stress and apoptosis. This review provides an updated overview of the structure of complex I, as well as its cellular functions, and discusses the implication of complex I dysfunction in various human diseases.","ISSN":"0929-8673","note":"PMID: 19355884\nPMCID: PMC4706149","shortTitle":"Mitochondrial Respiratory Complex I","journalAbbreviation":"Curr Med Chem","author":[{"family":"Sharma","given":"Lokendra K."},{"family":"Lu","given":"Jianxin"},{"family":"Bai","given":"Yidong"}],"issued":{"date-parts":[["2009"]]}}}],"schema":"https://github.com/citation-style-language/schema/raw/master/csl-citation.json"} </w:instrText>
      </w:r>
      <w:r>
        <w:fldChar w:fldCharType="separate"/>
      </w:r>
      <w:r w:rsidR="00A53A6B" w:rsidRPr="00A53A6B">
        <w:rPr>
          <w:rFonts w:ascii="Calibri" w:hAnsi="Calibri"/>
        </w:rPr>
        <w:t>(419)</w:t>
      </w:r>
      <w:r>
        <w:fldChar w:fldCharType="end"/>
      </w:r>
      <w:r>
        <w:t xml:space="preserve">, but this has not yet been specifically associated with macrophage phenotypes. Complex-I is composed of multiple subunits, one of which is ND20 </w:t>
      </w:r>
      <w:r>
        <w:fldChar w:fldCharType="begin"/>
      </w:r>
      <w:r w:rsidR="000A209C">
        <w:instrText xml:space="preserve"> ADDIN ZOTERO_ITEM CSL_CITATION {"citationID":"v7ONDOGW","properties":{"formattedCitation":"(418)","plainCitation":"(418)","noteIndex":0},"citationItems":[{"id":1610,"uris":["http://zotero.org/users/952979/items/G2NP9KP7"],"uri":["http://zotero.org/users/952979/items/G2NP9KP7"],"itemData":{"id":1610,"type":"article-journal","title":"Understanding mitochondrial complex I assembly in health and disease","container-title":"Biochimica et Biophysica Acta (BBA) - Bioenergetics","collection-title":"Biogenesis/Assembly of Respiratory Enzyme Complexes","page":"851-862","volume":"1817","issue":"6","source":"ScienceDirect","abstract":"Complex I (NADH:ubiquinone oxidoreductase) is the largest multimeric enzyme complex of the mitochondrial respiratory chain, which is responsible for electron transport and the generation of a proton gradient across the mitochondrial inner membrane to drive ATP production. Eukaryotic complex I consists of 14 conserved subunits, which are homologous to the bacterial subunits, and more than 26 accessory subunits. In mammals, complex I consists of 45 subunits, which must be assembled correctly to form the properly functioning mature complex. Complex I dysfunction is the most common oxidative phosphorylation (OXPHOS) disorder in humans and defects in the complex I assembly process are often observed. This assembly process has been difficult to characterize because of its large size, the lack of a high resolution structure for complex I, and its dual control by nuclear and mitochondrial DNA. However, in recent years, some of the atomic structure of the complex has been resolved and new insights into complex I assembly have been generated. Furthermore, a number of proteins have been identified as assembly factors for complex I biogenesis and many patients carrying mutations in genes associated with complex I deficiency and mitochondrial diseases have been discovered. Here, we review the current knowledge of the eukaryotic complex I assembly process and new insights from the identification of novel assembly factors. This article is part of a Special Issue entitled: Biogenesis/Assembly of Respiratory Enzyme Complexes.","DOI":"10.1016/j.bbabio.2011.08.010","ISSN":"0005-2728","journalAbbreviation":"Biochimica et Biophysica Acta (BBA) - Bioenergetics","author":[{"family":"Mimaki","given":"Masakazu"},{"family":"Wang","given":"Xiaonan"},{"family":"McKenzie","given":"Matthew"},{"family":"Thorburn","given":"David R."},{"family":"Ryan","given":"Michael T."}],"issued":{"date-parts":[["2012",6,1]]}}}],"schema":"https://github.com/citation-style-language/schema/raw/master/csl-citation.json"} </w:instrText>
      </w:r>
      <w:r>
        <w:fldChar w:fldCharType="separate"/>
      </w:r>
      <w:r w:rsidR="00A53A6B" w:rsidRPr="00A53A6B">
        <w:rPr>
          <w:rFonts w:ascii="Calibri" w:hAnsi="Calibri"/>
        </w:rPr>
        <w:t>(418)</w:t>
      </w:r>
      <w:r>
        <w:fldChar w:fldCharType="end"/>
      </w:r>
      <w:r>
        <w:t>. We therefore utilised RNAi-mediated knockdown of ND20 (</w:t>
      </w:r>
      <w:r>
        <w:rPr>
          <w:i/>
        </w:rPr>
        <w:t>w;UAS-RNAi-ND20/Srp-GAL4,UAS-GFP;Crq-GAL4,UAS-GFP/+</w:t>
      </w:r>
      <w:r>
        <w:t xml:space="preserve">) to investigate if this could affect hemocyte </w:t>
      </w:r>
      <w:r w:rsidR="00482BB3">
        <w:t>recruitment to wounds</w:t>
      </w:r>
      <w:r>
        <w:t xml:space="preserve">. We did not find any difference between embryos expressing </w:t>
      </w:r>
      <w:r w:rsidRPr="00771702">
        <w:t>RNAi-ND20</w:t>
      </w:r>
      <w:r>
        <w:t xml:space="preserve"> and controls (n=28 and 32 embryos for control and </w:t>
      </w:r>
      <w:r w:rsidRPr="00771702">
        <w:rPr>
          <w:i/>
        </w:rPr>
        <w:t>UAS-RNAi-ND20</w:t>
      </w:r>
      <w:r>
        <w:t xml:space="preserve"> respectively, Student’s t-test, p=0.7267, Fig 4.11), </w:t>
      </w:r>
      <w:r w:rsidRPr="001672F1">
        <w:t>suggesting that disruption of metabolism does not affect hemocyte responses to injury.</w:t>
      </w:r>
      <w:r>
        <w:t xml:space="preserve"> This conflicts with previous data in this chapter where complex-I disruption can affect </w:t>
      </w:r>
      <w:r w:rsidR="00482BB3">
        <w:t>recruitment to wounds</w:t>
      </w:r>
      <w:r>
        <w:t>, potentially due to a lack of expression of the RNAi using these specific promoters at this stage of development.</w:t>
      </w:r>
    </w:p>
    <w:p w14:paraId="42C714BA" w14:textId="77777777" w:rsidR="004275D8" w:rsidRPr="009A3220" w:rsidRDefault="004275D8" w:rsidP="004275D8">
      <w:pPr>
        <w:pStyle w:val="Thesisnormal"/>
      </w:pPr>
    </w:p>
    <w:p w14:paraId="6A72F850" w14:textId="32741B75" w:rsidR="004275D8" w:rsidRDefault="004275D8" w:rsidP="004275D8">
      <w:pPr>
        <w:pStyle w:val="Heading3"/>
      </w:pPr>
      <w:bookmarkStart w:id="183" w:name="_Toc4589351"/>
      <w:r>
        <w:t xml:space="preserve">4.2.12 Knockdown of Hexokinase-A in hemocytes does not alter </w:t>
      </w:r>
      <w:r w:rsidR="00482BB3">
        <w:t>hemocyte recruitment to wounds</w:t>
      </w:r>
      <w:bookmarkEnd w:id="183"/>
    </w:p>
    <w:p w14:paraId="57ACFF9C" w14:textId="77777777" w:rsidR="004275D8" w:rsidRDefault="004275D8" w:rsidP="004275D8">
      <w:pPr>
        <w:pStyle w:val="Thesisnormal"/>
      </w:pPr>
    </w:p>
    <w:p w14:paraId="22D6E8C1" w14:textId="17DF0717" w:rsidR="004275D8" w:rsidRPr="005F430E" w:rsidRDefault="004275D8" w:rsidP="004275D8">
      <w:pPr>
        <w:pStyle w:val="Thesisnormal"/>
      </w:pPr>
      <w:r>
        <w:t xml:space="preserve">M1 macrophages demonstrate increased glycolysis and reduced oxidative phosphorylation </w:t>
      </w:r>
      <w:r>
        <w:fldChar w:fldCharType="begin"/>
      </w:r>
      <w:r w:rsidR="000A209C">
        <w:instrText xml:space="preserve"> ADDIN ZOTERO_ITEM CSL_CITATION {"citationID":"OQ81lGrz","properties":{"formattedCitation":"(37)","plainCitation":"(37)","noteIndex":0},"citationItems":[{"id":1871,"uris":["http://zotero.org/users/952979/items/4TAZLJS7"],"uri":["http://zotero.org/users/952979/items/4TAZLJS7"],"itemData":{"id":1871,"type":"article-journal","title":"Increased Metabolite Levels of Glycolysis and Pentose Phosphate Pathway in Rabbit Atherosclerotic Arteries and Hypoxic Macrophage","container-title":"PLOS ONE","page":"e86426","volume":"9","issue":"1","source":"PLoS Journals","abstract":"Aims Inflammation and possibly hypoxia largely affect glucose utilization in atherosclerotic arteries, which could alter many metabolic systems. However, metabolic changes in atherosclerotic plaques remain unknown. The present study aims to identify changes in metabolic systems relative to glucose uptake and hypoxia in rabbit atherosclerotic arteries and cultured macrophages. Methods Macrophage-rich or smooth muscle cell (SMC)-rich neointima was created by balloon injury in the iliac-femoral arteries of rabbits fed with a 0.5% cholesterol diet or a conventional diet. THP-1 macrophages stimulated with lipopolysaccharides (LPS) and interferon-γ (INFγ) were cultured under normoxic and hypoxic conditions. We evaluated comprehensive arterial and macrophage metabolism by performing metabolomic analyses using capillary electrophoresis-time of flight mass spectrometry. We evaluated glucose uptake and its relationship to vascular hypoxia using 18F-fluorodeoxyglucose (18F-FDG) and pimonidazole, a marker of hypoxia. Results The levels of many metabolites increased in the iliac-femoral arteries with macrophage-rich neointima, compared with those that were not injured and those with SMC-rich neointima (glycolysis, 4 of 9; pentose phosphate pathway, 4 of 6; tricarboxylic acid cycle, 4 of 6; nucleotides, 10 of 20). The uptake of 18F-FDG in arterial walls measured by autoradiography positively correlated with macrophage- and pimonidazole-immunopositive areas (r = 0.76, and r = 0.59 respectively; n = 69 for both; p&lt;0.0001). Pimonidazole immunoreactivity was closely localized with the nuclear translocation of hypoxia inducible factor-1α and hexokinase II expression in macrophage-rich neointima. The levels of glycolytic (8 of 8) and pentose phosphate pathway (4 of 6) metabolites increased in LPS and INFγ stimulated macrophages under hypoxic but not normoxic condition. Plasminogen activator inhibitor-1 protein levels in the supernatant were closely associated with metabolic pathways in the macrophages. Conclusion Infiltrative macrophages in atherosclerotic arteries might affect metabolic systems, and hypoxia but not classical activation might augment glycolytic and pentose phosphate pathways in macrophages.","DOI":"10.1371/journal.pone.0086426","ISSN":"1932-6203","journalAbbreviation":"PLOS ONE","language":"en","author":[{"family":"Yamashita","given":"Atsushi"},{"family":"Zhao","given":"Yan"},{"family":"Matsuura","given":"Yunosuke"},{"family":"Yamasaki","given":"Kazuaki"},{"family":"Moriguchi-Goto","given":"Sayaka"},{"family":"Sugita","given":"Chihiro"},{"family":"Iwakiri","given":"Takashi"},{"family":"Okuyama","given":"Nozomi"},{"family":"Koshimoto","given":"Chihiro"},{"family":"Kawai","given":"Keiichi"},{"family":"Tamaki","given":"Nagara"},{"family":"Zhao","given":"Songji"},{"family":"Kuge","given":"Yuji"},{"family":"Asada","given":"Yujiro"}],"issued":{"date-parts":[["2014",1,23]]}}}],"schema":"https://github.com/citation-style-language/schema/raw/master/csl-citation.json"} </w:instrText>
      </w:r>
      <w:r>
        <w:fldChar w:fldCharType="separate"/>
      </w:r>
      <w:r w:rsidR="004A1963" w:rsidRPr="004A1963">
        <w:rPr>
          <w:rFonts w:ascii="Calibri" w:hAnsi="Calibri"/>
        </w:rPr>
        <w:t>(37)</w:t>
      </w:r>
      <w:r>
        <w:fldChar w:fldCharType="end"/>
      </w:r>
      <w:r>
        <w:t>. We targeted the first enzyme in glycolysis, Hexokinase (HexA), with using RNAi to decrease glycolysis specifically within hemocytes. We subsequently wounded these embryos (</w:t>
      </w:r>
      <w:r>
        <w:rPr>
          <w:i/>
        </w:rPr>
        <w:t>w;UAS-RNAi-HexA/Srp-GAL4,UAS-GFP;Crq-GAL4,UAS-GFP/+)</w:t>
      </w:r>
      <w:r>
        <w:t xml:space="preserve"> to expose hemocytes to a pro-inflammatory stimulus. We found a slight</w:t>
      </w:r>
      <w:r w:rsidR="00240F8F">
        <w:t xml:space="preserve"> </w:t>
      </w:r>
      <w:r>
        <w:t>decrease in the number of hemocytes per μm</w:t>
      </w:r>
      <w:r>
        <w:rPr>
          <w:vertAlign w:val="superscript"/>
        </w:rPr>
        <w:t>2</w:t>
      </w:r>
      <w:r>
        <w:t xml:space="preserve"> of wound area in embryos expressing RNAi-HexA (n=34 and 29 embryos for control and </w:t>
      </w:r>
      <w:r w:rsidRPr="00771702">
        <w:rPr>
          <w:i/>
        </w:rPr>
        <w:t>UAS-RNAi-HexA</w:t>
      </w:r>
      <w:r>
        <w:t xml:space="preserve"> respectively, One-way ANOVA with Dunnett’s multiple comparisons test, p=0.2974, Fig 4.12). This suggests that decreasing hemocyte rates of glycolysis may affect hemocyte response to sites of injury. </w:t>
      </w:r>
    </w:p>
    <w:p w14:paraId="29ABE8DD" w14:textId="77777777" w:rsidR="004275D8" w:rsidRDefault="004275D8" w:rsidP="004275D8">
      <w:pPr>
        <w:pStyle w:val="Thesisnormal"/>
      </w:pPr>
    </w:p>
    <w:p w14:paraId="43113B54" w14:textId="77777777" w:rsidR="004275D8" w:rsidRDefault="004275D8" w:rsidP="004275D8">
      <w:pPr>
        <w:pStyle w:val="Thesisnormal"/>
      </w:pPr>
    </w:p>
    <w:p w14:paraId="071DE594" w14:textId="77777777" w:rsidR="004275D8" w:rsidRDefault="004275D8" w:rsidP="004275D8">
      <w:pPr>
        <w:pStyle w:val="Thesisnormal"/>
      </w:pPr>
    </w:p>
    <w:p w14:paraId="20FD0D00" w14:textId="77777777" w:rsidR="004275D8" w:rsidRDefault="004275D8" w:rsidP="004275D8">
      <w:pPr>
        <w:pStyle w:val="Thesisnormal"/>
      </w:pPr>
    </w:p>
    <w:p w14:paraId="26E86F40" w14:textId="77777777" w:rsidR="004275D8" w:rsidRDefault="004275D8" w:rsidP="004275D8">
      <w:pPr>
        <w:pStyle w:val="Thesisnormal"/>
      </w:pPr>
    </w:p>
    <w:p w14:paraId="3B9B189E" w14:textId="7DDF1F2D" w:rsidR="004275D8" w:rsidRDefault="004275D8" w:rsidP="004275D8">
      <w:pPr>
        <w:pStyle w:val="Thesisnormal"/>
      </w:pPr>
      <w:r>
        <w:rPr>
          <w:noProof/>
          <w:lang w:eastAsia="en-GB"/>
        </w:rPr>
        <w:lastRenderedPageBreak/>
        <w:drawing>
          <wp:inline distT="0" distB="0" distL="0" distR="0" wp14:anchorId="6328CD16" wp14:editId="3EF8F56A">
            <wp:extent cx="6015092" cy="409956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PhD\Writing\Thesis\Chapter 4 Targetting M1 and M2 pathways\figures\ND20 wounding fig\ND20 wounding fig.tif"/>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51962"/>
                    <a:stretch/>
                  </pic:blipFill>
                  <pic:spPr bwMode="auto">
                    <a:xfrm>
                      <a:off x="0" y="0"/>
                      <a:ext cx="6023251" cy="4105120"/>
                    </a:xfrm>
                    <a:prstGeom prst="rect">
                      <a:avLst/>
                    </a:prstGeom>
                    <a:noFill/>
                    <a:ln>
                      <a:noFill/>
                    </a:ln>
                    <a:extLst>
                      <a:ext uri="{53640926-AAD7-44D8-BBD7-CCE9431645EC}">
                        <a14:shadowObscured xmlns:a14="http://schemas.microsoft.com/office/drawing/2010/main"/>
                      </a:ext>
                    </a:extLst>
                  </pic:spPr>
                </pic:pic>
              </a:graphicData>
            </a:graphic>
          </wp:inline>
        </w:drawing>
      </w:r>
    </w:p>
    <w:p w14:paraId="480C417C" w14:textId="1476F6EC" w:rsidR="004275D8" w:rsidRPr="0030625E" w:rsidRDefault="004275D8" w:rsidP="004275D8">
      <w:pPr>
        <w:pStyle w:val="NoSpacing"/>
        <w:rPr>
          <w:b/>
        </w:rPr>
      </w:pPr>
      <w:r>
        <w:rPr>
          <w:b/>
        </w:rPr>
        <w:t>Fig</w:t>
      </w:r>
      <w:r w:rsidRPr="0030625E">
        <w:rPr>
          <w:b/>
        </w:rPr>
        <w:t>ure 4.</w:t>
      </w:r>
      <w:r>
        <w:rPr>
          <w:b/>
        </w:rPr>
        <w:t>11</w:t>
      </w:r>
      <w:r w:rsidRPr="0030625E">
        <w:rPr>
          <w:b/>
        </w:rPr>
        <w:t xml:space="preserve">. </w:t>
      </w:r>
      <w:r>
        <w:rPr>
          <w:b/>
        </w:rPr>
        <w:t>Knockdown</w:t>
      </w:r>
      <w:r w:rsidRPr="0030625E">
        <w:rPr>
          <w:b/>
        </w:rPr>
        <w:t xml:space="preserve"> of </w:t>
      </w:r>
      <w:r>
        <w:rPr>
          <w:b/>
        </w:rPr>
        <w:t xml:space="preserve">complex-I of the ETC </w:t>
      </w:r>
      <w:r w:rsidRPr="0030625E">
        <w:rPr>
          <w:b/>
        </w:rPr>
        <w:t xml:space="preserve">within hemocytes </w:t>
      </w:r>
      <w:r>
        <w:rPr>
          <w:b/>
        </w:rPr>
        <w:t>does not affect</w:t>
      </w:r>
      <w:r w:rsidRPr="0030625E">
        <w:rPr>
          <w:b/>
        </w:rPr>
        <w:t xml:space="preserve"> hemocyte </w:t>
      </w:r>
      <w:r w:rsidR="00482BB3">
        <w:rPr>
          <w:b/>
        </w:rPr>
        <w:t>recruitment to wounds</w:t>
      </w:r>
      <w:r w:rsidRPr="0030625E">
        <w:rPr>
          <w:b/>
        </w:rPr>
        <w:t xml:space="preserve">. </w:t>
      </w:r>
    </w:p>
    <w:p w14:paraId="193914F4" w14:textId="7FDAE2F2" w:rsidR="004275D8" w:rsidRDefault="004275D8" w:rsidP="004275D8">
      <w:pPr>
        <w:pStyle w:val="NoSpacing"/>
      </w:pPr>
      <w:r>
        <w:t>(A) Representative stills of GFP labelled hemocyte responses to wounds at 0- (top image) 60-minutes (bottom image) post-wounding in stage 15 embryos for control (</w:t>
      </w:r>
      <w:r>
        <w:rPr>
          <w:i/>
        </w:rPr>
        <w:t>w;Srp-GAL4,UAS-GFP/+;Crq-GAL4,UAS-GFP/+</w:t>
      </w:r>
      <w:r>
        <w:t xml:space="preserve">) and </w:t>
      </w:r>
      <w:r w:rsidRPr="00771702">
        <w:rPr>
          <w:i/>
        </w:rPr>
        <w:t>UAS-RNAi-ND20</w:t>
      </w:r>
      <w:r>
        <w:rPr>
          <w:i/>
        </w:rPr>
        <w:t xml:space="preserve"> (w;UAS-RNAi-ND20/Srp-GAL4,UAS-GFP;Crq-GAL4,UAS-GFP/+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n=28 and 32 for control and </w:t>
      </w:r>
      <w:r w:rsidRPr="00771702">
        <w:rPr>
          <w:i/>
        </w:rPr>
        <w:t>UAS-RNAi-ND20</w:t>
      </w:r>
      <w:r>
        <w:t xml:space="preserve"> embryos respectively. Student’s t-test, p=0.7267. White dashed ovals outline wound perimeter. Scale bars represent 20μm. </w:t>
      </w:r>
    </w:p>
    <w:p w14:paraId="3DE5A57D" w14:textId="77777777" w:rsidR="004275D8" w:rsidRDefault="004275D8" w:rsidP="004275D8">
      <w:pPr>
        <w:pStyle w:val="Thesisnormal"/>
      </w:pPr>
    </w:p>
    <w:p w14:paraId="2E0A85E0" w14:textId="77777777" w:rsidR="004275D8" w:rsidRDefault="004275D8" w:rsidP="004275D8">
      <w:pPr>
        <w:pStyle w:val="Thesisnormal"/>
      </w:pPr>
    </w:p>
    <w:p w14:paraId="64BEB791" w14:textId="77777777" w:rsidR="004275D8" w:rsidRDefault="004275D8" w:rsidP="004275D8">
      <w:pPr>
        <w:pStyle w:val="Thesisnormal"/>
      </w:pPr>
    </w:p>
    <w:p w14:paraId="039523AD" w14:textId="77777777" w:rsidR="004275D8" w:rsidRDefault="004275D8" w:rsidP="004275D8">
      <w:pPr>
        <w:pStyle w:val="Thesisnormal"/>
      </w:pPr>
    </w:p>
    <w:p w14:paraId="0B8649D7" w14:textId="77777777" w:rsidR="004275D8" w:rsidRDefault="004275D8" w:rsidP="004275D8">
      <w:pPr>
        <w:pStyle w:val="Thesisnormal"/>
      </w:pPr>
    </w:p>
    <w:p w14:paraId="39CB741B" w14:textId="77777777" w:rsidR="004275D8" w:rsidRDefault="004275D8" w:rsidP="004275D8">
      <w:pPr>
        <w:pStyle w:val="Thesisnormal"/>
      </w:pPr>
    </w:p>
    <w:p w14:paraId="4D31EFB9" w14:textId="77777777" w:rsidR="004275D8" w:rsidRDefault="004275D8" w:rsidP="004275D8">
      <w:pPr>
        <w:pStyle w:val="Thesisnormal"/>
      </w:pPr>
    </w:p>
    <w:p w14:paraId="48EC900A" w14:textId="77777777" w:rsidR="004275D8" w:rsidRDefault="004275D8" w:rsidP="004275D8">
      <w:pPr>
        <w:pStyle w:val="Thesisnormal"/>
        <w:rPr>
          <w:noProof/>
          <w:lang w:eastAsia="en-GB"/>
        </w:rPr>
      </w:pPr>
    </w:p>
    <w:p w14:paraId="365EB5B0" w14:textId="77777777" w:rsidR="004275D8" w:rsidRDefault="004275D8" w:rsidP="004275D8">
      <w:pPr>
        <w:pStyle w:val="Thesisnormal"/>
      </w:pPr>
      <w:r>
        <w:rPr>
          <w:noProof/>
          <w:lang w:eastAsia="en-GB"/>
        </w:rPr>
        <w:lastRenderedPageBreak/>
        <w:drawing>
          <wp:inline distT="0" distB="0" distL="0" distR="0" wp14:anchorId="433A9F6E" wp14:editId="3B03180D">
            <wp:extent cx="5905882" cy="3676650"/>
            <wp:effectExtent l="0" t="0" r="0" b="0"/>
            <wp:docPr id="34" name="Picture 34" descr="D:\Dropbox\PhD\Writing\Thesis\Chapter 4 Targetting M1 and M2 pathways\figures\HexA wounding fig\RNAi-Hex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ropbox\PhD\Writing\Thesis\Chapter 4 Targetting M1 and M2 pathways\figures\HexA wounding fig\RNAi-Hex Wounding fig.tif"/>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138" b="54088"/>
                    <a:stretch/>
                  </pic:blipFill>
                  <pic:spPr bwMode="auto">
                    <a:xfrm>
                      <a:off x="0" y="0"/>
                      <a:ext cx="5912901" cy="3681020"/>
                    </a:xfrm>
                    <a:prstGeom prst="rect">
                      <a:avLst/>
                    </a:prstGeom>
                    <a:noFill/>
                    <a:ln>
                      <a:noFill/>
                    </a:ln>
                    <a:extLst>
                      <a:ext uri="{53640926-AAD7-44D8-BBD7-CCE9431645EC}">
                        <a14:shadowObscured xmlns:a14="http://schemas.microsoft.com/office/drawing/2010/main"/>
                      </a:ext>
                    </a:extLst>
                  </pic:spPr>
                </pic:pic>
              </a:graphicData>
            </a:graphic>
          </wp:inline>
        </w:drawing>
      </w:r>
    </w:p>
    <w:p w14:paraId="6A6CE38C" w14:textId="2DBB3CAB" w:rsidR="004275D8" w:rsidRPr="00A722C7" w:rsidRDefault="004275D8" w:rsidP="004275D8">
      <w:pPr>
        <w:pStyle w:val="NoSpacing"/>
        <w:rPr>
          <w:b/>
        </w:rPr>
      </w:pPr>
      <w:r>
        <w:rPr>
          <w:b/>
        </w:rPr>
        <w:t>Figure 4.12</w:t>
      </w:r>
      <w:r w:rsidRPr="00A722C7">
        <w:rPr>
          <w:b/>
        </w:rPr>
        <w:t xml:space="preserve">. Knockdown of hexokinase within hemocytes does not affect hemocyte </w:t>
      </w:r>
      <w:r w:rsidR="00482BB3">
        <w:rPr>
          <w:b/>
        </w:rPr>
        <w:t>recruitment to wounds</w:t>
      </w:r>
      <w:r w:rsidRPr="00A722C7">
        <w:rPr>
          <w:b/>
        </w:rPr>
        <w:t xml:space="preserve">. </w:t>
      </w:r>
    </w:p>
    <w:p w14:paraId="6E625E0E" w14:textId="6687EDD9" w:rsidR="004275D8" w:rsidRDefault="004275D8" w:rsidP="004275D8">
      <w:pPr>
        <w:pStyle w:val="NoSpacing"/>
      </w:pPr>
      <w:r>
        <w:t>(A) Representative stills of GFP labelled hemocyte responses to wounds at 0- (top image) and 60-minutes (bottom image) post-wounding in stage 15 embryos for control (</w:t>
      </w:r>
      <w:r>
        <w:rPr>
          <w:i/>
        </w:rPr>
        <w:t>w;Srp-GAL4,UAS-GFP/+;Crq-GAL4,UAS-GFP/+</w:t>
      </w:r>
      <w:r>
        <w:t xml:space="preserve">) and </w:t>
      </w:r>
      <w:r w:rsidRPr="00771702">
        <w:rPr>
          <w:i/>
        </w:rPr>
        <w:t>UAS-RNAi-HexA</w:t>
      </w:r>
      <w:r>
        <w:rPr>
          <w:i/>
        </w:rPr>
        <w:t xml:space="preserve"> (w;UAS-RNAi-HexA/Srp-GAL4,UAS-GFP;Crq-GAL4,UAS-GFP/+)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n=34 and 29 for control and </w:t>
      </w:r>
      <w:r w:rsidRPr="00771702">
        <w:rPr>
          <w:i/>
        </w:rPr>
        <w:t>UAS-RNAi-HexA</w:t>
      </w:r>
      <w:r>
        <w:t xml:space="preserve"> embryos respectively. One-way ANOVA with Dunnett’s multiple comparisons test, p=0.2974. </w:t>
      </w:r>
      <w:r w:rsidR="002C2972">
        <w:t xml:space="preserve">Control data is the same as in Fig 4.14, chapter 4 as these experiments were performed in parallel. </w:t>
      </w:r>
      <w:r>
        <w:t>White dashed ovals outline wound perimeter. Scale bars represent 20μm</w:t>
      </w:r>
    </w:p>
    <w:p w14:paraId="4EBF2404" w14:textId="77777777" w:rsidR="004275D8" w:rsidRDefault="004275D8" w:rsidP="004275D8">
      <w:pPr>
        <w:pStyle w:val="Thesisnormal"/>
      </w:pPr>
    </w:p>
    <w:p w14:paraId="15D57AB5" w14:textId="77777777" w:rsidR="004275D8" w:rsidRDefault="004275D8" w:rsidP="004275D8">
      <w:pPr>
        <w:pStyle w:val="Thesisnormal"/>
      </w:pPr>
    </w:p>
    <w:p w14:paraId="39D12FA5" w14:textId="77777777" w:rsidR="004275D8" w:rsidRDefault="004275D8" w:rsidP="004275D8">
      <w:pPr>
        <w:pStyle w:val="Thesisnormal"/>
      </w:pPr>
    </w:p>
    <w:p w14:paraId="291DA822" w14:textId="77777777" w:rsidR="004275D8" w:rsidRDefault="004275D8" w:rsidP="004275D8">
      <w:pPr>
        <w:pStyle w:val="Thesisnormal"/>
      </w:pPr>
    </w:p>
    <w:p w14:paraId="71C7D5FF" w14:textId="77777777" w:rsidR="004275D8" w:rsidRDefault="004275D8" w:rsidP="004275D8">
      <w:pPr>
        <w:pStyle w:val="Thesisnormal"/>
      </w:pPr>
    </w:p>
    <w:p w14:paraId="1A6999F1" w14:textId="77777777" w:rsidR="004275D8" w:rsidRDefault="004275D8" w:rsidP="004275D8">
      <w:pPr>
        <w:pStyle w:val="Thesisnormal"/>
      </w:pPr>
    </w:p>
    <w:p w14:paraId="6043613B" w14:textId="77777777" w:rsidR="004275D8" w:rsidRDefault="004275D8" w:rsidP="004275D8">
      <w:pPr>
        <w:pStyle w:val="Thesisnormal"/>
      </w:pPr>
    </w:p>
    <w:p w14:paraId="13F5F47F" w14:textId="77777777" w:rsidR="004275D8" w:rsidRDefault="004275D8" w:rsidP="004275D8">
      <w:pPr>
        <w:pStyle w:val="Thesisnormal"/>
      </w:pPr>
    </w:p>
    <w:p w14:paraId="5DB15A5E" w14:textId="77777777" w:rsidR="004275D8" w:rsidRDefault="004275D8" w:rsidP="004275D8">
      <w:pPr>
        <w:pStyle w:val="Thesisnormal"/>
      </w:pPr>
    </w:p>
    <w:p w14:paraId="77E4A4C2" w14:textId="77777777" w:rsidR="004275D8" w:rsidRDefault="004275D8" w:rsidP="004275D8">
      <w:pPr>
        <w:pStyle w:val="Thesisnormal"/>
      </w:pPr>
    </w:p>
    <w:p w14:paraId="00DFD38D" w14:textId="067F43DD" w:rsidR="004275D8" w:rsidRDefault="004275D8" w:rsidP="004275D8">
      <w:pPr>
        <w:pStyle w:val="Heading3"/>
      </w:pPr>
      <w:bookmarkStart w:id="184" w:name="_Toc4589352"/>
      <w:r>
        <w:lastRenderedPageBreak/>
        <w:t xml:space="preserve">4.2.13 Knockdown of pyruvate dehydrogenase in hemocytes does not alter </w:t>
      </w:r>
      <w:r w:rsidR="00482BB3">
        <w:t>hemocyte recruitment to wounds</w:t>
      </w:r>
      <w:bookmarkEnd w:id="184"/>
    </w:p>
    <w:p w14:paraId="25C384EB" w14:textId="77777777" w:rsidR="004275D8" w:rsidRDefault="004275D8" w:rsidP="004275D8">
      <w:pPr>
        <w:pStyle w:val="Thesisnormal"/>
      </w:pPr>
    </w:p>
    <w:p w14:paraId="58CEE3CB" w14:textId="0E4D4FC8" w:rsidR="004275D8" w:rsidRDefault="004275D8" w:rsidP="004275D8">
      <w:pPr>
        <w:pStyle w:val="Thesisnormal"/>
      </w:pPr>
      <w:r>
        <w:t xml:space="preserve">The final product of glycolysis is pyruvate, produced when a phosphate from phosphoenolpyruvate is removed by pyruvate kinase </w:t>
      </w:r>
      <w:r>
        <w:fldChar w:fldCharType="begin"/>
      </w:r>
      <w:r w:rsidR="000A209C">
        <w:instrText xml:space="preserve"> ADDIN ZOTERO_ITEM CSL_CITATION {"citationID":"jTDkh2zN","properties":{"formattedCitation":"(399)","plainCitation":"(399)","noteIndex":0},"citationItems":[{"id":1613,"uris":["http://zotero.org/users/952979/items/PDC8ZX3U"],"uri":["http://zotero.org/users/952979/items/PDC8ZX3U"],"itemData":{"id":1613,"type":"article-journal","title":"A quick look at biochemistry: Carbohydrate metabolism","container-title":"Clinical Biochemistry","page":"1339-1352","volume":"46","issue":"15","source":"ScienceDirect","abstract":"In mammals, there are different metabolic pathways in cells that break down fuel molecules to transfer their energy into high energy compounds such as adenosine-5′-triphosphate (ATP), guanosine-5′-triphosphate (GTP), reduced nicotinamide adenine dinucleotide (NADH2), reduced flavin adenine dinucleotide (FADH2) and reduced nicotinamide adenine dinucleotide phosphate (NADPH2). This process is called cellular respiration. In carbohydrate metabolism, the breakdown starts from digestion of food in the gastrointestinal tract and is followed by absorption of carbohydrate components by the enterocytes in the form of monosaccharides. Monosaccharides are transferred to cells for aerobic and anaerobic respiration via glycolysis, citric acid cycle and pentose phosphate pathway to be used in the starvation state. In the normal state, the skeletal muscle and liver cells store monosaccharides in the form of glycogen. In the obesity state, the extra glucose is converted to triglycerides via lipogenesis and is stored in the lipid droplets of adipocytes. In the lipotoxicity state, the lipid droplets of other tissues such as the liver, skeletal muscle and pancreatic beta cells also accumulate triacylglycerol. This event is the axis of the pathogenesis of metabolic dysregulation in insulin resistance, metabolic syndrome and type 2 diabetes. In this paper a summary of the metabolism of carbohydrates is presented in a way that researchers can follow the biochemical processes easily.","DOI":"10.1016/j.clinbiochem.2013.04.027","ISSN":"0009-9120","shortTitle":"A quick look at biochemistry","journalAbbreviation":"Clinical Biochemistry","author":[{"family":"Dashty","given":"Monireh"}],"issued":{"date-parts":[["2013",10,1]]}}}],"schema":"https://github.com/citation-style-language/schema/raw/master/csl-citation.json"} </w:instrText>
      </w:r>
      <w:r>
        <w:fldChar w:fldCharType="separate"/>
      </w:r>
      <w:r w:rsidR="00A53A6B" w:rsidRPr="00A53A6B">
        <w:rPr>
          <w:rFonts w:ascii="Calibri" w:hAnsi="Calibri"/>
        </w:rPr>
        <w:t>(399)</w:t>
      </w:r>
      <w:r>
        <w:fldChar w:fldCharType="end"/>
      </w:r>
      <w:r>
        <w:t>. Pyruvate can then be oxidised by pyruvate dehydrogenase (PDH) to acetyl-CoA which enters the TCA. As M1 macrophages demonstrate higher levels of glycolysis, we attempted to shift metabolism in hemocytes away from oxidative phosphorylation by using RNAi-mediated knockdown of PDH specifically in hemocytes (</w:t>
      </w:r>
      <w:r>
        <w:rPr>
          <w:i/>
        </w:rPr>
        <w:t>w;UAS-RNAi-pdh/</w:t>
      </w:r>
      <w:r w:rsidRPr="00722A24">
        <w:rPr>
          <w:i/>
        </w:rPr>
        <w:t xml:space="preserve"> </w:t>
      </w:r>
      <w:r>
        <w:rPr>
          <w:i/>
        </w:rPr>
        <w:t>Srp-GAL4,UAS-GFP;Crq-GAL4,UAS-GFP/+)</w:t>
      </w:r>
      <w:r>
        <w:t xml:space="preserve">.  Targeting PDH with RNAi did not result in any differences in </w:t>
      </w:r>
      <w:r w:rsidR="00482BB3">
        <w:t>recruitment to wounds</w:t>
      </w:r>
      <w:r>
        <w:t xml:space="preserve"> compared to controls (n=34 and 29 embryos for control and </w:t>
      </w:r>
      <w:r w:rsidRPr="00771702">
        <w:rPr>
          <w:i/>
        </w:rPr>
        <w:t>UAS-RNAi-pdhA</w:t>
      </w:r>
      <w:r>
        <w:t xml:space="preserve"> respectively, Student’s t-test, p=0.5909, Fig 4.13). We cannot confirm if these results are caused by a non-functioning RNAi/incomplete knockdown of PDH.</w:t>
      </w:r>
    </w:p>
    <w:p w14:paraId="1405BF79" w14:textId="77777777" w:rsidR="004275D8" w:rsidRPr="00500A97" w:rsidRDefault="004275D8" w:rsidP="004275D8">
      <w:pPr>
        <w:pStyle w:val="Thesisnormal"/>
      </w:pPr>
    </w:p>
    <w:p w14:paraId="3B8F4326" w14:textId="21B9EBF5" w:rsidR="004275D8" w:rsidRDefault="004275D8" w:rsidP="004275D8">
      <w:pPr>
        <w:pStyle w:val="Heading3"/>
      </w:pPr>
      <w:bookmarkStart w:id="185" w:name="_Toc4589353"/>
      <w:r>
        <w:t xml:space="preserve">4.2.14 Knockdown of pyruvate dehydrogenase phosphatase in hemocytes does not alter </w:t>
      </w:r>
      <w:r w:rsidR="00482BB3">
        <w:t>hemocyte recruitment to wounds</w:t>
      </w:r>
      <w:bookmarkEnd w:id="185"/>
    </w:p>
    <w:p w14:paraId="020FD982" w14:textId="77777777" w:rsidR="004275D8" w:rsidRDefault="004275D8" w:rsidP="004275D8">
      <w:pPr>
        <w:pStyle w:val="Thesisnormal"/>
      </w:pPr>
    </w:p>
    <w:p w14:paraId="3517F564" w14:textId="53526C7B" w:rsidR="004275D8" w:rsidRDefault="004275D8" w:rsidP="004275D8">
      <w:pPr>
        <w:pStyle w:val="Thesisnormal"/>
      </w:pPr>
      <w:r>
        <w:t xml:space="preserve">Pyruvate dehydrogenase is tightly regulated by two enzymes; pyruvate dehydrogenase phosphatase (PDP) and pyruvate dehydrogenase kinase (PDK) </w:t>
      </w:r>
      <w:r>
        <w:fldChar w:fldCharType="begin"/>
      </w:r>
      <w:r w:rsidR="000A209C">
        <w:instrText xml:space="preserve"> ADDIN ZOTERO_ITEM CSL_CITATION {"citationID":"mN3vQSUB","properties":{"formattedCitation":"(420)","plainCitation":"(420)","noteIndex":0},"citationItems":[{"id":1651,"uris":["http://zotero.org/users/952979/items/TF3X87Z4"],"uri":["http://zotero.org/users/952979/items/TF3X87Z4"],"itemData":{"id":1651,"type":"article-journal","title":"The pivotal role of pyruvate dehydrogenase kinases in metabolic flexibility","container-title":"Nutrition &amp; Metabolism","page":"10","volume":"11","source":"PubMed Central","abstract":"Metabolic flexibility is the capacity of a system to adjust fuel (primarily glucose and fatty acids) oxidation based on nutrient availability. The ability to alter substrate oxidation in response to nutritional state depends on the genetically influenced balance between oxidation and storage capacities. Competition between fatty acids and glucose for oxidation occurs at the level of the pyruvate dehydrogenase complex (PDC). The PDC is normally active in most tissues in the fed state, and suppressing PDC activity by pyruvate dehydrogenase (PDH) kinase (PDK) is crucial to maintain energy homeostasis under some extreme nutritional conditions in mammals. Conversely, inappropriate suppression of PDC activity might promote the development of metabolic diseases. This review summarizes PDKs’ pivotal role in control of metabolic flexibility under various nutrient conditions and in different tissues, with emphasis on the best characterized PDK4. Understanding the regulation of PDC and PDKs and their roles in energy homeostasis could be beneficial to alleviate metabolic inflexibility and to provide possible therapies for metabolic diseases, including type 2 diabetes (T2D).","DOI":"10.1186/1743-7075-11-10","ISSN":"1743-7075","note":"PMID: 24520982\nPMCID: PMC3925357","journalAbbreviation":"Nutr Metab (Lond)","author":[{"family":"Zhang","given":"Shuai"},{"family":"Hulver","given":"Matthew W"},{"family":"McMillan","given":"Ryan P"},{"family":"Cline","given":"Mark A"},{"family":"Gilbert","given":"Elizabeth R"}],"issued":{"date-parts":[["2014",2,12]]}}}],"schema":"https://github.com/citation-style-language/schema/raw/master/csl-citation.json"} </w:instrText>
      </w:r>
      <w:r>
        <w:fldChar w:fldCharType="separate"/>
      </w:r>
      <w:r w:rsidR="00A53A6B" w:rsidRPr="00A53A6B">
        <w:rPr>
          <w:rFonts w:ascii="Calibri" w:hAnsi="Calibri"/>
        </w:rPr>
        <w:t>(420)</w:t>
      </w:r>
      <w:r>
        <w:fldChar w:fldCharType="end"/>
      </w:r>
      <w:r>
        <w:t xml:space="preserve">. Upon phosphorylation by PDP, PDH becomes active and converts pyruvate to acetyl-CoA. However, PDK can inactivate PDH and prevent pyruvate being converted to acetyl-CoA, instead being converted to lactate by lactate dehydrogenase </w:t>
      </w:r>
      <w:r>
        <w:fldChar w:fldCharType="begin"/>
      </w:r>
      <w:r w:rsidR="000A209C">
        <w:instrText xml:space="preserve"> ADDIN ZOTERO_ITEM CSL_CITATION {"citationID":"1xmdrioA","properties":{"formattedCitation":"(420)","plainCitation":"(420)","noteIndex":0},"citationItems":[{"id":1651,"uris":["http://zotero.org/users/952979/items/TF3X87Z4"],"uri":["http://zotero.org/users/952979/items/TF3X87Z4"],"itemData":{"id":1651,"type":"article-journal","title":"The pivotal role of pyruvate dehydrogenase kinases in metabolic flexibility","container-title":"Nutrition &amp; Metabolism","page":"10","volume":"11","source":"PubMed Central","abstract":"Metabolic flexibility is the capacity of a system to adjust fuel (primarily glucose and fatty acids) oxidation based on nutrient availability. The ability to alter substrate oxidation in response to nutritional state depends on the genetically influenced balance between oxidation and storage capacities. Competition between fatty acids and glucose for oxidation occurs at the level of the pyruvate dehydrogenase complex (PDC). The PDC is normally active in most tissues in the fed state, and suppressing PDC activity by pyruvate dehydrogenase (PDH) kinase (PDK) is crucial to maintain energy homeostasis under some extreme nutritional conditions in mammals. Conversely, inappropriate suppression of PDC activity might promote the development of metabolic diseases. This review summarizes PDKs’ pivotal role in control of metabolic flexibility under various nutrient conditions and in different tissues, with emphasis on the best characterized PDK4. Understanding the regulation of PDC and PDKs and their roles in energy homeostasis could be beneficial to alleviate metabolic inflexibility and to provide possible therapies for metabolic diseases, including type 2 diabetes (T2D).","DOI":"10.1186/1743-7075-11-10","ISSN":"1743-7075","note":"PMID: 24520982\nPMCID: PMC3925357","journalAbbreviation":"Nutr Metab (Lond)","author":[{"family":"Zhang","given":"Shuai"},{"family":"Hulver","given":"Matthew W"},{"family":"McMillan","given":"Ryan P"},{"family":"Cline","given":"Mark A"},{"family":"Gilbert","given":"Elizabeth R"}],"issued":{"date-parts":[["2014",2,12]]}}}],"schema":"https://github.com/citation-style-language/schema/raw/master/csl-citation.json"} </w:instrText>
      </w:r>
      <w:r>
        <w:fldChar w:fldCharType="separate"/>
      </w:r>
      <w:r w:rsidR="00A53A6B" w:rsidRPr="00A53A6B">
        <w:rPr>
          <w:rFonts w:ascii="Calibri" w:hAnsi="Calibri"/>
        </w:rPr>
        <w:t>(420)</w:t>
      </w:r>
      <w:r>
        <w:fldChar w:fldCharType="end"/>
      </w:r>
      <w:r>
        <w:t>. We reduced expression of PDP using RNAi in an attempt to reduce activation of PDH specifically in hemocytes (</w:t>
      </w:r>
      <w:r>
        <w:rPr>
          <w:i/>
        </w:rPr>
        <w:t>w;UAS-RNAi-pdp/</w:t>
      </w:r>
      <w:r w:rsidRPr="00722A24">
        <w:rPr>
          <w:i/>
        </w:rPr>
        <w:t xml:space="preserve"> </w:t>
      </w:r>
      <w:r>
        <w:rPr>
          <w:i/>
        </w:rPr>
        <w:t>Srp-GAL4,UAS-GFP;Crq-GAL4,UAS-GFP/+)</w:t>
      </w:r>
      <w:r>
        <w:t xml:space="preserve">.  We observed no differences in </w:t>
      </w:r>
      <w:r w:rsidR="00482BB3">
        <w:t>hemocyte recruitment to wounds</w:t>
      </w:r>
      <w:r>
        <w:t xml:space="preserve"> between controls and embryos in which PDP was knocked down via RNAi (n=34 and 24 embryos for control and </w:t>
      </w:r>
      <w:r w:rsidRPr="00771702">
        <w:rPr>
          <w:i/>
        </w:rPr>
        <w:t>UAS-RNAi-pdp</w:t>
      </w:r>
      <w:r>
        <w:t xml:space="preserve"> respectively, One-way ANOVA with Dunnett’s multiple comparisons test, p=0.8816, Fig 4.14). Again, we cannot discriminate whether these results are caused by non-functioning RNAi, incomplete knockdown, perdurance of protein or a lack of a role.</w:t>
      </w:r>
    </w:p>
    <w:p w14:paraId="732DDAC3" w14:textId="77777777" w:rsidR="004275D8" w:rsidRDefault="004275D8" w:rsidP="004275D8">
      <w:pPr>
        <w:pStyle w:val="Thesisnormal"/>
      </w:pPr>
    </w:p>
    <w:p w14:paraId="412E6F17" w14:textId="77777777" w:rsidR="004275D8" w:rsidRDefault="004275D8" w:rsidP="004275D8">
      <w:pPr>
        <w:pStyle w:val="Thesisnormal"/>
      </w:pPr>
    </w:p>
    <w:p w14:paraId="2D688FC3" w14:textId="77777777" w:rsidR="004275D8" w:rsidRDefault="004275D8" w:rsidP="004275D8">
      <w:pPr>
        <w:pStyle w:val="Thesisnormal"/>
      </w:pPr>
    </w:p>
    <w:p w14:paraId="1F5FED7B" w14:textId="77777777" w:rsidR="004275D8" w:rsidRDefault="004275D8" w:rsidP="004275D8">
      <w:pPr>
        <w:pStyle w:val="Thesisnormal"/>
      </w:pPr>
    </w:p>
    <w:p w14:paraId="249E1682" w14:textId="77777777" w:rsidR="004275D8" w:rsidRDefault="004275D8" w:rsidP="004275D8">
      <w:pPr>
        <w:pStyle w:val="Thesisnormal"/>
      </w:pPr>
      <w:r>
        <w:rPr>
          <w:noProof/>
          <w:lang w:eastAsia="en-GB"/>
        </w:rPr>
        <w:lastRenderedPageBreak/>
        <w:drawing>
          <wp:inline distT="0" distB="0" distL="0" distR="0" wp14:anchorId="00BE8371" wp14:editId="27C53BED">
            <wp:extent cx="5900095" cy="3905250"/>
            <wp:effectExtent l="0" t="0" r="5715" b="0"/>
            <wp:docPr id="35" name="Picture 35" descr="D:\Dropbox\PhD\Writing\Thesis\Chapter 4 Targetting M1 and M2 pathways\figures\PdhA wounding fig\RNAi-PdhA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PdhA wounding fig\RNAi-PdhA Wounding Fig.tif"/>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53400"/>
                    <a:stretch/>
                  </pic:blipFill>
                  <pic:spPr bwMode="auto">
                    <a:xfrm>
                      <a:off x="0" y="0"/>
                      <a:ext cx="5904975" cy="3908480"/>
                    </a:xfrm>
                    <a:prstGeom prst="rect">
                      <a:avLst/>
                    </a:prstGeom>
                    <a:noFill/>
                    <a:ln>
                      <a:noFill/>
                    </a:ln>
                    <a:extLst>
                      <a:ext uri="{53640926-AAD7-44D8-BBD7-CCE9431645EC}">
                        <a14:shadowObscured xmlns:a14="http://schemas.microsoft.com/office/drawing/2010/main"/>
                      </a:ext>
                    </a:extLst>
                  </pic:spPr>
                </pic:pic>
              </a:graphicData>
            </a:graphic>
          </wp:inline>
        </w:drawing>
      </w:r>
    </w:p>
    <w:p w14:paraId="5FD23791" w14:textId="02E09255" w:rsidR="004275D8" w:rsidRDefault="004275D8" w:rsidP="004275D8">
      <w:pPr>
        <w:pStyle w:val="NoSpacing"/>
      </w:pPr>
      <w:r>
        <w:rPr>
          <w:b/>
        </w:rPr>
        <w:t>Fig</w:t>
      </w:r>
      <w:r w:rsidRPr="0030625E">
        <w:rPr>
          <w:b/>
        </w:rPr>
        <w:t>ure 4.</w:t>
      </w:r>
      <w:r>
        <w:rPr>
          <w:b/>
        </w:rPr>
        <w:t>13</w:t>
      </w:r>
      <w:r w:rsidRPr="0030625E">
        <w:rPr>
          <w:b/>
        </w:rPr>
        <w:t xml:space="preserve">. </w:t>
      </w:r>
      <w:r>
        <w:rPr>
          <w:b/>
        </w:rPr>
        <w:t>Knockdown of</w:t>
      </w:r>
      <w:r w:rsidRPr="00096833">
        <w:rPr>
          <w:b/>
        </w:rPr>
        <w:t xml:space="preserve"> </w:t>
      </w:r>
      <w:r>
        <w:rPr>
          <w:b/>
        </w:rPr>
        <w:t xml:space="preserve">pyruvate dehydrogenase </w:t>
      </w:r>
      <w:r w:rsidRPr="00096833">
        <w:rPr>
          <w:b/>
        </w:rPr>
        <w:t xml:space="preserve">within hemocytes </w:t>
      </w:r>
      <w:r>
        <w:rPr>
          <w:b/>
        </w:rPr>
        <w:t xml:space="preserve">does not affect hemocyte </w:t>
      </w:r>
      <w:r w:rsidR="00482BB3">
        <w:rPr>
          <w:b/>
        </w:rPr>
        <w:t>recruitment to wounds</w:t>
      </w:r>
      <w:r>
        <w:rPr>
          <w:b/>
        </w:rPr>
        <w:t>.</w:t>
      </w:r>
      <w:r>
        <w:t xml:space="preserve"> </w:t>
      </w:r>
    </w:p>
    <w:p w14:paraId="1EAA9450" w14:textId="7F0986D9" w:rsidR="004275D8" w:rsidRDefault="004275D8" w:rsidP="004275D8">
      <w:pPr>
        <w:pStyle w:val="NoSpacing"/>
      </w:pPr>
      <w:r>
        <w:t>(A) Representative stills of GFP labelled hemocyte responses to wounds at 0- (top image) and 60-minutes (bottom image) post-wounding in stage 15 embryos for control (</w:t>
      </w:r>
      <w:r>
        <w:rPr>
          <w:i/>
        </w:rPr>
        <w:t>w;Srp-GAL4,UAS-GFP/+;Crq-GAL4,UAS-GFP/+</w:t>
      </w:r>
      <w:r>
        <w:t xml:space="preserve">) and </w:t>
      </w:r>
      <w:r w:rsidRPr="00771702">
        <w:rPr>
          <w:i/>
        </w:rPr>
        <w:t>UAS-RNAi-pdhA</w:t>
      </w:r>
      <w:r>
        <w:rPr>
          <w:i/>
        </w:rPr>
        <w:t xml:space="preserve"> (w;UAS-RNAi-pdh/Srp-GAL4,UAS-GFP;Crq-GAL4,UAS-GFP/+)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n=34 and 29 for control and </w:t>
      </w:r>
      <w:r w:rsidRPr="00771702">
        <w:rPr>
          <w:i/>
        </w:rPr>
        <w:t>UAS-RNAi-pdhA</w:t>
      </w:r>
      <w:r>
        <w:t xml:space="preserve"> embryos respectively. Student’s t-test, p=0.5909. White dashed ovals outline wound perimeter. Scale bars represent 20μm. </w:t>
      </w:r>
    </w:p>
    <w:p w14:paraId="1108845A" w14:textId="77777777" w:rsidR="004275D8" w:rsidRDefault="004275D8" w:rsidP="004275D8">
      <w:pPr>
        <w:pStyle w:val="Thesisnormal"/>
      </w:pPr>
    </w:p>
    <w:p w14:paraId="0ECA2885" w14:textId="77777777" w:rsidR="004275D8" w:rsidRDefault="004275D8" w:rsidP="004275D8">
      <w:pPr>
        <w:pStyle w:val="Thesisnormal"/>
      </w:pPr>
    </w:p>
    <w:p w14:paraId="7C813627" w14:textId="77777777" w:rsidR="004275D8" w:rsidRDefault="004275D8" w:rsidP="004275D8">
      <w:pPr>
        <w:pStyle w:val="Thesisnormal"/>
      </w:pPr>
    </w:p>
    <w:p w14:paraId="04076D15" w14:textId="77777777" w:rsidR="004275D8" w:rsidRDefault="004275D8" w:rsidP="004275D8">
      <w:pPr>
        <w:pStyle w:val="Thesisnormal"/>
      </w:pPr>
    </w:p>
    <w:p w14:paraId="2BF07C4C" w14:textId="77777777" w:rsidR="004275D8" w:rsidRDefault="004275D8" w:rsidP="004275D8">
      <w:pPr>
        <w:pStyle w:val="Thesisnormal"/>
      </w:pPr>
    </w:p>
    <w:p w14:paraId="43DD35E4" w14:textId="77777777" w:rsidR="004275D8" w:rsidRDefault="004275D8" w:rsidP="004275D8">
      <w:pPr>
        <w:pStyle w:val="Thesisnormal"/>
      </w:pPr>
    </w:p>
    <w:p w14:paraId="18695435" w14:textId="77777777" w:rsidR="004275D8" w:rsidRDefault="004275D8" w:rsidP="004275D8">
      <w:pPr>
        <w:pStyle w:val="Thesisnormal"/>
      </w:pPr>
    </w:p>
    <w:p w14:paraId="1BD029B5" w14:textId="77777777" w:rsidR="004275D8" w:rsidRDefault="004275D8" w:rsidP="004275D8">
      <w:pPr>
        <w:pStyle w:val="Thesisnormal"/>
      </w:pPr>
    </w:p>
    <w:p w14:paraId="1BDCBDED" w14:textId="77777777" w:rsidR="004275D8" w:rsidRDefault="004275D8" w:rsidP="004275D8">
      <w:pPr>
        <w:pStyle w:val="Thesisnormal"/>
      </w:pPr>
    </w:p>
    <w:p w14:paraId="7E6EF746" w14:textId="77777777" w:rsidR="004275D8" w:rsidRDefault="004275D8" w:rsidP="004275D8">
      <w:pPr>
        <w:pStyle w:val="Thesisnormal"/>
        <w:rPr>
          <w:noProof/>
          <w:lang w:eastAsia="en-GB"/>
        </w:rPr>
      </w:pPr>
    </w:p>
    <w:p w14:paraId="021131E4" w14:textId="77777777" w:rsidR="004275D8" w:rsidRDefault="004275D8" w:rsidP="004275D8">
      <w:pPr>
        <w:pStyle w:val="Thesisnormal"/>
      </w:pPr>
      <w:r>
        <w:rPr>
          <w:noProof/>
          <w:lang w:eastAsia="en-GB"/>
        </w:rPr>
        <w:lastRenderedPageBreak/>
        <w:drawing>
          <wp:inline distT="0" distB="0" distL="0" distR="0" wp14:anchorId="5498BD94" wp14:editId="02ADAAE0">
            <wp:extent cx="5829506" cy="3848100"/>
            <wp:effectExtent l="0" t="0" r="0" b="0"/>
            <wp:docPr id="36" name="Picture 36" descr="D:\Dropbox\PhD\Writing\Thesis\Chapter 4 Targetting M1 and M2 pathways\figures\pdp wounding fig\RNAi-pdp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4 Targetting M1 and M2 pathways\figures\pdp wounding fig\RNAi-pdp Wounding fig.tif"/>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53526"/>
                    <a:stretch/>
                  </pic:blipFill>
                  <pic:spPr bwMode="auto">
                    <a:xfrm>
                      <a:off x="0" y="0"/>
                      <a:ext cx="5836660" cy="3852823"/>
                    </a:xfrm>
                    <a:prstGeom prst="rect">
                      <a:avLst/>
                    </a:prstGeom>
                    <a:noFill/>
                    <a:ln>
                      <a:noFill/>
                    </a:ln>
                    <a:extLst>
                      <a:ext uri="{53640926-AAD7-44D8-BBD7-CCE9431645EC}">
                        <a14:shadowObscured xmlns:a14="http://schemas.microsoft.com/office/drawing/2010/main"/>
                      </a:ext>
                    </a:extLst>
                  </pic:spPr>
                </pic:pic>
              </a:graphicData>
            </a:graphic>
          </wp:inline>
        </w:drawing>
      </w:r>
    </w:p>
    <w:p w14:paraId="68B3BC3C" w14:textId="2EAAB7AC" w:rsidR="004275D8" w:rsidRDefault="004275D8" w:rsidP="004275D8">
      <w:pPr>
        <w:pStyle w:val="NoSpacing"/>
      </w:pPr>
      <w:r>
        <w:rPr>
          <w:b/>
        </w:rPr>
        <w:t>Fig</w:t>
      </w:r>
      <w:r w:rsidRPr="0030625E">
        <w:rPr>
          <w:b/>
        </w:rPr>
        <w:t>ure 4.</w:t>
      </w:r>
      <w:r>
        <w:rPr>
          <w:b/>
        </w:rPr>
        <w:t>14</w:t>
      </w:r>
      <w:r w:rsidRPr="0030625E">
        <w:rPr>
          <w:b/>
        </w:rPr>
        <w:t xml:space="preserve">. </w:t>
      </w:r>
      <w:r>
        <w:rPr>
          <w:b/>
        </w:rPr>
        <w:t>Knockdown of</w:t>
      </w:r>
      <w:r w:rsidRPr="00096833">
        <w:rPr>
          <w:b/>
        </w:rPr>
        <w:t xml:space="preserve"> </w:t>
      </w:r>
      <w:r>
        <w:rPr>
          <w:b/>
        </w:rPr>
        <w:t xml:space="preserve">pyruvate dehydrogenase phosphatase </w:t>
      </w:r>
      <w:r w:rsidRPr="00096833">
        <w:rPr>
          <w:b/>
        </w:rPr>
        <w:t xml:space="preserve">within hemocytes </w:t>
      </w:r>
      <w:r>
        <w:rPr>
          <w:b/>
        </w:rPr>
        <w:t xml:space="preserve">does not affect hemocyte </w:t>
      </w:r>
      <w:r w:rsidR="00482BB3">
        <w:rPr>
          <w:b/>
        </w:rPr>
        <w:t>recruitment to wounds</w:t>
      </w:r>
      <w:r>
        <w:rPr>
          <w:b/>
        </w:rPr>
        <w:t>.</w:t>
      </w:r>
      <w:r>
        <w:t xml:space="preserve"> </w:t>
      </w:r>
    </w:p>
    <w:p w14:paraId="524943C8" w14:textId="694139DD" w:rsidR="004275D8" w:rsidRDefault="004275D8" w:rsidP="004275D8">
      <w:pPr>
        <w:pStyle w:val="NoSpacing"/>
      </w:pPr>
      <w:r>
        <w:t>(A) Representative stills of GFP labelled hemocyte responses to wounds at 0- (top image) and 60-minutes (bottom image) post-wounding in stage 15 embryos for control (</w:t>
      </w:r>
      <w:r>
        <w:rPr>
          <w:i/>
        </w:rPr>
        <w:t>w;Srp-GAL4,UAS-GFP/+;Crq-GAL4,UAS-GFP/+)</w:t>
      </w:r>
      <w:r>
        <w:t xml:space="preserve"> and </w:t>
      </w:r>
      <w:r w:rsidRPr="00771702">
        <w:rPr>
          <w:i/>
        </w:rPr>
        <w:t>UAS-RNAi-pdp</w:t>
      </w:r>
      <w:r>
        <w:rPr>
          <w:i/>
        </w:rPr>
        <w:t xml:space="preserve"> (w;UAS-RNAi-pdp/Srp-GAL4,UAS-GFP;Crq-GAL4,UAS-GFP/+)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n=34 and 24 for control and </w:t>
      </w:r>
      <w:r w:rsidRPr="00771702">
        <w:rPr>
          <w:i/>
        </w:rPr>
        <w:t>UAS-RNAi-pdp</w:t>
      </w:r>
      <w:r>
        <w:t xml:space="preserve"> embryos respectively. One-way ANOVA with Dunnett’s multiple comparisons test, p=0.8816. White dashed ovals outline wound perimeter. Scale bars represent 20μm. </w:t>
      </w:r>
      <w:r w:rsidR="00A354A3">
        <w:t>Control data is the same as in Fig 4.1</w:t>
      </w:r>
      <w:r w:rsidR="002C2972">
        <w:t>2</w:t>
      </w:r>
      <w:r w:rsidR="00A354A3">
        <w:t>, chapter 4 as these experiments were performed in parallel.</w:t>
      </w:r>
    </w:p>
    <w:p w14:paraId="5FBA3568" w14:textId="77777777" w:rsidR="004275D8" w:rsidRDefault="004275D8" w:rsidP="004275D8">
      <w:pPr>
        <w:pStyle w:val="Thesisnormal"/>
      </w:pPr>
    </w:p>
    <w:p w14:paraId="059FCA40" w14:textId="77777777" w:rsidR="004275D8" w:rsidRDefault="004275D8" w:rsidP="004275D8">
      <w:pPr>
        <w:pStyle w:val="Thesisnormal"/>
      </w:pPr>
    </w:p>
    <w:p w14:paraId="5E1EA934" w14:textId="77777777" w:rsidR="004275D8" w:rsidRDefault="004275D8" w:rsidP="004275D8">
      <w:pPr>
        <w:pStyle w:val="Thesisnormal"/>
      </w:pPr>
    </w:p>
    <w:p w14:paraId="594E1352" w14:textId="77777777" w:rsidR="004275D8" w:rsidRDefault="004275D8" w:rsidP="004275D8">
      <w:pPr>
        <w:pStyle w:val="Thesisnormal"/>
      </w:pPr>
    </w:p>
    <w:p w14:paraId="23480C0E" w14:textId="77777777" w:rsidR="004275D8" w:rsidRDefault="004275D8" w:rsidP="004275D8">
      <w:pPr>
        <w:pStyle w:val="Thesisnormal"/>
      </w:pPr>
    </w:p>
    <w:p w14:paraId="1E0331B5" w14:textId="77777777" w:rsidR="004275D8" w:rsidRDefault="004275D8" w:rsidP="004275D8">
      <w:pPr>
        <w:pStyle w:val="Thesisnormal"/>
      </w:pPr>
    </w:p>
    <w:p w14:paraId="7B969E34" w14:textId="77777777" w:rsidR="004275D8" w:rsidRDefault="004275D8" w:rsidP="004275D8">
      <w:pPr>
        <w:pStyle w:val="Thesisnormal"/>
      </w:pPr>
    </w:p>
    <w:p w14:paraId="5C402C99" w14:textId="77777777" w:rsidR="004275D8" w:rsidRDefault="004275D8" w:rsidP="004275D8">
      <w:pPr>
        <w:pStyle w:val="Thesisnormal"/>
      </w:pPr>
    </w:p>
    <w:p w14:paraId="24FBBF3A" w14:textId="77777777" w:rsidR="004275D8" w:rsidRDefault="004275D8" w:rsidP="004275D8">
      <w:pPr>
        <w:pStyle w:val="Thesisnormal"/>
      </w:pPr>
    </w:p>
    <w:p w14:paraId="68E3DF25" w14:textId="77777777" w:rsidR="004275D8" w:rsidRDefault="004275D8" w:rsidP="004275D8">
      <w:pPr>
        <w:pStyle w:val="Thesisnormal"/>
      </w:pPr>
    </w:p>
    <w:p w14:paraId="2916E15B" w14:textId="4199DF41" w:rsidR="004275D8" w:rsidRDefault="004275D8" w:rsidP="004275D8">
      <w:pPr>
        <w:pStyle w:val="Heading3"/>
      </w:pPr>
      <w:bookmarkStart w:id="186" w:name="_Toc4589354"/>
      <w:r>
        <w:lastRenderedPageBreak/>
        <w:t xml:space="preserve">4.2.15 Overexpression of pyruvate dehydrogenase kinase in hemocytes increases </w:t>
      </w:r>
      <w:r w:rsidR="00482BB3">
        <w:t>recruitment to wounds</w:t>
      </w:r>
      <w:bookmarkEnd w:id="186"/>
    </w:p>
    <w:p w14:paraId="6DD03134" w14:textId="77777777" w:rsidR="004275D8" w:rsidRDefault="004275D8" w:rsidP="004275D8">
      <w:pPr>
        <w:pStyle w:val="Thesisnormal"/>
      </w:pPr>
    </w:p>
    <w:p w14:paraId="66FC8D3A" w14:textId="5563025F" w:rsidR="004275D8" w:rsidRPr="0084446E" w:rsidRDefault="004275D8" w:rsidP="004275D8">
      <w:pPr>
        <w:pStyle w:val="Thesisnormal"/>
      </w:pPr>
      <w:r>
        <w:t>Although we could not demonstrate any effect on hemocyte responses to wounding with knockdown of pdh or pdp, we hypothesised that the RNAi may not be functioning correctly. We therefore wounded embryos overexpressing pdk (</w:t>
      </w:r>
      <w:r>
        <w:rPr>
          <w:i/>
        </w:rPr>
        <w:t xml:space="preserve">w;UAS-pdk/Srp-GAL4,UAS-GFP;Crq-GAL4,UAS-GFP/+) </w:t>
      </w:r>
      <w:r>
        <w:t xml:space="preserve">to decrease the amount of acetyl-CoA being synthesised, thereby decreasing oxidative phosphorylation.  We found that when pdk was overexpressed, there was an increase in the number of hemocytes responding to wounds compared to control (n=34 and 29 embryos for control and </w:t>
      </w:r>
      <w:r w:rsidRPr="00771702">
        <w:rPr>
          <w:i/>
        </w:rPr>
        <w:t>UAS-pdk</w:t>
      </w:r>
      <w:r>
        <w:t xml:space="preserve"> respectively, </w:t>
      </w:r>
      <w:r w:rsidR="00CF4861">
        <w:t xml:space="preserve">One-way ANOVA with Dunnett’s multiple comparisons test, </w:t>
      </w:r>
      <w:r>
        <w:t xml:space="preserve">p&lt;0.05, Fig 4.15). We did not observe any difference in the number of hemocytes present on the ventral midline pre-wounding, suggesting that the increased responses are not due to more hemocyte being in the wound vicinity prior to wounding (n=17 and 31 for control and </w:t>
      </w:r>
      <w:r w:rsidRPr="008E0287">
        <w:rPr>
          <w:i/>
        </w:rPr>
        <w:t>UAS-</w:t>
      </w:r>
      <w:r>
        <w:rPr>
          <w:i/>
        </w:rPr>
        <w:t>pdk</w:t>
      </w:r>
      <w:r>
        <w:t xml:space="preserve"> embryos respectively. Student’s t-test, p=0.183). This suggests that our previous data could be the result of non-functioning RNAi and demonstrates that metabolism influences pro-inflammatory hemocyte behaviour. </w:t>
      </w:r>
    </w:p>
    <w:p w14:paraId="01C2D54C" w14:textId="77777777" w:rsidR="004275D8" w:rsidRPr="00500A97" w:rsidRDefault="004275D8" w:rsidP="004275D8">
      <w:pPr>
        <w:pStyle w:val="Thesisnormal"/>
      </w:pPr>
    </w:p>
    <w:p w14:paraId="2A7D7550" w14:textId="77777777" w:rsidR="004275D8" w:rsidRDefault="004275D8" w:rsidP="004275D8">
      <w:pPr>
        <w:pStyle w:val="Heading3"/>
      </w:pPr>
      <w:bookmarkStart w:id="187" w:name="_Toc4589355"/>
      <w:r>
        <w:t>4.2.16 Overexpression of pyruvate dehydrogenase kinase decreases the number of apoptotic cells in hemocytes</w:t>
      </w:r>
      <w:bookmarkEnd w:id="187"/>
    </w:p>
    <w:p w14:paraId="2A0A5A74" w14:textId="77777777" w:rsidR="004275D8" w:rsidRDefault="004275D8" w:rsidP="004275D8">
      <w:pPr>
        <w:pStyle w:val="Thesisnormal"/>
      </w:pPr>
    </w:p>
    <w:p w14:paraId="6A3CDD32" w14:textId="3529CF59" w:rsidR="004275D8" w:rsidRDefault="004275D8" w:rsidP="004275D8">
      <w:pPr>
        <w:pStyle w:val="Thesisnormal"/>
      </w:pPr>
      <w:r>
        <w:t xml:space="preserve">Having demonstrated more potent inflammatory responses when </w:t>
      </w:r>
      <w:r w:rsidRPr="00FE2FA3">
        <w:rPr>
          <w:i/>
        </w:rPr>
        <w:t>pdk</w:t>
      </w:r>
      <w:r>
        <w:t xml:space="preserve"> is overexpressed specifically in hemocytes, we next investigated efferocytosis as a marker for M2-like behaviour. We counted the number of vacuoles present in each hemocyte vacuoles (a proxy for apoptotic cell clearance </w:t>
      </w:r>
      <w:r>
        <w:fldChar w:fldCharType="begin"/>
      </w:r>
      <w:r w:rsidR="000A209C">
        <w:instrText xml:space="preserve"> ADDIN ZOTERO_ITEM CSL_CITATION {"citationID":"jDmi7LYH","properties":{"formattedCitation":"(225)","plainCitation":"(225)","noteIndex":0},"citationItems":[{"id":1085,"uris":["http://zotero.org/users/952979/items/4F4Z9XXE"],"uri":["http://zotero.org/users/952979/items/4F4Z9XXE"],"itemData":{"id":1085,"type":"article-journal","title":"SCAR/WAVE-mediated processing of engulfed apoptotic corpses is essential for effective macrophage migration in Drosophila","container-title":"Cell Death and Differentiation","page":"709-720","volume":"20","issue":"5","source":"PubMed","abstract":"In vitro studies have shown that SCAR/WAVE activates the Arp2/3 complex to generate actin filaments, which in many cell types are organised into lamellipodia that are thought to have an important role in cell migration. Here we demonstrate that SCAR is utilised by Drosophila macrophages to drive their developmental and inflammatory migrations and that it is regulated via the Hem/Kette/Nap1-containing SCAR/WAVE complex. SCAR is also important in protecting against bacterial pathogens and in wound repair as SCAR mutant embryos succumb more readily to both sterile and infected wounds. However, in addition to driving the formation of lamellipodia in macrophages, SCAR is required cell autonomously for the correct processing of phagocytosed apoptotic corpses by these professional phagocytes. Removal of this phagocytic burden by preventing apoptosis rescues macrophage lamellipodia formation and partially restores motility. Our results show that efficient processing of phagosomes is critical for effective macrophage migration in vivo. These findings have important implications for the resolution of macrophages from chronic wounds and the behaviour of those associated with tumours, because phagocytosis of debris may serve to prolong the presence of these cells at these sites of pathology.","DOI":"10.1038/cdd.2012.166","ISSN":"1476-5403","note":"PMID: 23328632\nPMCID: PMC3619236","journalAbbreviation":"Cell Death Differ.","language":"eng","author":[{"family":"Evans","given":"I. R."},{"family":"Ghai","given":"P. A."},{"family":"Urbančič","given":"V."},{"family":"Tan","given":"K.-L."},{"family":"Wood","given":"W."}],"issued":{"date-parts":[["2013",5]]}}}],"schema":"https://github.com/citation-style-language/schema/raw/master/csl-citation.json"} </w:instrText>
      </w:r>
      <w:r>
        <w:fldChar w:fldCharType="separate"/>
      </w:r>
      <w:r w:rsidR="004A1963" w:rsidRPr="004A1963">
        <w:rPr>
          <w:rFonts w:ascii="Calibri" w:hAnsi="Calibri"/>
        </w:rPr>
        <w:t>(225)</w:t>
      </w:r>
      <w:r>
        <w:fldChar w:fldCharType="end"/>
      </w:r>
      <w:r>
        <w:t xml:space="preserve">) using the pre-wound images. We found that there was a significant decrease in the number of vacuoles (apoptotic cells) (n=18 and 30 embryos for control and </w:t>
      </w:r>
      <w:r w:rsidRPr="00771702">
        <w:rPr>
          <w:i/>
        </w:rPr>
        <w:t>UAS-pdk</w:t>
      </w:r>
      <w:r>
        <w:t xml:space="preserve"> respectively</w:t>
      </w:r>
      <w:r w:rsidR="00CF4861" w:rsidRPr="00CF4861">
        <w:t xml:space="preserve"> </w:t>
      </w:r>
      <w:r w:rsidR="00CF4861">
        <w:t xml:space="preserve">One-way ANOVA with Dunnett’s multiple comparisons test, </w:t>
      </w:r>
      <w:r w:rsidR="00220C34">
        <w:t>p&lt;0.01, Fig 4.16 C</w:t>
      </w:r>
      <w:r>
        <w:t>). Together with our wounding results, this data suggests that decreasing oxidative phosphorylation promotes a pro-inflammatory hemocyte phenotype as we observe increased hemocyte responses to wounding with a decreased level of efferocytosis.</w:t>
      </w:r>
    </w:p>
    <w:p w14:paraId="33060E71" w14:textId="77777777" w:rsidR="004275D8" w:rsidRDefault="004275D8" w:rsidP="004275D8">
      <w:pPr>
        <w:pStyle w:val="Thesisnormal"/>
      </w:pPr>
      <w:r>
        <w:rPr>
          <w:noProof/>
          <w:lang w:eastAsia="en-GB"/>
        </w:rPr>
        <w:lastRenderedPageBreak/>
        <w:drawing>
          <wp:inline distT="0" distB="0" distL="0" distR="0" wp14:anchorId="5B8115E9" wp14:editId="023270E1">
            <wp:extent cx="5553075" cy="7221283"/>
            <wp:effectExtent l="0" t="0" r="0" b="0"/>
            <wp:docPr id="37" name="Picture 37" descr="D:\Dropbox\PhD\Writing\Thesis\Chapter 4 Targetting M1 and M2 pathways\figures\pdk wounding fig\pdk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pdk wounding fig\pdk wounding fig.t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3059" b="20403"/>
                    <a:stretch/>
                  </pic:blipFill>
                  <pic:spPr bwMode="auto">
                    <a:xfrm>
                      <a:off x="0" y="0"/>
                      <a:ext cx="5556010" cy="7225100"/>
                    </a:xfrm>
                    <a:prstGeom prst="rect">
                      <a:avLst/>
                    </a:prstGeom>
                    <a:noFill/>
                    <a:ln>
                      <a:noFill/>
                    </a:ln>
                    <a:extLst>
                      <a:ext uri="{53640926-AAD7-44D8-BBD7-CCE9431645EC}">
                        <a14:shadowObscured xmlns:a14="http://schemas.microsoft.com/office/drawing/2010/main"/>
                      </a:ext>
                    </a:extLst>
                  </pic:spPr>
                </pic:pic>
              </a:graphicData>
            </a:graphic>
          </wp:inline>
        </w:drawing>
      </w:r>
    </w:p>
    <w:p w14:paraId="0A64CC16" w14:textId="47670A50" w:rsidR="004275D8" w:rsidRDefault="004275D8" w:rsidP="004275D8">
      <w:pPr>
        <w:pStyle w:val="NoSpacing"/>
      </w:pPr>
      <w:r>
        <w:rPr>
          <w:b/>
        </w:rPr>
        <w:t>Fig</w:t>
      </w:r>
      <w:r w:rsidRPr="0030625E">
        <w:rPr>
          <w:b/>
        </w:rPr>
        <w:t>ure 4.</w:t>
      </w:r>
      <w:r>
        <w:rPr>
          <w:b/>
        </w:rPr>
        <w:t>15.</w:t>
      </w:r>
      <w:r w:rsidRPr="0030625E">
        <w:rPr>
          <w:b/>
        </w:rPr>
        <w:t xml:space="preserve"> </w:t>
      </w:r>
      <w:r>
        <w:rPr>
          <w:b/>
        </w:rPr>
        <w:t>Overexpression of</w:t>
      </w:r>
      <w:r w:rsidRPr="00096833">
        <w:rPr>
          <w:b/>
        </w:rPr>
        <w:t xml:space="preserve"> </w:t>
      </w:r>
      <w:r>
        <w:rPr>
          <w:b/>
        </w:rPr>
        <w:t xml:space="preserve">pyruvate dehydrogenase kinase </w:t>
      </w:r>
      <w:r w:rsidRPr="00096833">
        <w:rPr>
          <w:b/>
        </w:rPr>
        <w:t xml:space="preserve">within hemocytes </w:t>
      </w:r>
      <w:r>
        <w:rPr>
          <w:b/>
        </w:rPr>
        <w:t xml:space="preserve">increases hemocyte </w:t>
      </w:r>
      <w:r w:rsidR="00482BB3">
        <w:rPr>
          <w:b/>
        </w:rPr>
        <w:t>recruitment to wounds</w:t>
      </w:r>
      <w:r>
        <w:rPr>
          <w:b/>
        </w:rPr>
        <w:t>.</w:t>
      </w:r>
      <w:r>
        <w:t xml:space="preserve"> </w:t>
      </w:r>
    </w:p>
    <w:p w14:paraId="57F622F6" w14:textId="3BC92183" w:rsidR="004275D8" w:rsidRDefault="004275D8" w:rsidP="004275D8">
      <w:pPr>
        <w:pStyle w:val="NoSpacing"/>
      </w:pPr>
      <w:r>
        <w:t>(A) Representative stills of GFP labelled hemocyte responses to wounds at 0- (top image) and 60-minutes (bottom image) post-wounding in stage 15 embryos for control (</w:t>
      </w:r>
      <w:r>
        <w:rPr>
          <w:i/>
        </w:rPr>
        <w:t>w;Srp-GAL4,UAS-GFP/+;Crq-GAL4,UAS-GFP/+</w:t>
      </w:r>
      <w:r>
        <w:t xml:space="preserve">) and </w:t>
      </w:r>
      <w:r w:rsidRPr="00771702">
        <w:rPr>
          <w:i/>
        </w:rPr>
        <w:t>UAS-pdk</w:t>
      </w:r>
      <w:r>
        <w:rPr>
          <w:i/>
        </w:rPr>
        <w:t xml:space="preserve"> (w;UAS-pdk/Srp-GAL4,UAS-GFP;Crq-GAL4,UAS-GFP/+)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n=34 and 29 for control and </w:t>
      </w:r>
      <w:r w:rsidRPr="00771702">
        <w:rPr>
          <w:i/>
        </w:rPr>
        <w:t xml:space="preserve">UAS-pdk </w:t>
      </w:r>
      <w:r>
        <w:t xml:space="preserve">embryos respectively. </w:t>
      </w:r>
      <w:r>
        <w:lastRenderedPageBreak/>
        <w:t xml:space="preserve">Asterisk represents </w:t>
      </w:r>
      <w:r w:rsidR="00CF4861">
        <w:t>One-way ANOVA with Dunnett’s multiple comparisons test</w:t>
      </w:r>
      <w:r>
        <w:t xml:space="preserve">, *p&lt;0.05. (C) Scatterplot of the number of hemocytes on the ventral midline pre-wounding, n=17 and 31 for control and </w:t>
      </w:r>
      <w:r w:rsidRPr="008E0287">
        <w:rPr>
          <w:i/>
        </w:rPr>
        <w:t>UAS-</w:t>
      </w:r>
      <w:r>
        <w:rPr>
          <w:i/>
        </w:rPr>
        <w:t>pdk</w:t>
      </w:r>
      <w:r>
        <w:t xml:space="preserve"> embryos respectively. </w:t>
      </w:r>
      <w:r w:rsidR="00CF4861">
        <w:t>Student’s t-</w:t>
      </w:r>
      <w:r w:rsidR="00CF4861" w:rsidRPr="00CF4861">
        <w:t>test</w:t>
      </w:r>
      <w:r>
        <w:t xml:space="preserve">, p=0.183. White dashed ovals outline wound perimeter. Scale bars represent 20μm. </w:t>
      </w:r>
      <w:r w:rsidR="00CF4861">
        <w:t xml:space="preserve">Control data is the same as in Fig 4.19, chapter 4 as these experiments were performed in parallel. </w:t>
      </w:r>
    </w:p>
    <w:p w14:paraId="18A80F56" w14:textId="77777777" w:rsidR="004275D8" w:rsidRDefault="004275D8" w:rsidP="004275D8">
      <w:pPr>
        <w:pStyle w:val="Thesisnormal"/>
      </w:pPr>
    </w:p>
    <w:p w14:paraId="0261132A" w14:textId="77777777" w:rsidR="004275D8" w:rsidRDefault="004275D8" w:rsidP="004275D8">
      <w:pPr>
        <w:pStyle w:val="Thesisnormal"/>
      </w:pPr>
    </w:p>
    <w:p w14:paraId="6128D938" w14:textId="77777777" w:rsidR="004275D8" w:rsidRDefault="004275D8" w:rsidP="004275D8">
      <w:pPr>
        <w:pStyle w:val="Thesisnormal"/>
      </w:pPr>
    </w:p>
    <w:p w14:paraId="77222491" w14:textId="77777777" w:rsidR="004275D8" w:rsidRDefault="004275D8" w:rsidP="004275D8">
      <w:pPr>
        <w:pStyle w:val="Thesisnormal"/>
      </w:pPr>
    </w:p>
    <w:p w14:paraId="73E1BCBE" w14:textId="77777777" w:rsidR="004275D8" w:rsidRDefault="004275D8" w:rsidP="004275D8">
      <w:pPr>
        <w:pStyle w:val="Thesisnormal"/>
      </w:pPr>
    </w:p>
    <w:p w14:paraId="3612BEC8" w14:textId="77777777" w:rsidR="004275D8" w:rsidRDefault="004275D8" w:rsidP="004275D8">
      <w:pPr>
        <w:pStyle w:val="Thesisnormal"/>
      </w:pPr>
    </w:p>
    <w:p w14:paraId="082DDEF1" w14:textId="77777777" w:rsidR="004275D8" w:rsidRDefault="004275D8" w:rsidP="004275D8">
      <w:pPr>
        <w:pStyle w:val="Thesisnormal"/>
      </w:pPr>
    </w:p>
    <w:p w14:paraId="62CE86AF" w14:textId="77777777" w:rsidR="004275D8" w:rsidRDefault="004275D8" w:rsidP="004275D8">
      <w:pPr>
        <w:pStyle w:val="Thesisnormal"/>
      </w:pPr>
    </w:p>
    <w:p w14:paraId="2BA759B6" w14:textId="77777777" w:rsidR="009A436A" w:rsidRDefault="009A436A" w:rsidP="004275D8">
      <w:pPr>
        <w:pStyle w:val="Thesisnormal"/>
        <w:rPr>
          <w:noProof/>
          <w:lang w:eastAsia="en-GB"/>
        </w:rPr>
      </w:pPr>
    </w:p>
    <w:p w14:paraId="2811DE30" w14:textId="77777777" w:rsidR="004275D8" w:rsidRDefault="004275D8" w:rsidP="004275D8">
      <w:pPr>
        <w:pStyle w:val="Thesisnormal"/>
      </w:pPr>
      <w:r>
        <w:rPr>
          <w:noProof/>
          <w:lang w:eastAsia="en-GB"/>
        </w:rPr>
        <w:lastRenderedPageBreak/>
        <w:drawing>
          <wp:inline distT="0" distB="0" distL="0" distR="0" wp14:anchorId="64211B10" wp14:editId="5F277BC6">
            <wp:extent cx="5372100" cy="63073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igabyte\Dropbox\PhD\Writing\Thesis\Chapter 4 Hemocyte subtypes function\figures\pdk vacuole fig\Pdk vacuole fig.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3159" b="19860"/>
                    <a:stretch/>
                  </pic:blipFill>
                  <pic:spPr bwMode="auto">
                    <a:xfrm>
                      <a:off x="0" y="0"/>
                      <a:ext cx="5381446" cy="6318296"/>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0859F85" w14:textId="77777777" w:rsidR="004275D8" w:rsidRPr="00A722C7" w:rsidRDefault="004275D8" w:rsidP="004275D8">
      <w:pPr>
        <w:pStyle w:val="NoSpacing"/>
        <w:rPr>
          <w:b/>
        </w:rPr>
      </w:pPr>
      <w:r>
        <w:rPr>
          <w:b/>
        </w:rPr>
        <w:t>Figure 4.16.</w:t>
      </w:r>
      <w:r w:rsidRPr="00A722C7">
        <w:rPr>
          <w:b/>
        </w:rPr>
        <w:t xml:space="preserve"> Overexpression of pyruvate dehydrogenase kinase decreases the number of apoptotic cells engulfed by hemocyte. </w:t>
      </w:r>
    </w:p>
    <w:p w14:paraId="3145811E" w14:textId="4D534ADF" w:rsidR="004275D8" w:rsidRDefault="004275D8" w:rsidP="004275D8">
      <w:pPr>
        <w:pStyle w:val="NoSpacing"/>
      </w:pPr>
      <w:r>
        <w:t>(A) Representative stills of GFP labelled hemocytes in stage 15 embryos for control (</w:t>
      </w:r>
      <w:r>
        <w:rPr>
          <w:i/>
        </w:rPr>
        <w:t>w;Srp-GAL4,UAS-GFP/+;Crq-GAL4,UAS-GFP/+</w:t>
      </w:r>
      <w:r>
        <w:t xml:space="preserve">) and </w:t>
      </w:r>
      <w:r w:rsidRPr="00771702">
        <w:rPr>
          <w:i/>
        </w:rPr>
        <w:t>UAS-pdk</w:t>
      </w:r>
      <w:r>
        <w:rPr>
          <w:i/>
        </w:rPr>
        <w:t xml:space="preserve"> (w;UAS-pdk/Srp-GAL4,UAS-GFP;Crq-GAL4,UAS-GFP/+)</w:t>
      </w:r>
      <w:r>
        <w:t xml:space="preserve">. Scale bars represent 20μm. (B) Zoomed images of individual cells from (A) highlighting vacuoles. Red asterisks indicate vacuoles as quantified. Scale bars represent 5μm. (C) Scatterplot of the average number of vacuoles per hemocyte per embryo. Lines and error bars represent mean ± SD, n=18 and 30 for control and </w:t>
      </w:r>
      <w:r w:rsidRPr="00771702">
        <w:rPr>
          <w:i/>
        </w:rPr>
        <w:t>UAS-pdk</w:t>
      </w:r>
      <w:r>
        <w:t xml:space="preserve"> respectively. Asterisk represents </w:t>
      </w:r>
      <w:r w:rsidR="00CF4861" w:rsidRPr="00CF4861">
        <w:t>One-way ANOVA with Dunnett’s multiple comparisons test</w:t>
      </w:r>
      <w:r>
        <w:t>, **p&lt;0.01.</w:t>
      </w:r>
      <w:r w:rsidR="00CF4861" w:rsidRPr="00CF4861">
        <w:t xml:space="preserve"> </w:t>
      </w:r>
      <w:r w:rsidR="00CF4861">
        <w:t>Control data is the same as in Fig 4.20, chapter 4 as these experiments were performed in parallel.</w:t>
      </w:r>
    </w:p>
    <w:p w14:paraId="79463835" w14:textId="77777777" w:rsidR="004275D8" w:rsidRDefault="004275D8" w:rsidP="004275D8">
      <w:pPr>
        <w:pStyle w:val="Heading3"/>
      </w:pPr>
      <w:bookmarkStart w:id="188" w:name="_Toc4589356"/>
      <w:r>
        <w:lastRenderedPageBreak/>
        <w:t>4.2.17 Overexpression of pyruvate dehydrogenase kinase increases the number of circulating hemocytes in third instar larvae</w:t>
      </w:r>
      <w:bookmarkEnd w:id="188"/>
    </w:p>
    <w:p w14:paraId="15E746E9" w14:textId="77777777" w:rsidR="004275D8" w:rsidRDefault="004275D8" w:rsidP="004275D8">
      <w:pPr>
        <w:pStyle w:val="Thesisnormal"/>
      </w:pPr>
    </w:p>
    <w:p w14:paraId="649823A5" w14:textId="77777777" w:rsidR="004275D8" w:rsidRDefault="004275D8" w:rsidP="004275D8">
      <w:pPr>
        <w:pStyle w:val="Thesisnormal"/>
      </w:pPr>
      <w:r>
        <w:t xml:space="preserve">Having demonstrated that PDK was involved in modulating hemocyte behaviour (Fig 4.15 &amp; 4.16), we decided to focus on this to further investigate the effects of metabolism in hemocytes. To confirm that </w:t>
      </w:r>
      <w:r w:rsidRPr="00FE2FA3">
        <w:rPr>
          <w:i/>
        </w:rPr>
        <w:t>PDK</w:t>
      </w:r>
      <w:r>
        <w:t xml:space="preserve"> overexpression was not affecting hemocyte morphology, we imaged hemocytes isolated form 3</w:t>
      </w:r>
      <w:r w:rsidRPr="00F34C72">
        <w:rPr>
          <w:vertAlign w:val="superscript"/>
        </w:rPr>
        <w:t>rd</w:t>
      </w:r>
      <w:r>
        <w:t xml:space="preserve"> instar larvae and measured hemocyte area, number and intensity of GFP expression. Hemocytes were stained with Phalloidin-568 to visualise the actin cytoskeleton (Fig 4.17 A). We observed that when </w:t>
      </w:r>
      <w:r>
        <w:rPr>
          <w:i/>
        </w:rPr>
        <w:t>pdk</w:t>
      </w:r>
      <w:r>
        <w:t xml:space="preserve"> was overexpressed, there were more hemocytes than in control larvae (n=9 wells with 2 larvae per well, Student’s t-test p&lt;0.001, Fig 4.17 B). We further found no difference in cell area or intensity of GFP and Phalloidin-568 (Fig 4.17 C-E). This data suggests that hemocyte morphology is not affected but that there are more circulating hemocytes in 3</w:t>
      </w:r>
      <w:r w:rsidRPr="00A457C7">
        <w:rPr>
          <w:vertAlign w:val="superscript"/>
        </w:rPr>
        <w:t>rd</w:t>
      </w:r>
      <w:r>
        <w:t xml:space="preserve"> instar larvae when oxidative phosphorylation is decreased.  </w:t>
      </w:r>
    </w:p>
    <w:p w14:paraId="3B9C6A53" w14:textId="77777777" w:rsidR="004275D8" w:rsidRPr="00500A97" w:rsidRDefault="004275D8" w:rsidP="004275D8">
      <w:pPr>
        <w:pStyle w:val="Thesisnormal"/>
      </w:pPr>
    </w:p>
    <w:p w14:paraId="7AA7D5E1" w14:textId="77777777" w:rsidR="004275D8" w:rsidRPr="00500A97" w:rsidRDefault="004275D8" w:rsidP="004275D8">
      <w:pPr>
        <w:pStyle w:val="Heading3"/>
      </w:pPr>
      <w:bookmarkStart w:id="189" w:name="_Toc4589357"/>
      <w:r>
        <w:t xml:space="preserve">4.2.18 Overexpression of pyruvate dehydrogenase kinase </w:t>
      </w:r>
      <w:r w:rsidRPr="00AB5EAF">
        <w:t>up-regulates expression of pro-inflammatory genes in hemocytes</w:t>
      </w:r>
      <w:bookmarkEnd w:id="189"/>
    </w:p>
    <w:p w14:paraId="13C50FE1" w14:textId="77777777" w:rsidR="004275D8" w:rsidRDefault="004275D8" w:rsidP="004275D8">
      <w:pPr>
        <w:pStyle w:val="Thesisnormal"/>
      </w:pPr>
    </w:p>
    <w:p w14:paraId="09FED706" w14:textId="55AD9404" w:rsidR="004275D8" w:rsidRPr="00D66EBF" w:rsidRDefault="004275D8" w:rsidP="004275D8">
      <w:pPr>
        <w:pStyle w:val="Thesisnormal"/>
      </w:pPr>
      <w:r>
        <w:t xml:space="preserve">To investigate how </w:t>
      </w:r>
      <w:r>
        <w:rPr>
          <w:i/>
        </w:rPr>
        <w:t>pdk</w:t>
      </w:r>
      <w:r>
        <w:t xml:space="preserve"> overexpression may be affecting hemocytes, we performed qPCR on a panel of pro- and anti-inflammatory genes on hemocytes isolated from 3</w:t>
      </w:r>
      <w:r w:rsidRPr="00F34C72">
        <w:rPr>
          <w:vertAlign w:val="superscript"/>
        </w:rPr>
        <w:t>rd</w:t>
      </w:r>
      <w:r>
        <w:t xml:space="preserve"> instar larvae. Genes were chosen based on mammalian literature </w:t>
      </w:r>
      <w:r>
        <w:fldChar w:fldCharType="begin"/>
      </w:r>
      <w:r w:rsidR="000A209C">
        <w:instrText xml:space="preserve"> ADDIN ZOTERO_ITEM CSL_CITATION {"citationID":"8ziVWylX","properties":{"formattedCitation":"(27)","plainCitation":"(27)","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J."}],"issued":{"date-parts":[["2017"]]}}}],"schema":"https://github.com/citation-style-language/schema/raw/master/csl-citation.json"} </w:instrText>
      </w:r>
      <w:r>
        <w:fldChar w:fldCharType="separate"/>
      </w:r>
      <w:r w:rsidR="004A1963" w:rsidRPr="004A1963">
        <w:rPr>
          <w:rFonts w:ascii="Calibri" w:hAnsi="Calibri"/>
        </w:rPr>
        <w:t>(27)</w:t>
      </w:r>
      <w:r>
        <w:fldChar w:fldCharType="end"/>
      </w:r>
      <w:r>
        <w:t xml:space="preserve"> and known genes upregulated in </w:t>
      </w:r>
      <w:r>
        <w:rPr>
          <w:i/>
        </w:rPr>
        <w:t>Drosophila</w:t>
      </w:r>
      <w:r>
        <w:t xml:space="preserve"> immune responses. We found that the canonical M1 and M2 macrophage markers, </w:t>
      </w:r>
      <w:r w:rsidRPr="00F34DA5">
        <w:rPr>
          <w:i/>
        </w:rPr>
        <w:t>arg</w:t>
      </w:r>
      <w:r>
        <w:t xml:space="preserve"> and </w:t>
      </w:r>
      <w:r w:rsidRPr="00F34DA5">
        <w:rPr>
          <w:i/>
        </w:rPr>
        <w:t>Nos</w:t>
      </w:r>
      <w:r>
        <w:t xml:space="preserve">, were upregulated in hemocytes with increased </w:t>
      </w:r>
      <w:r w:rsidRPr="00613F91">
        <w:rPr>
          <w:i/>
        </w:rPr>
        <w:t>pdk</w:t>
      </w:r>
      <w:r>
        <w:t xml:space="preserve"> levels; however, only </w:t>
      </w:r>
      <w:r w:rsidRPr="00F34DA5">
        <w:rPr>
          <w:i/>
        </w:rPr>
        <w:t>arg</w:t>
      </w:r>
      <w:r>
        <w:t xml:space="preserve"> was significantly changed (n=6 repeats, 2 larvae, Student’s t-test p&lt;0.01, Fig 4.18). We also investigated pro-inflammatory genes, </w:t>
      </w:r>
      <w:r w:rsidRPr="00771702">
        <w:rPr>
          <w:i/>
        </w:rPr>
        <w:t>sima</w:t>
      </w:r>
      <w:r>
        <w:t xml:space="preserve"> (HIF1α) and </w:t>
      </w:r>
      <w:r w:rsidRPr="00771702">
        <w:rPr>
          <w:i/>
        </w:rPr>
        <w:t>eiger</w:t>
      </w:r>
      <w:r>
        <w:t xml:space="preserve"> (TNFα), and found that these were significantly increased in </w:t>
      </w:r>
      <w:r w:rsidRPr="00771702">
        <w:rPr>
          <w:i/>
        </w:rPr>
        <w:t>UAS-pdk</w:t>
      </w:r>
      <w:r>
        <w:t xml:space="preserve"> hemocytes (n=6 repeats, 2 larvae, Student’s t-test p&lt;0.05 and 0.01 for </w:t>
      </w:r>
      <w:r w:rsidRPr="00771702">
        <w:rPr>
          <w:i/>
        </w:rPr>
        <w:t>sima</w:t>
      </w:r>
      <w:r>
        <w:t xml:space="preserve"> and </w:t>
      </w:r>
      <w:r w:rsidRPr="00771702">
        <w:rPr>
          <w:i/>
        </w:rPr>
        <w:t>eiger</w:t>
      </w:r>
      <w:r>
        <w:t xml:space="preserve"> respectively, Fig 4.18). </w:t>
      </w:r>
      <w:r>
        <w:rPr>
          <w:i/>
        </w:rPr>
        <w:t>Drosophila</w:t>
      </w:r>
      <w:r>
        <w:t xml:space="preserve"> specific immune responsive genes, </w:t>
      </w:r>
      <w:r w:rsidRPr="00771702">
        <w:rPr>
          <w:i/>
        </w:rPr>
        <w:t>drosomycin</w:t>
      </w:r>
      <w:r>
        <w:t xml:space="preserve"> and </w:t>
      </w:r>
      <w:r w:rsidRPr="00771702">
        <w:rPr>
          <w:i/>
        </w:rPr>
        <w:t>attacin-A</w:t>
      </w:r>
      <w:r>
        <w:t xml:space="preserve">, were also assayed. We found that </w:t>
      </w:r>
      <w:r w:rsidRPr="00771702">
        <w:rPr>
          <w:i/>
        </w:rPr>
        <w:t>drosomycin</w:t>
      </w:r>
      <w:r>
        <w:t xml:space="preserve"> was significantly up-regulated in </w:t>
      </w:r>
      <w:r w:rsidRPr="00771702">
        <w:rPr>
          <w:i/>
        </w:rPr>
        <w:t>UAS-pdk</w:t>
      </w:r>
      <w:r>
        <w:t xml:space="preserve"> hemocytes compared to control (n=6 repeats, 2 larvae, Student’s t-test p&lt;0.01, Fig 4.18). Together, this data demonstrates that metabolism influences a wide array of gene expression levels in hemocytes. Furthermore, reducing oxidative phosphorylation increases genes associated with inflammatory responses. </w:t>
      </w:r>
    </w:p>
    <w:p w14:paraId="108BC212" w14:textId="77777777" w:rsidR="004275D8" w:rsidRDefault="004275D8" w:rsidP="004275D8">
      <w:pPr>
        <w:pStyle w:val="Thesisnormal"/>
      </w:pPr>
    </w:p>
    <w:p w14:paraId="5CA0EB8D" w14:textId="77777777" w:rsidR="004275D8" w:rsidRDefault="004275D8" w:rsidP="004275D8">
      <w:pPr>
        <w:pStyle w:val="Thesisnormal"/>
      </w:pPr>
    </w:p>
    <w:p w14:paraId="24797736" w14:textId="77777777" w:rsidR="004275D8" w:rsidRDefault="004275D8" w:rsidP="004275D8">
      <w:pPr>
        <w:pStyle w:val="Thesisnormal"/>
      </w:pPr>
      <w:r>
        <w:rPr>
          <w:noProof/>
          <w:lang w:eastAsia="en-GB"/>
        </w:rPr>
        <w:lastRenderedPageBreak/>
        <w:drawing>
          <wp:inline distT="0" distB="0" distL="0" distR="0" wp14:anchorId="6966C947" wp14:editId="27449391">
            <wp:extent cx="5676900" cy="7870479"/>
            <wp:effectExtent l="0" t="0" r="0" b="0"/>
            <wp:docPr id="39" name="Picture 39" descr="D:\Dropbox\PhD\Writing\Thesis\Chapter 4 Targetting M1 and M2 pathways\figures\pdk L3 hc fig\pdk L3 hemocyte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pdk L3 hc fig\pdk L3 hemocyte fig.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2393"/>
                    <a:stretch/>
                  </pic:blipFill>
                  <pic:spPr bwMode="auto">
                    <a:xfrm>
                      <a:off x="0" y="0"/>
                      <a:ext cx="5678513" cy="7872715"/>
                    </a:xfrm>
                    <a:prstGeom prst="rect">
                      <a:avLst/>
                    </a:prstGeom>
                    <a:noFill/>
                    <a:ln>
                      <a:noFill/>
                    </a:ln>
                    <a:extLst>
                      <a:ext uri="{53640926-AAD7-44D8-BBD7-CCE9431645EC}">
                        <a14:shadowObscured xmlns:a14="http://schemas.microsoft.com/office/drawing/2010/main"/>
                      </a:ext>
                    </a:extLst>
                  </pic:spPr>
                </pic:pic>
              </a:graphicData>
            </a:graphic>
          </wp:inline>
        </w:drawing>
      </w:r>
    </w:p>
    <w:p w14:paraId="62DF172D" w14:textId="2204EA5D" w:rsidR="004275D8" w:rsidRDefault="004275D8" w:rsidP="004275D8">
      <w:pPr>
        <w:pStyle w:val="NoSpacing"/>
      </w:pPr>
      <w:r>
        <w:rPr>
          <w:b/>
        </w:rPr>
        <w:t>Fig</w:t>
      </w:r>
      <w:r w:rsidRPr="0030625E">
        <w:rPr>
          <w:b/>
        </w:rPr>
        <w:t>ure 4.</w:t>
      </w:r>
      <w:r>
        <w:rPr>
          <w:b/>
        </w:rPr>
        <w:t>17.</w:t>
      </w:r>
      <w:r w:rsidRPr="0030625E">
        <w:rPr>
          <w:b/>
        </w:rPr>
        <w:t xml:space="preserve"> </w:t>
      </w:r>
      <w:r w:rsidR="000A0B44" w:rsidRPr="000A0B44">
        <w:rPr>
          <w:b/>
        </w:rPr>
        <w:t>Overexpression of pyruvate dehydrogenase kinase increases the number of circulating hemocytes in larvae.</w:t>
      </w:r>
    </w:p>
    <w:p w14:paraId="2388FAE8" w14:textId="77777777" w:rsidR="004275D8" w:rsidRDefault="004275D8" w:rsidP="004275D8">
      <w:r>
        <w:t>(A) Representative fields of view for GFP labelled hemocytes, stained with Phalloidin 568 isolated from third instar larvae for control (</w:t>
      </w:r>
      <w:r>
        <w:rPr>
          <w:i/>
        </w:rPr>
        <w:t>w;Srp-GAL4,UAS-GFP/+;Crq-GAL4,UAS-GFP/+</w:t>
      </w:r>
      <w:r>
        <w:t xml:space="preserve">) and </w:t>
      </w:r>
      <w:r w:rsidRPr="00771702">
        <w:rPr>
          <w:i/>
        </w:rPr>
        <w:t>UAS-pdk</w:t>
      </w:r>
      <w:r>
        <w:rPr>
          <w:i/>
        </w:rPr>
        <w:t xml:space="preserve"> </w:t>
      </w:r>
      <w:r>
        <w:rPr>
          <w:i/>
        </w:rPr>
        <w:lastRenderedPageBreak/>
        <w:t>(w;UAS-pdk/Srp-GAL4,UAS-GFP;Crq-GAL4,UAS-GFP/+)</w:t>
      </w:r>
      <w:r>
        <w:t xml:space="preserve">. Scale bars represent 10μm in full images and 5μm in zoomed images. (B) Scatterplot of the average number of hemocytes per well. (C) Scatterplot of the average area of hemocytes for each well. (D) Average GFP intensity of hemocytes per well. (E) Average RFP intensity of hemocytes per well. Lines and error bars represent mean ± SD, n=9 wells, 2 larvae per well for control and UAS-pdk. Asterisk represents Student’s t-test, ***p&lt;0.001. </w:t>
      </w:r>
    </w:p>
    <w:p w14:paraId="590E5CCA" w14:textId="77777777" w:rsidR="004275D8" w:rsidRDefault="004275D8" w:rsidP="004275D8"/>
    <w:p w14:paraId="170A884D" w14:textId="77777777" w:rsidR="004275D8" w:rsidRDefault="004275D8" w:rsidP="004275D8">
      <w:pPr>
        <w:pStyle w:val="Thesisnormal"/>
      </w:pPr>
      <w:r>
        <w:rPr>
          <w:noProof/>
          <w:lang w:eastAsia="en-GB"/>
        </w:rPr>
        <w:drawing>
          <wp:inline distT="0" distB="0" distL="0" distR="0" wp14:anchorId="0CDDF54D" wp14:editId="3A18335C">
            <wp:extent cx="4737735" cy="6716390"/>
            <wp:effectExtent l="0" t="0" r="0" b="0"/>
            <wp:docPr id="40" name="Picture 40" descr="C:\Users\Gigabyte\Dropbox\PhD\Writing\Thesis\Chapter 4 Hemocyte subtypes function\figures\uas-pdk qPCR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igabyte\Dropbox\PhD\Writing\Thesis\Chapter 4 Hemocyte subtypes function\figures\uas-pdk qPCR fig.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41472" cy="6721687"/>
                    </a:xfrm>
                    <a:prstGeom prst="rect">
                      <a:avLst/>
                    </a:prstGeom>
                    <a:noFill/>
                    <a:ln>
                      <a:noFill/>
                    </a:ln>
                  </pic:spPr>
                </pic:pic>
              </a:graphicData>
            </a:graphic>
          </wp:inline>
        </w:drawing>
      </w:r>
    </w:p>
    <w:p w14:paraId="0A1BC06D" w14:textId="77777777" w:rsidR="004275D8" w:rsidRPr="00A722C7" w:rsidRDefault="004275D8" w:rsidP="004275D8">
      <w:pPr>
        <w:pStyle w:val="NoSpacing"/>
        <w:rPr>
          <w:b/>
        </w:rPr>
      </w:pPr>
      <w:r>
        <w:rPr>
          <w:b/>
        </w:rPr>
        <w:t>Figure 4.18</w:t>
      </w:r>
      <w:r w:rsidRPr="00A722C7">
        <w:rPr>
          <w:b/>
        </w:rPr>
        <w:t xml:space="preserve">. Overexpression of pyruvate dehydrogenase kinase promotes pro-inflammatory gene expression in hemocytes. </w:t>
      </w:r>
    </w:p>
    <w:p w14:paraId="65B1CFE4" w14:textId="77777777" w:rsidR="004275D8" w:rsidRDefault="004275D8" w:rsidP="004275D8">
      <w:pPr>
        <w:pStyle w:val="NoSpacing"/>
      </w:pPr>
      <w:r>
        <w:t>Scatterplots of the relative fold change in gene expression in hemocytes isolated from control (</w:t>
      </w:r>
      <w:r>
        <w:rPr>
          <w:i/>
        </w:rPr>
        <w:t>w;Srp-GAL4,UAS-GFP/+;Crq-GAL4,UAS-GFP/+</w:t>
      </w:r>
      <w:r>
        <w:t xml:space="preserve">) or </w:t>
      </w:r>
      <w:r w:rsidRPr="00771702">
        <w:rPr>
          <w:i/>
        </w:rPr>
        <w:t>UAS-pdk</w:t>
      </w:r>
      <w:r>
        <w:rPr>
          <w:i/>
        </w:rPr>
        <w:t xml:space="preserve"> (w;UAS-pdk/Srp-</w:t>
      </w:r>
      <w:r>
        <w:rPr>
          <w:i/>
        </w:rPr>
        <w:lastRenderedPageBreak/>
        <w:t>GAL4,UAS-GFP;Crq-GAL4,UAS-GFP/+)</w:t>
      </w:r>
      <w:r>
        <w:t xml:space="preserve"> third instar larvae. Lines and error bars represent mean ± SD, n=minimum of 3 technical replicates from 100 larvae for control and </w:t>
      </w:r>
      <w:r w:rsidRPr="00771702">
        <w:rPr>
          <w:i/>
        </w:rPr>
        <w:t>UAS-pdk</w:t>
      </w:r>
      <w:r>
        <w:t>. Asterisk represents Student’s t-test, *p&lt;0.05, **p&lt;0.01.</w:t>
      </w:r>
    </w:p>
    <w:p w14:paraId="718143CE" w14:textId="77777777" w:rsidR="004275D8" w:rsidRDefault="004275D8" w:rsidP="004275D8">
      <w:pPr>
        <w:pStyle w:val="Thesisnormal"/>
      </w:pPr>
    </w:p>
    <w:p w14:paraId="071317D9" w14:textId="77777777" w:rsidR="004275D8" w:rsidRPr="00500A97" w:rsidRDefault="004275D8" w:rsidP="004275D8">
      <w:pPr>
        <w:pStyle w:val="Thesisnormal"/>
      </w:pPr>
    </w:p>
    <w:p w14:paraId="0286836D" w14:textId="76F502E6" w:rsidR="004275D8" w:rsidRDefault="004275D8" w:rsidP="004275D8">
      <w:pPr>
        <w:pStyle w:val="Heading3"/>
      </w:pPr>
      <w:bookmarkStart w:id="190" w:name="_Toc4589358"/>
      <w:r>
        <w:t xml:space="preserve">4.2.19 Expression of activated AMPK in hemocytes does not </w:t>
      </w:r>
      <w:r w:rsidR="00482BB3">
        <w:t>affect hemocyte recruitment</w:t>
      </w:r>
      <w:r>
        <w:t xml:space="preserve"> wound</w:t>
      </w:r>
      <w:r w:rsidR="00482BB3">
        <w:t>s</w:t>
      </w:r>
      <w:bookmarkEnd w:id="190"/>
    </w:p>
    <w:p w14:paraId="7D6CAAC9" w14:textId="77777777" w:rsidR="004275D8" w:rsidRDefault="004275D8" w:rsidP="004275D8">
      <w:pPr>
        <w:pStyle w:val="Thesisnormal"/>
      </w:pPr>
    </w:p>
    <w:p w14:paraId="4CE0D815" w14:textId="1E83C079" w:rsidR="004275D8" w:rsidRPr="00D9561D" w:rsidRDefault="004275D8" w:rsidP="004275D8">
      <w:pPr>
        <w:pStyle w:val="Thesisnormal"/>
      </w:pPr>
      <w:r>
        <w:t>AMP-activated protein kinase (</w:t>
      </w:r>
      <w:r w:rsidRPr="000711D6">
        <w:t>AMPK</w:t>
      </w:r>
      <w:r>
        <w:t xml:space="preserve">) regulates energy homeostasis and metabolic stress, through the detection of ADP:ATP ratios </w:t>
      </w:r>
      <w:r>
        <w:fldChar w:fldCharType="begin"/>
      </w:r>
      <w:r w:rsidR="000A209C">
        <w:instrText xml:space="preserve"> ADDIN ZOTERO_ITEM CSL_CITATION {"citationID":"YMAPPQXp","properties":{"formattedCitation":"(60)","plainCitation":"(60)","noteIndex":0},"citationItems":[{"id":1658,"uris":["http://zotero.org/users/952979/items/KP6F6KVQ"],"uri":["http://zotero.org/users/952979/items/KP6F6KVQ"],"itemData":{"id":1658,"type":"article-journal","title":"AMP-activated protein kinase promotes macrophage polarization to an anti-inflammatory functional phenotype","container-title":"Journal of immunology (Baltimore, Md. : 1950)","page":"8633-8641","volume":"181","issue":"12","source":"PubMed Central","abstract":"Herein, we demonstrate a role of AMP-activated protein kinase (AMPK) as a potent counter-regulator of inflammatory signaling pathways in macrophages. Stimulation of macrophages with anti-inflammatory cytokines (i.e., IL-10 and TGFβ) resulted in the rapid Phosphorylation/activation of AMPK, whereas stimulation of macrophages with a proinflammatory stimulus (LPS) resulted in AMPK dephosphorylation/inactivation. Inhibition of AMPKα expression by RNA interference dramatically increased the mRNA levels of LPS-induced TNFα, IL-6 and cyclooxygenase- 2 (COX-2). Likewise, expression of a dominant negative AMPKα1 in macrophages enhanced TNFα and IL-6 protein synthesis in response to LPS stimulation, while diminishing the production of IL-10. In contrast, transfection of macrophages with a constitutively active form of AMPKα1 resulted in decreased LPS-induced TNFα and IL-6 production, and heightened production of IL-10. In addition, we found that AMPK negatively regulated LPS-induced IκB-α degradation and positively regulated Akt activation, accompanied by inhibition of GSK3-β and activation of CREB. Thus, AMPK directs signaling pathways in macrophages in a manner that suppresses proinflammatory responses and promotes macrophage polarization to an anti-inflammatory functional phenotype.","ISSN":"0022-1767","note":"PMID: 19050283\nPMCID: PMC2756051","journalAbbreviation":"J Immunol","author":[{"family":"Sag","given":"Duygu"},{"family":"Carling","given":"David"},{"family":"Stout","given":"Robert D."},{"family":"Suttles","given":"Jill"}],"issued":{"date-parts":[["2008",12,15]]}}}],"schema":"https://github.com/citation-style-language/schema/raw/master/csl-citation.json"} </w:instrText>
      </w:r>
      <w:r>
        <w:fldChar w:fldCharType="separate"/>
      </w:r>
      <w:r w:rsidR="004A1963" w:rsidRPr="004A1963">
        <w:rPr>
          <w:rFonts w:ascii="Calibri" w:hAnsi="Calibri"/>
        </w:rPr>
        <w:t>(60)</w:t>
      </w:r>
      <w:r>
        <w:fldChar w:fldCharType="end"/>
      </w:r>
      <w:r>
        <w:t xml:space="preserve">. In the context of macrophages, knockdown of AMPK has been shown to promote a pro-inflammatory phenotype whilst overexpression demonstrates an anti-inflammatory phenotype </w:t>
      </w:r>
      <w:r>
        <w:fldChar w:fldCharType="begin"/>
      </w:r>
      <w:r w:rsidR="000A209C">
        <w:instrText xml:space="preserve"> ADDIN ZOTERO_ITEM CSL_CITATION {"citationID":"NDHk8yUI","properties":{"formattedCitation":"(61,62)","plainCitation":"(61,62)","noteIndex":0},"citationItems":[{"id":1619,"uris":["http://zotero.org/users/952979/items/D3L96L8E"],"uri":["http://zotero.org/users/952979/items/D3L96L8E"],"itemData":{"id":1619,"type":"article-journal","title":"Berberine suppresses proinflammatory responses through AMPK activation in macrophages","container-title":"American Journal of Physiology. Endocrinology and Metabolism","page":"E955-964","volume":"296","issue":"4","source":"PubMed","abstract":"Berberine (BBR) has been shown to improve several metabolic disorders, such as obesity, type 2 diabetes, and dyslipidemia, by stimulating AMP-activated protein kinase (AMPK). However, the effects of BBR on proinflammatory responses in macrophages are poorly understood. Here we show that BBR represses proinflammatory responses through AMPK activation in macrophages. In adipose tissue of obese db/db mice, BBR treatment significantly downregulated the expression of proinflammatory genes such as TNF-alpha, IL-1beta, IL-6, monocyte chemoattractant protein-1 (MCP-1), inducible nitric oxide synthase (iNOS), and cyclooxygenase-2 (COX-2). Consistently, BBR inhibited LPS-induced expression of proinflammatory genes including IL-1beta, IL-6, iNOS, MCP-1, COX-2, and matrix metalloprotease-9 in peritoneal macrophages and RAW 264.7 cells. Upon various proinflammatory signals including LPS, free fatty acids, and hydrogen peroxide, BBR suppressed the phosphorylation of MAPKs, such as p38, ERK, and JNK, and the level of reactive oxygen species in macrophages. Moreover, these inhibitory effects of BBR on proinflammatory responses were abolished by AMPK inhibition via either compound C, an AMPK inhibitor, or dominant-negative AMPK, implying that BBR would downregulate proinflammatory responses in macrophages via AMPK stimulation.","DOI":"10.1152/ajpendo.90599.2008","ISSN":"0193-1849","note":"PMID: 19208854","journalAbbreviation":"Am. J. Physiol. Endocrinol. Metab.","language":"eng","author":[{"family":"Jeong","given":"Hyun Woo"},{"family":"Hsu","given":"Kuan Chi"},{"family":"Lee","given":"Joo-Won"},{"family":"Ham","given":"Mira"},{"family":"Huh","given":"Jin Young"},{"family":"Shin","given":"Hyun Jung"},{"family":"Kim","given":"Woo Sik"},{"family":"Kim","given":"Jae Bum"}],"issued":{"date-parts":[["2009",4]]}}},{"id":1612,"uris":["http://zotero.org/users/952979/items/LLJIJNDR"],"uri":["http://zotero.org/users/952979/items/LLJIJNDR"],"itemData":{"id":1612,"type":"article-journal","title":"AMPKα1 regulates macrophage skewing at the time of resolution of inflammation during skeletal muscle regeneration","container-title":"Cell Metabolism","page":"251-264","volume":"18","issue":"2","source":"PubMed","abstract":"Macrophages control the resolution of inflammation through the transition from a proinflammatory (M1) to an anti-inflammatory (M2) phenotype. Here, we present evidence for a role of AMPKα1, a master regulator of energy homeostasis, in macrophage skewing that occurs during skeletal muscle regeneration. Muscle regeneration was impaired in AMPKα1(-/-) mice. In vivo loss-of-function (LysM-Cre;AMPKα1(fl/fl) mouse) and rescue (bone marrow transplantation) experiments showed that macrophagic AMPKα1 was required for muscle regeneration. Cell-based experiments revealed that AMPKα1(-/-) macrophages did not fully acquire the phenotype or the functions of M2 cells. In vivo, AMPKα1(-/-) leukocytes did not acquire the expression of M2 markers during muscle regeneration. Skewing from M1 toward M2 phenotype upon phagocytosis of necrotic and apoptotic cells was impaired in AMPKα1(-/-) macrophages and when AMPK activation was prevented by the inhibition of its upstream activator, CaMKKβ. In conclusion, AMPKα1 is crucial for phagocytosis-induced macrophage skewing from a pro- to anti-inflammatory phenotype at the time of resolution of inflammation.","DOI":"10.1016/j.cmet.2013.06.017","ISSN":"1932-7420","note":"PMID: 23931756","journalAbbreviation":"Cell Metab.","language":"eng","author":[{"family":"Mounier","given":"Rémi"},{"family":"Théret","given":"Marine"},{"family":"Arnold","given":"Ludovic"},{"family":"Cuvellier","given":"Sylvain"},{"family":"Bultot","given":"Laurent"},{"family":"Göransson","given":"Olga"},{"family":"Sanz","given":"Nieves"},{"family":"Ferry","given":"Arnaud"},{"family":"Sakamoto","given":"Kei"},{"family":"Foretz","given":"Marc"},{"family":"Viollet","given":"Benoit"},{"family":"Chazaud","given":"Bénédicte"}],"issued":{"date-parts":[["2013",8,6]]}}}],"schema":"https://github.com/citation-style-language/schema/raw/master/csl-citation.json"} </w:instrText>
      </w:r>
      <w:r>
        <w:fldChar w:fldCharType="separate"/>
      </w:r>
      <w:r w:rsidR="004A1963" w:rsidRPr="004A1963">
        <w:rPr>
          <w:rFonts w:ascii="Calibri" w:hAnsi="Calibri"/>
        </w:rPr>
        <w:t>(61,62)</w:t>
      </w:r>
      <w:r>
        <w:fldChar w:fldCharType="end"/>
      </w:r>
      <w:r>
        <w:t xml:space="preserve">. The anti-inflammatory effects of AMPK may be mediated though increased oxidation of fatty acids </w:t>
      </w:r>
      <w:r>
        <w:fldChar w:fldCharType="begin"/>
      </w:r>
      <w:r w:rsidR="000A209C">
        <w:instrText xml:space="preserve"> ADDIN ZOTERO_ITEM CSL_CITATION {"citationID":"SLUbCIgL","properties":{"formattedCitation":"(59)","plainCitation":"(59)","noteIndex":0},"citationItems":[{"id":1611,"uris":["http://zotero.org/users/952979/items/UYK936T3"],"uri":["http://zotero.org/users/952979/items/UYK936T3"],"itemData":{"id":1611,"type":"article-journal","title":"AMPK promotes macrophage fatty acid oxidative metabolism to mitigate inflammation: implications for diabetes and cardiovascular disease","container-title":"Immunology and Cell Biology","page":"340-345","volume":"92","issue":"4","source":"PubMed","abstract":"Metabolic inflammation, a low-grade chronic pro-inflammatory environment in metabolic or vascular tissues during nutrient excess, has emerged as an important factor underpinning the development of type 2 diabetes (T2D) and cardiovascular disease (CVD). Macrophages are a primary source of inflammatory effectors that contribute to insulin resistance and atherosclerosis, the precursors of T2D and CVD, respectively. Oxidative metabolism dictates the inflammatory status of macrophages, effects that may be upstream of endoplasmic reticulum (ER) stress and the NLRP3 inflammasome. The AMP-activated protein kinase (AMPK) lies at the crossroads of metabolically driven macrophage inflammation and exerts control over mitochondrial metabolism, and therefore is vital for dictating the inflammatory status of macrophages. Understanding how AMPK regulates oxidative metabolism and substrate selection to control both ER stress and NLRP3 inflammasome-mediated inflammation holds promise for identifying new therapies and the tailoring of current therapies for the treatment of T2D and CVD.","DOI":"10.1038/icb.2014.11","ISSN":"1440-1711","note":"PMID: 24638063","shortTitle":"AMPK promotes macrophage fatty acid oxidative metabolism to mitigate inflammation","journalAbbreviation":"Immunol. Cell Biol.","language":"eng","author":[{"family":"Steinberg","given":"Gregory R."},{"family":"Schertzer","given":"Jonathan D."}],"issued":{"date-parts":[["2014",4]]}}}],"schema":"https://github.com/citation-style-language/schema/raw/master/csl-citation.json"} </w:instrText>
      </w:r>
      <w:r>
        <w:fldChar w:fldCharType="separate"/>
      </w:r>
      <w:r w:rsidR="004A1963" w:rsidRPr="004A1963">
        <w:rPr>
          <w:rFonts w:ascii="Calibri" w:hAnsi="Calibri"/>
        </w:rPr>
        <w:t>(59)</w:t>
      </w:r>
      <w:r>
        <w:fldChar w:fldCharType="end"/>
      </w:r>
      <w:r>
        <w:t>. We hypothesised that expression of AMPK specifically within hemocytes would promote an anti-inflammatory phenotype. Embryos expressing a phosphomimetic-activated form of AMPK (</w:t>
      </w:r>
      <w:r>
        <w:rPr>
          <w:i/>
        </w:rPr>
        <w:t>w;UAS-AMPK/</w:t>
      </w:r>
      <w:r w:rsidRPr="00EC4F61">
        <w:rPr>
          <w:i/>
        </w:rPr>
        <w:t xml:space="preserve"> </w:t>
      </w:r>
      <w:r>
        <w:rPr>
          <w:i/>
        </w:rPr>
        <w:t>Srp-GAL4,UAS-GFP;Crq-GAL4,UAS-GFP/+)</w:t>
      </w:r>
      <w:r>
        <w:t xml:space="preserve"> were wounded and then the number of hemocytes at the wound border quantified. We found </w:t>
      </w:r>
      <w:r w:rsidR="00143F39">
        <w:t>a slight increase in hemocyte</w:t>
      </w:r>
      <w:r>
        <w:t xml:space="preserve"> </w:t>
      </w:r>
      <w:r w:rsidR="00482BB3">
        <w:t>recruitment to wounds</w:t>
      </w:r>
      <w:r>
        <w:t xml:space="preserve"> between controls and </w:t>
      </w:r>
      <w:r w:rsidRPr="00771702">
        <w:rPr>
          <w:i/>
        </w:rPr>
        <w:t>UAS-AMPK</w:t>
      </w:r>
      <w:r>
        <w:t xml:space="preserve"> embryos (n=18 and 19 embryos for control and UAS-AMPK respectively, one-way ANOVA with Dunnett’s multiple comparisons test p=0.1103, Fig 4.19). </w:t>
      </w:r>
      <w:r w:rsidR="00E34A85">
        <w:t>This data</w:t>
      </w:r>
      <w:r>
        <w:t xml:space="preserve"> suggest</w:t>
      </w:r>
      <w:r w:rsidR="00E34A85">
        <w:t xml:space="preserve">s </w:t>
      </w:r>
      <w:r>
        <w:t xml:space="preserve">that AMPK may be modulating hemocyte functions. </w:t>
      </w:r>
    </w:p>
    <w:p w14:paraId="68CE8028" w14:textId="77777777" w:rsidR="004275D8" w:rsidRPr="00500A97" w:rsidRDefault="004275D8" w:rsidP="004275D8">
      <w:pPr>
        <w:pStyle w:val="Thesisnormal"/>
      </w:pPr>
    </w:p>
    <w:p w14:paraId="55177943" w14:textId="77777777" w:rsidR="004275D8" w:rsidRDefault="004275D8" w:rsidP="004275D8">
      <w:pPr>
        <w:pStyle w:val="Heading3"/>
      </w:pPr>
      <w:bookmarkStart w:id="191" w:name="_Toc4589359"/>
      <w:r>
        <w:t>4.2.20 Expression of activated AMPK decreases the number of apoptotic cells in hemocytes</w:t>
      </w:r>
      <w:bookmarkEnd w:id="191"/>
    </w:p>
    <w:p w14:paraId="0093ED6A" w14:textId="77777777" w:rsidR="004275D8" w:rsidRDefault="004275D8" w:rsidP="004275D8">
      <w:pPr>
        <w:pStyle w:val="Thesisnormal"/>
      </w:pPr>
    </w:p>
    <w:p w14:paraId="4607A877" w14:textId="7EA774E7" w:rsidR="004275D8" w:rsidRDefault="004275D8" w:rsidP="004275D8">
      <w:pPr>
        <w:pStyle w:val="Thesisnormal"/>
      </w:pPr>
      <w:r>
        <w:t xml:space="preserve">As our wounding data </w:t>
      </w:r>
      <w:r w:rsidR="00E34A85">
        <w:t>demonstrated a small increase</w:t>
      </w:r>
      <w:r>
        <w:t xml:space="preserve"> towards a</w:t>
      </w:r>
      <w:r w:rsidR="00E34A85">
        <w:t xml:space="preserve">n improved </w:t>
      </w:r>
      <w:r>
        <w:t xml:space="preserve">inflammatory response, we next investigated an anti-inflammatory function. To do this, we quantified the number of vacuoles (apoptotic cells) within hemocytes prior to wounding (indicated by red asterisks in Fig 4.20 A-B). We found a slight decrease in the number of vacuoles within hemocytes in </w:t>
      </w:r>
      <w:r w:rsidRPr="00771702">
        <w:rPr>
          <w:i/>
        </w:rPr>
        <w:t>UAS-AMPK</w:t>
      </w:r>
      <w:r>
        <w:t xml:space="preserve"> embryos compared to control (n=18 and 15 hemocytes for control and </w:t>
      </w:r>
      <w:r w:rsidRPr="00771702">
        <w:rPr>
          <w:i/>
        </w:rPr>
        <w:t>UAS-AMPK</w:t>
      </w:r>
      <w:r>
        <w:t xml:space="preserve"> respectively, one-way ANOVA with Dunnett’s multiple comparisons test p&lt;0.05, Fig 4.20 </w:t>
      </w:r>
      <w:r w:rsidR="00927947">
        <w:t>C</w:t>
      </w:r>
      <w:r>
        <w:t xml:space="preserve">). This data suggests that AMPK activation diminishes anti-inflammatory hemocyte functions. </w:t>
      </w:r>
    </w:p>
    <w:p w14:paraId="2ED6B679" w14:textId="77777777" w:rsidR="004275D8" w:rsidRDefault="004275D8" w:rsidP="004275D8">
      <w:pPr>
        <w:pStyle w:val="Thesisnormal"/>
      </w:pPr>
    </w:p>
    <w:p w14:paraId="7E230BB5" w14:textId="77777777" w:rsidR="004275D8" w:rsidRDefault="004275D8" w:rsidP="004275D8">
      <w:pPr>
        <w:pStyle w:val="Thesisnormal"/>
      </w:pPr>
      <w:r>
        <w:rPr>
          <w:noProof/>
          <w:lang w:eastAsia="en-GB"/>
        </w:rPr>
        <w:lastRenderedPageBreak/>
        <w:drawing>
          <wp:inline distT="0" distB="0" distL="0" distR="0" wp14:anchorId="4D772697" wp14:editId="6F104459">
            <wp:extent cx="5914484" cy="3914775"/>
            <wp:effectExtent l="0" t="0" r="0" b="0"/>
            <wp:docPr id="41" name="Picture 41" descr="D:\Dropbox\PhD\Writing\Thesis\Chapter 4 Targetting M1 and M2 pathways\figures\AMPK wounding fig\AMPK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4 Targetting M1 and M2 pathways\figures\AMPK wounding fig\AMPK wounding fig.tif"/>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3400"/>
                    <a:stretch/>
                  </pic:blipFill>
                  <pic:spPr bwMode="auto">
                    <a:xfrm>
                      <a:off x="0" y="0"/>
                      <a:ext cx="5919241" cy="3917924"/>
                    </a:xfrm>
                    <a:prstGeom prst="rect">
                      <a:avLst/>
                    </a:prstGeom>
                    <a:noFill/>
                    <a:ln>
                      <a:noFill/>
                    </a:ln>
                    <a:extLst>
                      <a:ext uri="{53640926-AAD7-44D8-BBD7-CCE9431645EC}">
                        <a14:shadowObscured xmlns:a14="http://schemas.microsoft.com/office/drawing/2010/main"/>
                      </a:ext>
                    </a:extLst>
                  </pic:spPr>
                </pic:pic>
              </a:graphicData>
            </a:graphic>
          </wp:inline>
        </w:drawing>
      </w:r>
    </w:p>
    <w:p w14:paraId="21851119" w14:textId="0E069916" w:rsidR="004275D8" w:rsidRDefault="004275D8" w:rsidP="004275D8">
      <w:pPr>
        <w:pStyle w:val="NoSpacing"/>
      </w:pPr>
      <w:r>
        <w:rPr>
          <w:b/>
        </w:rPr>
        <w:t>Fig</w:t>
      </w:r>
      <w:r w:rsidRPr="0030625E">
        <w:rPr>
          <w:b/>
        </w:rPr>
        <w:t>ure 4.</w:t>
      </w:r>
      <w:r>
        <w:rPr>
          <w:b/>
        </w:rPr>
        <w:t>19.</w:t>
      </w:r>
      <w:r w:rsidRPr="0030625E">
        <w:rPr>
          <w:b/>
        </w:rPr>
        <w:t xml:space="preserve"> </w:t>
      </w:r>
      <w:r>
        <w:rPr>
          <w:b/>
        </w:rPr>
        <w:t>Overexpression of</w:t>
      </w:r>
      <w:r w:rsidRPr="00096833">
        <w:rPr>
          <w:b/>
        </w:rPr>
        <w:t xml:space="preserve"> </w:t>
      </w:r>
      <w:r>
        <w:rPr>
          <w:b/>
        </w:rPr>
        <w:t xml:space="preserve">activated-AMPK </w:t>
      </w:r>
      <w:r w:rsidRPr="00096833">
        <w:rPr>
          <w:b/>
        </w:rPr>
        <w:t xml:space="preserve">within hemocytes </w:t>
      </w:r>
      <w:r>
        <w:rPr>
          <w:b/>
        </w:rPr>
        <w:t xml:space="preserve">does not significantly affect hemocyte </w:t>
      </w:r>
      <w:r w:rsidR="00482BB3">
        <w:rPr>
          <w:b/>
        </w:rPr>
        <w:t>recruitment to wounds</w:t>
      </w:r>
      <w:r>
        <w:rPr>
          <w:b/>
        </w:rPr>
        <w:t>.</w:t>
      </w:r>
      <w:r>
        <w:t xml:space="preserve"> </w:t>
      </w:r>
    </w:p>
    <w:p w14:paraId="08EDA6C1" w14:textId="5AABFD17" w:rsidR="004275D8" w:rsidRDefault="004275D8" w:rsidP="004275D8">
      <w:pPr>
        <w:pStyle w:val="NoSpacing"/>
      </w:pPr>
      <w:r>
        <w:t>(A) Representative stills of GFP labelled hemocyte responses to wounds at 0- (top images) and 60-minutes (bottom images) post-wounding in stage 15 embryos for control (</w:t>
      </w:r>
      <w:r>
        <w:rPr>
          <w:i/>
        </w:rPr>
        <w:t>w;Srp-GAL4,UAS-GFP/+;Crq-GAL4,UAS-GFP/+</w:t>
      </w:r>
      <w:r>
        <w:t xml:space="preserve">) and </w:t>
      </w:r>
      <w:r w:rsidRPr="00771702">
        <w:rPr>
          <w:i/>
        </w:rPr>
        <w:t>UAS-AMPK</w:t>
      </w:r>
      <w:r>
        <w:rPr>
          <w:i/>
        </w:rPr>
        <w:t xml:space="preserve"> (w;UAS-AMPK/Srp-GAL4,UAS-GFP;Crq-GAL4,UAS-GFP/+)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n=18 and 19 for control and </w:t>
      </w:r>
      <w:r w:rsidRPr="00771702">
        <w:rPr>
          <w:i/>
        </w:rPr>
        <w:t>UAS-AMPK</w:t>
      </w:r>
      <w:r>
        <w:t xml:space="preserve"> embryos respectively. One-way ANOVA with Dunnett’s multiple comparisons test, p=0.1103. White dashed ovals outline wound perimeter. Scale bars represent 20μm. </w:t>
      </w:r>
      <w:r w:rsidR="00CF4861">
        <w:t>Control data is the same as in Fig 4.15, chapter 4 as these experiments were performed in parallel.</w:t>
      </w:r>
    </w:p>
    <w:p w14:paraId="2022F635" w14:textId="77777777" w:rsidR="004275D8" w:rsidRDefault="004275D8" w:rsidP="004275D8">
      <w:pPr>
        <w:pStyle w:val="Thesisnormal"/>
      </w:pPr>
    </w:p>
    <w:p w14:paraId="784C1CA7" w14:textId="77777777" w:rsidR="004275D8" w:rsidRDefault="004275D8" w:rsidP="004275D8">
      <w:pPr>
        <w:pStyle w:val="Thesisnormal"/>
      </w:pPr>
    </w:p>
    <w:p w14:paraId="1AF424DC" w14:textId="77777777" w:rsidR="004275D8" w:rsidRDefault="004275D8" w:rsidP="004275D8">
      <w:pPr>
        <w:pStyle w:val="Thesisnormal"/>
      </w:pPr>
    </w:p>
    <w:p w14:paraId="2336DEDF" w14:textId="77777777" w:rsidR="004275D8" w:rsidRDefault="004275D8" w:rsidP="004275D8">
      <w:pPr>
        <w:pStyle w:val="Thesisnormal"/>
      </w:pPr>
    </w:p>
    <w:p w14:paraId="0B10C76A" w14:textId="77777777" w:rsidR="004275D8" w:rsidRDefault="004275D8" w:rsidP="004275D8">
      <w:pPr>
        <w:pStyle w:val="Thesisnormal"/>
      </w:pPr>
    </w:p>
    <w:p w14:paraId="1DBEDC0A" w14:textId="77777777" w:rsidR="004275D8" w:rsidRDefault="004275D8" w:rsidP="004275D8">
      <w:pPr>
        <w:pStyle w:val="Thesisnormal"/>
      </w:pPr>
    </w:p>
    <w:p w14:paraId="3E0C3DC1" w14:textId="77777777" w:rsidR="004275D8" w:rsidRDefault="004275D8" w:rsidP="004275D8">
      <w:pPr>
        <w:pStyle w:val="Thesisnormal"/>
      </w:pPr>
    </w:p>
    <w:p w14:paraId="76A9F1F2" w14:textId="77777777" w:rsidR="004275D8" w:rsidRDefault="004275D8" w:rsidP="004275D8">
      <w:pPr>
        <w:pStyle w:val="Thesisnormal"/>
      </w:pPr>
    </w:p>
    <w:p w14:paraId="20CDC3DA" w14:textId="77777777" w:rsidR="004B2C80" w:rsidRDefault="004B2C80" w:rsidP="004275D8">
      <w:pPr>
        <w:pStyle w:val="Thesisnormal"/>
        <w:rPr>
          <w:noProof/>
          <w:lang w:eastAsia="en-GB"/>
        </w:rPr>
      </w:pPr>
    </w:p>
    <w:p w14:paraId="70B3D323" w14:textId="77777777" w:rsidR="004275D8" w:rsidRDefault="004275D8" w:rsidP="004275D8">
      <w:pPr>
        <w:pStyle w:val="Thesisnormal"/>
      </w:pPr>
      <w:r>
        <w:rPr>
          <w:noProof/>
          <w:lang w:eastAsia="en-GB"/>
        </w:rPr>
        <w:lastRenderedPageBreak/>
        <w:drawing>
          <wp:inline distT="0" distB="0" distL="0" distR="0" wp14:anchorId="5E1AEDD6" wp14:editId="7017C31D">
            <wp:extent cx="5988575" cy="66008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igabyte\Dropbox\PhD\Writing\Thesis\Chapter 4 Hemocyte subtypes function\figures\AMPK vacuole fig\AMPK vacuole fig.tif"/>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837" b="19473"/>
                    <a:stretch/>
                  </pic:blipFill>
                  <pic:spPr bwMode="auto">
                    <a:xfrm>
                      <a:off x="0" y="0"/>
                      <a:ext cx="5992954" cy="6605652"/>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DB7DA3B" w14:textId="77777777" w:rsidR="004275D8" w:rsidRPr="00CF4861" w:rsidRDefault="004275D8" w:rsidP="00CF4861">
      <w:pPr>
        <w:pStyle w:val="NoSpacing"/>
        <w:rPr>
          <w:b/>
        </w:rPr>
      </w:pPr>
      <w:r w:rsidRPr="00CF4861">
        <w:rPr>
          <w:b/>
        </w:rPr>
        <w:t xml:space="preserve">Figure 4.20. Overexpression of activated-AMPK decreases the number of apoptotic cells engulfed by hemocytes. </w:t>
      </w:r>
    </w:p>
    <w:p w14:paraId="513BCE4B" w14:textId="4E84C5B4" w:rsidR="004275D8" w:rsidRDefault="004275D8" w:rsidP="00CF4861">
      <w:pPr>
        <w:pStyle w:val="NoSpacing"/>
      </w:pPr>
      <w:r>
        <w:t>(A) Representative stills of GFP labelled hemocytes in stage 15 embryos for control (</w:t>
      </w:r>
      <w:r>
        <w:rPr>
          <w:i/>
        </w:rPr>
        <w:t>w;Srp-GAL4,UAS-GFP/+;Crq-GAL4,UAS-GFP/+</w:t>
      </w:r>
      <w:r>
        <w:t xml:space="preserve">) and </w:t>
      </w:r>
      <w:r w:rsidRPr="00771702">
        <w:rPr>
          <w:i/>
        </w:rPr>
        <w:t>UAS-AMPK</w:t>
      </w:r>
      <w:r>
        <w:rPr>
          <w:i/>
        </w:rPr>
        <w:t xml:space="preserve"> (w;UAS-AMPK/Srp-GAL4,UAS-GFP;Crq-GAL4,UAS-GFP/+)</w:t>
      </w:r>
      <w:r w:rsidRPr="00771702">
        <w:rPr>
          <w:i/>
        </w:rPr>
        <w:t xml:space="preserve">. </w:t>
      </w:r>
      <w:r>
        <w:t xml:space="preserve">Scale bars represent 20μm. (B) Zoomed images of individual cells from (A) highlighting vacuoles. Red asterisks indicate vacuoles as quantified. Scale bars represent 5μm. (C) Scatterplot of the average number of vacuoles per hemocyte per embryo. Lines and error bars represent mean ± SD, n=18 and 15 for control and </w:t>
      </w:r>
      <w:r w:rsidRPr="00771702">
        <w:rPr>
          <w:i/>
        </w:rPr>
        <w:t>UAS-AMPK</w:t>
      </w:r>
      <w:r>
        <w:t xml:space="preserve"> respectively. Student’s t-test, p=0.0974.</w:t>
      </w:r>
      <w:r w:rsidR="00CF4861" w:rsidRPr="00CF4861">
        <w:t xml:space="preserve"> </w:t>
      </w:r>
      <w:r w:rsidR="00CF4861">
        <w:t>Control data is the same as in Fig 4.16, chapter 4 as these experiments were performed in parallel.</w:t>
      </w:r>
    </w:p>
    <w:p w14:paraId="7E65EA4F" w14:textId="77777777" w:rsidR="004275D8" w:rsidRDefault="004275D8" w:rsidP="004275D8">
      <w:pPr>
        <w:pStyle w:val="Thesisnormal"/>
      </w:pPr>
    </w:p>
    <w:p w14:paraId="26DADB73" w14:textId="001BD10B" w:rsidR="004275D8" w:rsidRDefault="004275D8" w:rsidP="004275D8">
      <w:pPr>
        <w:pStyle w:val="Heading3"/>
      </w:pPr>
      <w:bookmarkStart w:id="192" w:name="_Toc4589360"/>
      <w:r>
        <w:lastRenderedPageBreak/>
        <w:t xml:space="preserve">4.2.21 Constitutive activation of Spӓtzle does not alter </w:t>
      </w:r>
      <w:r w:rsidR="00482BB3">
        <w:t>hemocyte recruitment to wounds</w:t>
      </w:r>
      <w:bookmarkEnd w:id="192"/>
    </w:p>
    <w:p w14:paraId="3521A345" w14:textId="77777777" w:rsidR="004275D8" w:rsidRDefault="004275D8" w:rsidP="004275D8">
      <w:pPr>
        <w:pStyle w:val="Thesisnormal"/>
      </w:pPr>
    </w:p>
    <w:p w14:paraId="66815565" w14:textId="3627FE12" w:rsidR="004275D8" w:rsidRDefault="004275D8" w:rsidP="004275D8">
      <w:pPr>
        <w:pStyle w:val="Thesisnormal"/>
      </w:pPr>
      <w:r>
        <w:t xml:space="preserve">Our data suggested that not all common mammalian macrophage markers were applicable to </w:t>
      </w:r>
      <w:r>
        <w:rPr>
          <w:i/>
        </w:rPr>
        <w:t>Drosophila</w:t>
      </w:r>
      <w:r>
        <w:t xml:space="preserve">. We wanted to investigate a </w:t>
      </w:r>
      <w:r>
        <w:rPr>
          <w:i/>
        </w:rPr>
        <w:t>Drosophila</w:t>
      </w:r>
      <w:r>
        <w:t xml:space="preserve"> specific immune activation pathway to determine any species-specific effects. The Toll pathway in </w:t>
      </w:r>
      <w:r>
        <w:rPr>
          <w:i/>
        </w:rPr>
        <w:t>Drosophila</w:t>
      </w:r>
      <w:r>
        <w:t xml:space="preserve"> can be activated by the ligand Spätzle (Spz) </w:t>
      </w:r>
      <w:r>
        <w:fldChar w:fldCharType="begin"/>
      </w:r>
      <w:r w:rsidR="000A209C">
        <w:instrText xml:space="preserve"> ADDIN ZOTERO_ITEM CSL_CITATION {"citationID":"sPcwtTvD","properties":{"formattedCitation":"(155)","plainCitation":"(155)","noteIndex":0},"citationItems":[{"id":1221,"uris":["http://zotero.org/users/952979/items/SVUXX27K"],"uri":["http://zotero.org/users/952979/items/SVUXX27K"],"itemData":{"id":1221,"type":"article-journal","title":"The dorsoventral regulatory gene cassette spätzle/Toll/cactus controls the potent antifungal response in Drosophila adults","container-title":"Cell","page":"973-983","volume":"86","issue":"6","source":"PubMed","abstract":"The cytokine-induced activation cascade of NF-kappaB in mammals and the activation of the morphogen dorsal in Drosophila embryos show striking structural and functional similarities (Toll/IL-1, Cactus/I-kappaB, and dorsal/NF-kappaB). Here we demonstrate that these parallels extend to the immune response of Drosophila. In particular, the intracellular components of the dorsoventral signaling pathway (except for dorsal) and the extracellular Toll ligand, spätzle, control expression of the antifungal peptide gene drosomycin in adults. We also show that mutations in the Toll signaling pathway dramatically reduce survival after fungal infection. Antibacterial genes are induced either by a distinct pathway involving the immune deficiency gene (imd) or by combined activation of both imd and dorsoventral pathways.","ISSN":"0092-8674","note":"PMID: 8808632","journalAbbreviation":"Cell","language":"ENG","author":[{"family":"Lemaitre","given":"B."},{"family":"Nicolas","given":"E."},{"family":"Michaut","given":"L."},{"family":"Reichhart","given":"J. M."},{"family":"Hoffmann","given":"J. A."}],"issued":{"date-parts":[["1996",9,20]]}}}],"schema":"https://github.com/citation-style-language/schema/raw/master/csl-citation.json"} </w:instrText>
      </w:r>
      <w:r>
        <w:fldChar w:fldCharType="separate"/>
      </w:r>
      <w:r w:rsidR="004A1963" w:rsidRPr="004A1963">
        <w:rPr>
          <w:rFonts w:ascii="Calibri" w:hAnsi="Calibri"/>
        </w:rPr>
        <w:t>(155)</w:t>
      </w:r>
      <w:r>
        <w:fldChar w:fldCharType="end"/>
      </w:r>
      <w:r>
        <w:t xml:space="preserve">. Unlike in vertebrates, Toll does not act as a pattern recognition receptor; Spz is cleaved and activated by secreted recognition molecules upon recognition of a pathogen </w:t>
      </w:r>
      <w:r>
        <w:fldChar w:fldCharType="begin"/>
      </w:r>
      <w:r w:rsidR="000A209C">
        <w:instrText xml:space="preserve"> ADDIN ZOTERO_ITEM CSL_CITATION {"citationID":"LuYNdoiW","properties":{"formattedCitation":"(159)","plainCitation":"(159)","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Immunol.","language":"eng","author":[{"family":"Lemaitre","given":"Bruno"},{"family":"Hoffmann","given":"Jules"}],"issued":{"date-parts":[["2007"]]}}}],"schema":"https://github.com/citation-style-language/schema/raw/master/csl-citation.json"} </w:instrText>
      </w:r>
      <w:r>
        <w:fldChar w:fldCharType="separate"/>
      </w:r>
      <w:r w:rsidR="004A1963" w:rsidRPr="004A1963">
        <w:rPr>
          <w:rFonts w:ascii="Calibri" w:hAnsi="Calibri"/>
        </w:rPr>
        <w:t>(159)</w:t>
      </w:r>
      <w:r>
        <w:fldChar w:fldCharType="end"/>
      </w:r>
      <w:r>
        <w:t xml:space="preserve">. We hypothesised that activating this pathway would produce a pro-inflammatory, anti-microbial phenotype. Therefore, we overexpressed a constitutively-active form of </w:t>
      </w:r>
      <w:r w:rsidRPr="00CE5B09">
        <w:rPr>
          <w:i/>
        </w:rPr>
        <w:t>spz</w:t>
      </w:r>
      <w:r>
        <w:t xml:space="preserve"> (</w:t>
      </w:r>
      <w:r w:rsidRPr="00CE5B09">
        <w:rPr>
          <w:i/>
        </w:rPr>
        <w:t>spz</w:t>
      </w:r>
      <w:r w:rsidRPr="00771702">
        <w:t>*)</w:t>
      </w:r>
      <w:r>
        <w:t xml:space="preserve"> (</w:t>
      </w:r>
      <w:r>
        <w:rPr>
          <w:i/>
        </w:rPr>
        <w:t>w;UAS-spz/Srp-GAL4,UAS-GFP;Crq-GAL4,UAS-GFP/+)</w:t>
      </w:r>
      <w:r>
        <w:t xml:space="preserve"> to induce a </w:t>
      </w:r>
      <w:r>
        <w:rPr>
          <w:i/>
        </w:rPr>
        <w:t>Drosophila</w:t>
      </w:r>
      <w:r>
        <w:t xml:space="preserve"> specific immune activation pathway. We observed no difference in hemocyte responses to wounding in embryos containing </w:t>
      </w:r>
      <w:r w:rsidRPr="00CE5B09">
        <w:rPr>
          <w:i/>
        </w:rPr>
        <w:t>spz*</w:t>
      </w:r>
      <w:r>
        <w:rPr>
          <w:i/>
        </w:rPr>
        <w:t>-</w:t>
      </w:r>
      <w:r>
        <w:t xml:space="preserve">overexpressing hemocytes compared to controls (n=26 and 24 embryos for control and </w:t>
      </w:r>
      <w:r w:rsidRPr="00771702">
        <w:rPr>
          <w:i/>
        </w:rPr>
        <w:t>UAS-spz*</w:t>
      </w:r>
      <w:r>
        <w:t>, Student’s t-test, p=0.097, Fig 4.21).</w:t>
      </w:r>
    </w:p>
    <w:p w14:paraId="0AB600E6" w14:textId="77777777" w:rsidR="004275D8" w:rsidRPr="00500A97" w:rsidRDefault="004275D8" w:rsidP="004275D8">
      <w:pPr>
        <w:pStyle w:val="Thesisnormal"/>
      </w:pPr>
    </w:p>
    <w:p w14:paraId="034D3F0A" w14:textId="77777777" w:rsidR="004275D8" w:rsidRDefault="004275D8" w:rsidP="004275D8">
      <w:pPr>
        <w:pStyle w:val="Thesisnormal"/>
      </w:pPr>
    </w:p>
    <w:p w14:paraId="4578210C" w14:textId="77777777" w:rsidR="004275D8" w:rsidRDefault="004275D8" w:rsidP="004275D8">
      <w:pPr>
        <w:pStyle w:val="Thesisnormal"/>
      </w:pPr>
    </w:p>
    <w:p w14:paraId="2C98AEF7" w14:textId="77777777" w:rsidR="004275D8" w:rsidRDefault="004275D8" w:rsidP="004275D8">
      <w:pPr>
        <w:pStyle w:val="Thesisnormal"/>
      </w:pPr>
    </w:p>
    <w:p w14:paraId="787D0FE5" w14:textId="77777777" w:rsidR="004275D8" w:rsidRDefault="004275D8" w:rsidP="004275D8">
      <w:pPr>
        <w:pStyle w:val="Thesisnormal"/>
      </w:pPr>
    </w:p>
    <w:p w14:paraId="70D7C00C" w14:textId="77777777" w:rsidR="004275D8" w:rsidRDefault="004275D8" w:rsidP="004275D8">
      <w:pPr>
        <w:pStyle w:val="Thesisnormal"/>
      </w:pPr>
    </w:p>
    <w:p w14:paraId="1FEF6FF1" w14:textId="77777777" w:rsidR="004275D8" w:rsidRDefault="004275D8" w:rsidP="004275D8">
      <w:pPr>
        <w:pStyle w:val="Thesisnormal"/>
      </w:pPr>
    </w:p>
    <w:p w14:paraId="3FA63376" w14:textId="77777777" w:rsidR="004275D8" w:rsidRDefault="004275D8" w:rsidP="004275D8">
      <w:pPr>
        <w:pStyle w:val="Thesisnormal"/>
        <w:rPr>
          <w:noProof/>
          <w:lang w:eastAsia="en-GB"/>
        </w:rPr>
      </w:pPr>
    </w:p>
    <w:p w14:paraId="66111792" w14:textId="77777777" w:rsidR="004275D8" w:rsidRDefault="004275D8" w:rsidP="004275D8">
      <w:pPr>
        <w:pStyle w:val="Thesisnormal"/>
      </w:pPr>
      <w:r>
        <w:rPr>
          <w:noProof/>
          <w:lang w:eastAsia="en-GB"/>
        </w:rPr>
        <w:lastRenderedPageBreak/>
        <w:drawing>
          <wp:inline distT="0" distB="0" distL="0" distR="0" wp14:anchorId="3DB58B51" wp14:editId="78AE7A9D">
            <wp:extent cx="6073010" cy="4095750"/>
            <wp:effectExtent l="0" t="0" r="4445" b="0"/>
            <wp:docPr id="43" name="Picture 43" descr="D:\Dropbox\PhD\Writing\Thesis\Chapter 4 Targetting M1 and M2 pathways\figures\spz wounding fig\Spz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4 Targetting M1 and M2 pathways\figures\spz wounding fig\Spz wounding fig.ti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52519"/>
                    <a:stretch/>
                  </pic:blipFill>
                  <pic:spPr bwMode="auto">
                    <a:xfrm>
                      <a:off x="0" y="0"/>
                      <a:ext cx="6078314" cy="4099327"/>
                    </a:xfrm>
                    <a:prstGeom prst="rect">
                      <a:avLst/>
                    </a:prstGeom>
                    <a:noFill/>
                    <a:ln>
                      <a:noFill/>
                    </a:ln>
                    <a:extLst>
                      <a:ext uri="{53640926-AAD7-44D8-BBD7-CCE9431645EC}">
                        <a14:shadowObscured xmlns:a14="http://schemas.microsoft.com/office/drawing/2010/main"/>
                      </a:ext>
                    </a:extLst>
                  </pic:spPr>
                </pic:pic>
              </a:graphicData>
            </a:graphic>
          </wp:inline>
        </w:drawing>
      </w:r>
    </w:p>
    <w:p w14:paraId="38C236D9" w14:textId="237FAC8C" w:rsidR="004275D8" w:rsidRDefault="004275D8" w:rsidP="004275D8">
      <w:pPr>
        <w:pStyle w:val="NoSpacing"/>
      </w:pPr>
      <w:r>
        <w:rPr>
          <w:b/>
        </w:rPr>
        <w:t>Fig</w:t>
      </w:r>
      <w:r w:rsidRPr="0030625E">
        <w:rPr>
          <w:b/>
        </w:rPr>
        <w:t>ure 4.</w:t>
      </w:r>
      <w:r>
        <w:rPr>
          <w:b/>
        </w:rPr>
        <w:t>21.</w:t>
      </w:r>
      <w:r w:rsidRPr="0030625E">
        <w:rPr>
          <w:b/>
        </w:rPr>
        <w:t xml:space="preserve"> </w:t>
      </w:r>
      <w:r>
        <w:rPr>
          <w:b/>
        </w:rPr>
        <w:t>Constitutive expression of</w:t>
      </w:r>
      <w:r w:rsidRPr="00096833">
        <w:rPr>
          <w:b/>
        </w:rPr>
        <w:t xml:space="preserve"> </w:t>
      </w:r>
      <w:r>
        <w:rPr>
          <w:b/>
        </w:rPr>
        <w:t xml:space="preserve">spätzle </w:t>
      </w:r>
      <w:r w:rsidRPr="00096833">
        <w:rPr>
          <w:b/>
        </w:rPr>
        <w:t xml:space="preserve">within hemocytes </w:t>
      </w:r>
      <w:r>
        <w:rPr>
          <w:b/>
        </w:rPr>
        <w:t xml:space="preserve">does not significantly affect hemocyte </w:t>
      </w:r>
      <w:r w:rsidR="00482BB3">
        <w:rPr>
          <w:b/>
        </w:rPr>
        <w:t>recruitment to wounds</w:t>
      </w:r>
      <w:r>
        <w:rPr>
          <w:b/>
        </w:rPr>
        <w:t>.</w:t>
      </w:r>
      <w:r>
        <w:t xml:space="preserve"> </w:t>
      </w:r>
    </w:p>
    <w:p w14:paraId="0DBEF183" w14:textId="6E917250" w:rsidR="004275D8" w:rsidRDefault="004275D8" w:rsidP="004275D8">
      <w:pPr>
        <w:pStyle w:val="NoSpacing"/>
      </w:pPr>
      <w:r>
        <w:t>(A) Representative stills of GFP labelled hemocyte responses to wounds at 0- (top images) and 60-minutes (bottom images) post-wounding in stage 15 embryos for control (</w:t>
      </w:r>
      <w:r>
        <w:rPr>
          <w:i/>
        </w:rPr>
        <w:t>w;Srp-GAL4,UAS-GFP/+;Crq-GAL4,UAS-GFP/+</w:t>
      </w:r>
      <w:r>
        <w:t xml:space="preserve">) and </w:t>
      </w:r>
      <w:r w:rsidRPr="005A64C5">
        <w:rPr>
          <w:i/>
        </w:rPr>
        <w:t>UAS-spz*</w:t>
      </w:r>
      <w:r w:rsidRPr="00236A39">
        <w:rPr>
          <w:i/>
        </w:rPr>
        <w:t xml:space="preserve"> </w:t>
      </w:r>
      <w:r>
        <w:rPr>
          <w:i/>
        </w:rPr>
        <w:t>(w;UAS-spz/</w:t>
      </w:r>
      <w:r w:rsidRPr="00EC4F61">
        <w:rPr>
          <w:i/>
        </w:rPr>
        <w:t xml:space="preserve"> </w:t>
      </w:r>
      <w:r>
        <w:rPr>
          <w:i/>
        </w:rPr>
        <w:t>Srp-GAL4,UAS-GFP;Crq-GAL4,UAS-GFP/+)</w:t>
      </w:r>
      <w:r>
        <w:t xml:space="preserve">. (B) Scatterplot of the hemocyte </w:t>
      </w:r>
      <w:r w:rsidR="00482BB3">
        <w:t>recruitment to wounds</w:t>
      </w:r>
      <w:r>
        <w:t xml:space="preserve"> per embryo (number of hemocytes per μm</w:t>
      </w:r>
      <w:r>
        <w:rPr>
          <w:vertAlign w:val="superscript"/>
        </w:rPr>
        <w:t>2</w:t>
      </w:r>
      <w:r>
        <w:t xml:space="preserve"> of wound area, normalised to control average). Lines and error bars represent mean ± SD, n=26 and 24 for control and </w:t>
      </w:r>
      <w:r w:rsidRPr="005A64C5">
        <w:rPr>
          <w:i/>
        </w:rPr>
        <w:t>UAS-spz*</w:t>
      </w:r>
      <w:r>
        <w:t xml:space="preserve"> embryos respectively. Student’s t-test, p=0.097. White dashed ovals outline wound perimeter. Scale bars represent 20μm. </w:t>
      </w:r>
    </w:p>
    <w:p w14:paraId="7143D76C" w14:textId="77777777" w:rsidR="004275D8" w:rsidRDefault="004275D8" w:rsidP="004275D8">
      <w:pPr>
        <w:pStyle w:val="Thesisnormal"/>
      </w:pPr>
    </w:p>
    <w:p w14:paraId="52AC4A36" w14:textId="77777777" w:rsidR="004275D8" w:rsidRDefault="004275D8" w:rsidP="004275D8">
      <w:pPr>
        <w:pStyle w:val="Thesisnormal"/>
      </w:pPr>
    </w:p>
    <w:p w14:paraId="36A7DCC0" w14:textId="77777777" w:rsidR="004275D8" w:rsidRDefault="004275D8" w:rsidP="004275D8">
      <w:pPr>
        <w:pStyle w:val="Thesisnormal"/>
      </w:pPr>
    </w:p>
    <w:p w14:paraId="60CC7123" w14:textId="77777777" w:rsidR="004275D8" w:rsidRDefault="004275D8" w:rsidP="004275D8">
      <w:pPr>
        <w:pStyle w:val="Thesisnormal"/>
      </w:pPr>
    </w:p>
    <w:p w14:paraId="1E1D3F2F" w14:textId="77777777" w:rsidR="004275D8" w:rsidRDefault="004275D8" w:rsidP="004275D8">
      <w:pPr>
        <w:pStyle w:val="Thesisnormal"/>
      </w:pPr>
    </w:p>
    <w:p w14:paraId="630D9E07" w14:textId="77777777" w:rsidR="004275D8" w:rsidRDefault="004275D8" w:rsidP="004275D8">
      <w:pPr>
        <w:pStyle w:val="Thesisnormal"/>
      </w:pPr>
    </w:p>
    <w:p w14:paraId="1C7455FA" w14:textId="77777777" w:rsidR="004275D8" w:rsidRDefault="004275D8" w:rsidP="004275D8">
      <w:pPr>
        <w:pStyle w:val="Thesisnormal"/>
      </w:pPr>
    </w:p>
    <w:p w14:paraId="36130CB8" w14:textId="77777777" w:rsidR="004275D8" w:rsidRDefault="004275D8" w:rsidP="004275D8">
      <w:pPr>
        <w:pStyle w:val="Thesisnormal"/>
      </w:pPr>
    </w:p>
    <w:p w14:paraId="13DBD1D4" w14:textId="77777777" w:rsidR="004275D8" w:rsidRDefault="004275D8" w:rsidP="004275D8">
      <w:pPr>
        <w:pStyle w:val="Thesisnormal"/>
      </w:pPr>
    </w:p>
    <w:p w14:paraId="730D6377" w14:textId="77777777" w:rsidR="004275D8" w:rsidRDefault="004275D8" w:rsidP="004275D8">
      <w:pPr>
        <w:pStyle w:val="Thesisnormal"/>
      </w:pPr>
    </w:p>
    <w:p w14:paraId="1CDC17D5" w14:textId="77777777" w:rsidR="004275D8" w:rsidRDefault="004275D8" w:rsidP="004275D8">
      <w:pPr>
        <w:pStyle w:val="Heading2"/>
      </w:pPr>
      <w:bookmarkStart w:id="193" w:name="_Toc4589361"/>
      <w:r>
        <w:lastRenderedPageBreak/>
        <w:t>4.3 Discussion</w:t>
      </w:r>
      <w:bookmarkEnd w:id="193"/>
    </w:p>
    <w:p w14:paraId="428B1175" w14:textId="77777777" w:rsidR="004275D8" w:rsidRDefault="004275D8" w:rsidP="004275D8">
      <w:pPr>
        <w:pStyle w:val="Thesisnormal"/>
      </w:pPr>
    </w:p>
    <w:p w14:paraId="6C298F7E" w14:textId="2BD52E3E" w:rsidR="004275D8" w:rsidRPr="006F07F1" w:rsidRDefault="004275D8" w:rsidP="004275D8">
      <w:pPr>
        <w:pStyle w:val="Thesisnormal"/>
      </w:pPr>
      <w:r w:rsidRPr="00414031">
        <w:t>In this chapter,</w:t>
      </w:r>
      <w:r>
        <w:t xml:space="preserve"> we screened pathways associated with macrophage polarisation using candidate genes taken from the vertebrate literature to determine if these pathways could modulate </w:t>
      </w:r>
      <w:r>
        <w:rPr>
          <w:i/>
        </w:rPr>
        <w:t>Drosophila</w:t>
      </w:r>
      <w:r>
        <w:t xml:space="preserve"> hemocyte behaviour and phenotypes </w:t>
      </w:r>
      <w:r>
        <w:fldChar w:fldCharType="begin"/>
      </w:r>
      <w:r w:rsidR="000A209C">
        <w:instrText xml:space="preserve"> ADDIN ZOTERO_ITEM CSL_CITATION {"citationID":"JA4R5RP7","properties":{"formattedCitation":"(27,124)","plainCitation":"(27,124)","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J."}],"issued":{"date-parts":[["2017"]]}}},{"id":1284,"uris":["http://zotero.org/users/952979/items/N38NZG8H"],"uri":["http://zotero.org/users/952979/items/N38NZG8H"],"itemData":{"id":1284,"type":"article-journal","title":"Polarization of immune responses in fish: The ‘macrophages first’ point of view","container-title":"Molecular Immunology","source":"ScienceDirect","abstract":"In this review, we support taking polarized immune responses in teleost fish from a ‘macrophage first’ point of view, a hypothesis that reverts the dichotomous T helper (TH)1 and TH2 driving forces by building on the idea of conservation of innate immune responses in lower vertebrates. It is plausible that the initial trigger for macrophage polarization into M1 (inflammation) or M2 (healing) could rely only on sensing microbial/parasite infection or other innate danger signals, without the influence of adaptive immunity. Given the long and ongoing debate on the presence/absence of a typical TH1 cytokine environment and, in particular, TH2 cytokine environment in fish immune responses, it stands out that the presence of macrophages with polarized phenotypes, alike M1 and M2, have been relatively easy to demonstrate for fish. We summarize in short present knowledge in teleost fish on those cytokines considered most critical to the dichotomous development of TH1/M1 and TH2/M2 polarization, in particular, but not exclusively, interferon-γ and interleukin (IL)-4/IL-13. We review, in more detail, polarization of fish immune responses taken from the macrophage point of view for which we adopted the simple nomenclature of M1 and M2. We discuss inducible nitric oxide synthase, or NOS-2, as a reliable M1 marker and arginase-2 as a reliable M2 marker for teleost fish and discuss the value of these macrophage markers for the generation of zebrafish reporter lines to study M1/M2 polarization in vivo.","URL":"http://www.sciencedirect.com/science/article/pii/S0161589015300894","DOI":"10.1016/j.molimm.2015.09.026","ISSN":"0161-5890","shortTitle":"Polarization of immune responses in fish","journalAbbreviation":"Molecular Immunology","author":[{"family":"Wiegertjes","given":"Geert F."},{"family":"Wentzel","given":"Annelieke S."},{"family":"Spaink","given":"Herman P."},{"family":"Elks","given":"Philip M."},{"family":"Fink","given":"Inge R."}],"issued":{"date-parts":[["2015"]]},"accessed":{"date-parts":[["2015",11,11]]}}}],"schema":"https://github.com/citation-style-language/schema/raw/master/csl-citation.json"} </w:instrText>
      </w:r>
      <w:r>
        <w:fldChar w:fldCharType="separate"/>
      </w:r>
      <w:r w:rsidR="004A1963" w:rsidRPr="004A1963">
        <w:rPr>
          <w:rFonts w:ascii="Calibri" w:hAnsi="Calibri"/>
        </w:rPr>
        <w:t>(27,124)</w:t>
      </w:r>
      <w:r>
        <w:fldChar w:fldCharType="end"/>
      </w:r>
      <w:r>
        <w:t xml:space="preserve"> (Table 4.2). W</w:t>
      </w:r>
      <w:r w:rsidRPr="00414031">
        <w:t>e have demonstrated that</w:t>
      </w:r>
      <w:r>
        <w:t xml:space="preserve">, when normal oxidative phosphorylation is limited within hemocytes to promote a more glycolytic metabolism, hemocytes display reduced levels of efferocytosis with enhanced responses to wounding and upregulation of pro-inflammatory genes. Therefore, the data presented here expands the current literature to show that metabolism can drive inflammatory functions in </w:t>
      </w:r>
      <w:r>
        <w:rPr>
          <w:i/>
        </w:rPr>
        <w:t>Drosophila</w:t>
      </w:r>
      <w:r>
        <w:t xml:space="preserve"> immune cells. Furthermore, our qPCR data provides evidence in support our hypothesis that </w:t>
      </w:r>
      <w:r>
        <w:rPr>
          <w:i/>
        </w:rPr>
        <w:t>Drosophila</w:t>
      </w:r>
      <w:r>
        <w:t xml:space="preserve"> hemocytes can exhibit pro- and anti-inflammatory phenotypes, akin to mammalian macrophages, as manipulations in such pathways produce similar phenotypes in macrophages </w:t>
      </w:r>
      <w:r>
        <w:fldChar w:fldCharType="begin"/>
      </w:r>
      <w:r w:rsidR="000A209C">
        <w:instrText xml:space="preserve"> ADDIN ZOTERO_ITEM CSL_CITATION {"citationID":"e64BBEM7","properties":{"formattedCitation":"(27,391)","plainCitation":"(27,391)","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J."}],"issued":{"date-parts":[["2017"]]}}},{"id":1661,"uris":["http://zotero.org/users/952979/items/I6CH7N6U"],"uri":["http://zotero.org/users/952979/items/I6CH7N6U"],"itemData":{"id":1661,"type":"article-journal","title":"Immunometabolism governs dendritic cell and macrophage function","container-title":"The Journal of Experimental Medicine","page":"15-23","volume":"213","issue":"1","source":"PubMed","abstract":"Recent studies on intracellular metabolism in dendritic cells (DCs) and macrophages provide new insights on the functioning of these critical controllers of innate and adaptive immunity. Both cell types undergo profound metabolic reprogramming in response to environmental cues, such as hypoxia or nutrient alterations, but importantly also in response to danger signals and cytokines. Metabolites such as succinate and citrate have a direct impact on the functioning of macrophages. Immunogenicity and tolerogenicity of DCs is also determined by anabolic and catabolic processes, respectively. These findings provide new prospects for therapeutic manipulation in inflammatory diseases and cancer.","DOI":"10.1084/jem.20151570","ISSN":"1540-9538","note":"PMID: 26694970\nPMCID: PMC4710204","journalAbbreviation":"J. Exp. Med.","language":"eng","author":[{"family":"O'Neill","given":"Luke A. J."},{"family":"Pearce","given":"Edward J."}],"issued":{"date-parts":[["2016",1,11]]}}}],"schema":"https://github.com/citation-style-language/schema/raw/master/csl-citation.json"} </w:instrText>
      </w:r>
      <w:r>
        <w:fldChar w:fldCharType="separate"/>
      </w:r>
      <w:r w:rsidR="004A1963" w:rsidRPr="004A1963">
        <w:rPr>
          <w:rFonts w:ascii="Calibri" w:hAnsi="Calibri"/>
        </w:rPr>
        <w:t>(27,391)</w:t>
      </w:r>
      <w:r>
        <w:fldChar w:fldCharType="end"/>
      </w:r>
      <w:r>
        <w:t xml:space="preserve">. Additionally, these subtypes are controlled by similar processes to those that govern macrophage polarisation in mammalians, e.g. alterations in metabolic programming. However, our data also displays inconsistencies with observations made in mammalian systems, such as AMPK possibly exerting pro-inflammatory effects in hemocytes, in contrast to its anti-inflammatory function in macrophages. Additionally, further investigations are required to confirm that we are altering hemocyte phenotypes, as opposed to simply manipulating pathways responsible for hemocyte responses to sites of injury. </w:t>
      </w:r>
    </w:p>
    <w:p w14:paraId="1172B463" w14:textId="77777777" w:rsidR="004275D8" w:rsidRDefault="004275D8" w:rsidP="004275D8">
      <w:pPr>
        <w:pStyle w:val="Thesisnormal"/>
      </w:pPr>
    </w:p>
    <w:tbl>
      <w:tblPr>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3114"/>
        <w:gridCol w:w="3345"/>
      </w:tblGrid>
      <w:tr w:rsidR="004275D8" w14:paraId="371A68BA" w14:textId="77777777" w:rsidTr="008C74A4">
        <w:tc>
          <w:tcPr>
            <w:tcW w:w="8990" w:type="dxa"/>
            <w:gridSpan w:val="3"/>
            <w:vAlign w:val="center"/>
          </w:tcPr>
          <w:p w14:paraId="787EE4BF" w14:textId="77777777" w:rsidR="004275D8" w:rsidRPr="00CC6E13" w:rsidRDefault="004275D8" w:rsidP="000A0B44">
            <w:pPr>
              <w:pStyle w:val="Thesisnormal"/>
              <w:jc w:val="center"/>
              <w:rPr>
                <w:b/>
                <w:u w:val="single"/>
              </w:rPr>
            </w:pPr>
            <w:r w:rsidRPr="00CC6E13">
              <w:rPr>
                <w:b/>
                <w:u w:val="single"/>
              </w:rPr>
              <w:t xml:space="preserve">Table 4.2 Results of screening macrophage polarisation pathways in </w:t>
            </w:r>
            <w:r w:rsidRPr="00CC6E13">
              <w:rPr>
                <w:b/>
                <w:i/>
                <w:u w:val="single"/>
              </w:rPr>
              <w:t>Drosophila</w:t>
            </w:r>
          </w:p>
        </w:tc>
      </w:tr>
      <w:tr w:rsidR="004275D8" w14:paraId="6D4D11E0" w14:textId="77777777" w:rsidTr="008C74A4">
        <w:tc>
          <w:tcPr>
            <w:tcW w:w="2531" w:type="dxa"/>
            <w:vAlign w:val="center"/>
          </w:tcPr>
          <w:p w14:paraId="0B306C6F" w14:textId="77777777" w:rsidR="004275D8" w:rsidRPr="00CC6E13" w:rsidRDefault="004275D8" w:rsidP="000A0B44">
            <w:pPr>
              <w:pStyle w:val="Thesisnormal"/>
              <w:jc w:val="center"/>
              <w:rPr>
                <w:b/>
                <w:u w:val="single"/>
              </w:rPr>
            </w:pPr>
            <w:r>
              <w:rPr>
                <w:b/>
                <w:u w:val="single"/>
              </w:rPr>
              <w:t>Hemocyte-specific ma</w:t>
            </w:r>
            <w:r w:rsidRPr="00CC6E13">
              <w:rPr>
                <w:b/>
                <w:u w:val="single"/>
              </w:rPr>
              <w:t>nipulation</w:t>
            </w:r>
          </w:p>
        </w:tc>
        <w:tc>
          <w:tcPr>
            <w:tcW w:w="3114" w:type="dxa"/>
            <w:vAlign w:val="center"/>
          </w:tcPr>
          <w:p w14:paraId="5BBC8F07" w14:textId="77777777" w:rsidR="004275D8" w:rsidRPr="00CC6E13" w:rsidRDefault="004275D8" w:rsidP="000A0B44">
            <w:pPr>
              <w:pStyle w:val="Thesisnormal"/>
              <w:jc w:val="center"/>
              <w:rPr>
                <w:b/>
                <w:u w:val="single"/>
              </w:rPr>
            </w:pPr>
            <w:r w:rsidRPr="00CC6E13">
              <w:rPr>
                <w:b/>
                <w:u w:val="single"/>
              </w:rPr>
              <w:t>Justification</w:t>
            </w:r>
          </w:p>
        </w:tc>
        <w:tc>
          <w:tcPr>
            <w:tcW w:w="3345" w:type="dxa"/>
            <w:vAlign w:val="center"/>
          </w:tcPr>
          <w:p w14:paraId="6BC7DBED" w14:textId="77777777" w:rsidR="004275D8" w:rsidRPr="00CC6E13" w:rsidRDefault="004275D8" w:rsidP="000A0B44">
            <w:pPr>
              <w:pStyle w:val="Thesisnormal"/>
              <w:jc w:val="center"/>
              <w:rPr>
                <w:b/>
                <w:u w:val="single"/>
              </w:rPr>
            </w:pPr>
            <w:r w:rsidRPr="00CC6E13">
              <w:rPr>
                <w:b/>
                <w:u w:val="single"/>
              </w:rPr>
              <w:t>Observed hemocyte behaviour</w:t>
            </w:r>
          </w:p>
        </w:tc>
      </w:tr>
      <w:tr w:rsidR="004275D8" w14:paraId="177B7972" w14:textId="77777777" w:rsidTr="008C74A4">
        <w:tc>
          <w:tcPr>
            <w:tcW w:w="2531" w:type="dxa"/>
            <w:vAlign w:val="center"/>
          </w:tcPr>
          <w:p w14:paraId="40B3A51A" w14:textId="77777777" w:rsidR="004275D8" w:rsidRPr="00582909" w:rsidRDefault="004275D8" w:rsidP="000A0B44">
            <w:pPr>
              <w:pStyle w:val="Thesisnormal"/>
              <w:jc w:val="center"/>
              <w:rPr>
                <w:i/>
              </w:rPr>
            </w:pPr>
            <w:r w:rsidRPr="00582909">
              <w:rPr>
                <w:i/>
              </w:rPr>
              <w:t>UAS-Nos</w:t>
            </w:r>
          </w:p>
        </w:tc>
        <w:tc>
          <w:tcPr>
            <w:tcW w:w="3114" w:type="dxa"/>
            <w:vAlign w:val="center"/>
          </w:tcPr>
          <w:p w14:paraId="46D1B17C" w14:textId="77777777" w:rsidR="004275D8" w:rsidRDefault="004275D8" w:rsidP="000A0B44">
            <w:pPr>
              <w:pStyle w:val="Thesisnormal"/>
              <w:jc w:val="center"/>
            </w:pPr>
            <w:r>
              <w:t xml:space="preserve">Increase levels of </w:t>
            </w:r>
            <w:r w:rsidRPr="00582909">
              <w:rPr>
                <w:i/>
              </w:rPr>
              <w:t>NOS</w:t>
            </w:r>
            <w:r>
              <w:t xml:space="preserve"> within hemocytes</w:t>
            </w:r>
          </w:p>
        </w:tc>
        <w:tc>
          <w:tcPr>
            <w:tcW w:w="3345" w:type="dxa"/>
            <w:vAlign w:val="center"/>
          </w:tcPr>
          <w:p w14:paraId="7592B01F" w14:textId="77777777" w:rsidR="004275D8" w:rsidRDefault="004275D8" w:rsidP="000A0B44">
            <w:pPr>
              <w:pStyle w:val="Thesisnormal"/>
              <w:jc w:val="center"/>
            </w:pPr>
            <w:r>
              <w:t>No change from controls</w:t>
            </w:r>
          </w:p>
        </w:tc>
      </w:tr>
      <w:tr w:rsidR="004275D8" w14:paraId="6C0DE20C" w14:textId="77777777" w:rsidTr="008C74A4">
        <w:tc>
          <w:tcPr>
            <w:tcW w:w="2531" w:type="dxa"/>
            <w:vAlign w:val="center"/>
          </w:tcPr>
          <w:p w14:paraId="76EEB858" w14:textId="77777777" w:rsidR="004275D8" w:rsidRPr="00582909" w:rsidRDefault="004275D8" w:rsidP="000A0B44">
            <w:pPr>
              <w:pStyle w:val="Thesisnormal"/>
              <w:jc w:val="center"/>
              <w:rPr>
                <w:i/>
              </w:rPr>
            </w:pPr>
            <w:r w:rsidRPr="00582909">
              <w:rPr>
                <w:i/>
              </w:rPr>
              <w:t>RNAi-Nos</w:t>
            </w:r>
          </w:p>
        </w:tc>
        <w:tc>
          <w:tcPr>
            <w:tcW w:w="3114" w:type="dxa"/>
            <w:vAlign w:val="center"/>
          </w:tcPr>
          <w:p w14:paraId="3F22EF12" w14:textId="77777777" w:rsidR="004275D8" w:rsidRDefault="004275D8" w:rsidP="000A0B44">
            <w:pPr>
              <w:pStyle w:val="Thesisnormal"/>
              <w:jc w:val="center"/>
            </w:pPr>
            <w:r>
              <w:t xml:space="preserve">Decrease levels of </w:t>
            </w:r>
            <w:r w:rsidRPr="00582909">
              <w:rPr>
                <w:i/>
              </w:rPr>
              <w:t>NOS</w:t>
            </w:r>
            <w:r>
              <w:t xml:space="preserve"> within hemocytes</w:t>
            </w:r>
          </w:p>
        </w:tc>
        <w:tc>
          <w:tcPr>
            <w:tcW w:w="3345" w:type="dxa"/>
            <w:vAlign w:val="center"/>
          </w:tcPr>
          <w:p w14:paraId="3A3A5CFB" w14:textId="77777777" w:rsidR="004275D8" w:rsidRDefault="004275D8" w:rsidP="000A0B44">
            <w:pPr>
              <w:pStyle w:val="Thesisnormal"/>
              <w:jc w:val="center"/>
            </w:pPr>
            <w:r>
              <w:t>No change from controls</w:t>
            </w:r>
          </w:p>
        </w:tc>
      </w:tr>
      <w:tr w:rsidR="004275D8" w14:paraId="79E06A8F" w14:textId="77777777" w:rsidTr="008C74A4">
        <w:tc>
          <w:tcPr>
            <w:tcW w:w="2531" w:type="dxa"/>
            <w:vAlign w:val="center"/>
          </w:tcPr>
          <w:p w14:paraId="6BA5D088" w14:textId="77777777" w:rsidR="004275D8" w:rsidRPr="00582909" w:rsidRDefault="004275D8" w:rsidP="000A0B44">
            <w:pPr>
              <w:pStyle w:val="Thesisnormal"/>
              <w:jc w:val="center"/>
              <w:rPr>
                <w:i/>
              </w:rPr>
            </w:pPr>
            <w:r w:rsidRPr="00582909">
              <w:rPr>
                <w:i/>
              </w:rPr>
              <w:t>RNAi-Arg</w:t>
            </w:r>
          </w:p>
        </w:tc>
        <w:tc>
          <w:tcPr>
            <w:tcW w:w="3114" w:type="dxa"/>
            <w:vAlign w:val="center"/>
          </w:tcPr>
          <w:p w14:paraId="533DDA15" w14:textId="77777777" w:rsidR="004275D8" w:rsidRDefault="004275D8" w:rsidP="000A0B44">
            <w:pPr>
              <w:pStyle w:val="Thesisnormal"/>
              <w:jc w:val="center"/>
            </w:pPr>
            <w:r>
              <w:t xml:space="preserve">Decrease levels of </w:t>
            </w:r>
            <w:r w:rsidRPr="00582909">
              <w:rPr>
                <w:i/>
              </w:rPr>
              <w:t>Arg</w:t>
            </w:r>
            <w:r>
              <w:t xml:space="preserve"> within hemocytes</w:t>
            </w:r>
          </w:p>
        </w:tc>
        <w:tc>
          <w:tcPr>
            <w:tcW w:w="3345" w:type="dxa"/>
            <w:vAlign w:val="center"/>
          </w:tcPr>
          <w:p w14:paraId="06E42808" w14:textId="77777777" w:rsidR="004275D8" w:rsidRDefault="004275D8" w:rsidP="000A0B44">
            <w:pPr>
              <w:pStyle w:val="Thesisnormal"/>
              <w:jc w:val="center"/>
            </w:pPr>
            <w:r>
              <w:t>No change from controls</w:t>
            </w:r>
          </w:p>
        </w:tc>
      </w:tr>
      <w:tr w:rsidR="004275D8" w14:paraId="36735CC7" w14:textId="77777777" w:rsidTr="008C74A4">
        <w:tc>
          <w:tcPr>
            <w:tcW w:w="2531" w:type="dxa"/>
            <w:vAlign w:val="center"/>
          </w:tcPr>
          <w:p w14:paraId="3164DDDF" w14:textId="77777777" w:rsidR="004275D8" w:rsidRPr="00582909" w:rsidRDefault="004275D8" w:rsidP="000A0B44">
            <w:pPr>
              <w:pStyle w:val="Thesisnormal"/>
              <w:jc w:val="center"/>
              <w:rPr>
                <w:i/>
              </w:rPr>
            </w:pPr>
            <w:r w:rsidRPr="00582909">
              <w:rPr>
                <w:i/>
              </w:rPr>
              <w:lastRenderedPageBreak/>
              <w:t>UAS-Cat</w:t>
            </w:r>
          </w:p>
        </w:tc>
        <w:tc>
          <w:tcPr>
            <w:tcW w:w="3114" w:type="dxa"/>
            <w:vAlign w:val="center"/>
          </w:tcPr>
          <w:p w14:paraId="05A07979" w14:textId="77777777" w:rsidR="004275D8" w:rsidRDefault="004275D8" w:rsidP="000A0B44">
            <w:pPr>
              <w:pStyle w:val="Thesisnormal"/>
              <w:jc w:val="center"/>
            </w:pPr>
            <w:r>
              <w:t>Reduce ROS levels in hemocytes</w:t>
            </w:r>
          </w:p>
        </w:tc>
        <w:tc>
          <w:tcPr>
            <w:tcW w:w="3345" w:type="dxa"/>
            <w:vAlign w:val="center"/>
          </w:tcPr>
          <w:p w14:paraId="7860D90A" w14:textId="77777777" w:rsidR="004275D8" w:rsidRDefault="004275D8" w:rsidP="000A0B44">
            <w:pPr>
              <w:pStyle w:val="Thesisnormal"/>
              <w:jc w:val="center"/>
            </w:pPr>
            <w:r>
              <w:t>Reduced numbers of hemocytes responding to injury</w:t>
            </w:r>
          </w:p>
        </w:tc>
      </w:tr>
      <w:tr w:rsidR="004275D8" w14:paraId="53443FBA" w14:textId="77777777" w:rsidTr="008C74A4">
        <w:tc>
          <w:tcPr>
            <w:tcW w:w="2531" w:type="dxa"/>
            <w:vAlign w:val="center"/>
          </w:tcPr>
          <w:p w14:paraId="02BB19C9" w14:textId="77777777" w:rsidR="004275D8" w:rsidRPr="00582909" w:rsidRDefault="004275D8" w:rsidP="000A0B44">
            <w:pPr>
              <w:pStyle w:val="Thesisnormal"/>
              <w:jc w:val="center"/>
              <w:rPr>
                <w:i/>
              </w:rPr>
            </w:pPr>
            <w:r w:rsidRPr="00582909">
              <w:rPr>
                <w:i/>
              </w:rPr>
              <w:t>RNAi-GSS</w:t>
            </w:r>
          </w:p>
        </w:tc>
        <w:tc>
          <w:tcPr>
            <w:tcW w:w="3114" w:type="dxa"/>
            <w:vAlign w:val="center"/>
          </w:tcPr>
          <w:p w14:paraId="5ED8DF2D" w14:textId="77777777" w:rsidR="004275D8" w:rsidRDefault="004275D8" w:rsidP="000A0B44">
            <w:pPr>
              <w:pStyle w:val="Thesisnormal"/>
              <w:jc w:val="center"/>
            </w:pPr>
            <w:r>
              <w:t>Reduce ROS levels in hemocytes</w:t>
            </w:r>
          </w:p>
        </w:tc>
        <w:tc>
          <w:tcPr>
            <w:tcW w:w="3345" w:type="dxa"/>
            <w:vAlign w:val="center"/>
          </w:tcPr>
          <w:p w14:paraId="40F6B32B" w14:textId="77777777" w:rsidR="004275D8" w:rsidRDefault="004275D8" w:rsidP="000A0B44">
            <w:pPr>
              <w:pStyle w:val="Thesisnormal"/>
              <w:jc w:val="center"/>
            </w:pPr>
            <w:r>
              <w:t>No change from controls</w:t>
            </w:r>
          </w:p>
        </w:tc>
      </w:tr>
      <w:tr w:rsidR="004275D8" w14:paraId="38F9A8A8" w14:textId="77777777" w:rsidTr="008C74A4">
        <w:tc>
          <w:tcPr>
            <w:tcW w:w="2531" w:type="dxa"/>
            <w:vAlign w:val="center"/>
          </w:tcPr>
          <w:p w14:paraId="7C4DAADE" w14:textId="77777777" w:rsidR="004275D8" w:rsidRPr="00582909" w:rsidRDefault="004275D8" w:rsidP="000A0B44">
            <w:pPr>
              <w:pStyle w:val="Thesisnormal"/>
              <w:jc w:val="center"/>
              <w:rPr>
                <w:i/>
              </w:rPr>
            </w:pPr>
            <w:r w:rsidRPr="00582909">
              <w:rPr>
                <w:i/>
              </w:rPr>
              <w:t>RNAi-Keap1</w:t>
            </w:r>
          </w:p>
        </w:tc>
        <w:tc>
          <w:tcPr>
            <w:tcW w:w="3114" w:type="dxa"/>
            <w:vAlign w:val="center"/>
          </w:tcPr>
          <w:p w14:paraId="4AA100DB" w14:textId="77777777" w:rsidR="004275D8" w:rsidRDefault="004275D8" w:rsidP="000A0B44">
            <w:pPr>
              <w:pStyle w:val="Thesisnormal"/>
              <w:jc w:val="center"/>
            </w:pPr>
            <w:r>
              <w:t>Increase levels of Nrf2, promoting inflammation</w:t>
            </w:r>
          </w:p>
        </w:tc>
        <w:tc>
          <w:tcPr>
            <w:tcW w:w="3345" w:type="dxa"/>
            <w:vAlign w:val="center"/>
          </w:tcPr>
          <w:p w14:paraId="1DAAB54A" w14:textId="77777777" w:rsidR="004275D8" w:rsidRDefault="004275D8" w:rsidP="000A0B44">
            <w:pPr>
              <w:pStyle w:val="Thesisnormal"/>
              <w:jc w:val="center"/>
            </w:pPr>
            <w:r>
              <w:t>No change from controls</w:t>
            </w:r>
          </w:p>
        </w:tc>
      </w:tr>
      <w:tr w:rsidR="004275D8" w14:paraId="644A0A15" w14:textId="77777777" w:rsidTr="008C74A4">
        <w:tc>
          <w:tcPr>
            <w:tcW w:w="2531" w:type="dxa"/>
            <w:vAlign w:val="center"/>
          </w:tcPr>
          <w:p w14:paraId="5CC80787" w14:textId="77777777" w:rsidR="004275D8" w:rsidRPr="00582909" w:rsidRDefault="004275D8" w:rsidP="000A0B44">
            <w:pPr>
              <w:pStyle w:val="Thesisnormal"/>
              <w:jc w:val="center"/>
              <w:rPr>
                <w:i/>
              </w:rPr>
            </w:pPr>
            <w:r w:rsidRPr="00582909">
              <w:rPr>
                <w:i/>
              </w:rPr>
              <w:t>RNAi-ND75</w:t>
            </w:r>
          </w:p>
        </w:tc>
        <w:tc>
          <w:tcPr>
            <w:tcW w:w="3114" w:type="dxa"/>
            <w:vAlign w:val="center"/>
          </w:tcPr>
          <w:p w14:paraId="00D59F5D" w14:textId="77777777" w:rsidR="004275D8" w:rsidRDefault="004275D8" w:rsidP="000A0B44">
            <w:pPr>
              <w:pStyle w:val="Thesisnormal"/>
              <w:jc w:val="center"/>
            </w:pPr>
            <w:r>
              <w:t>Disrupt the electron transport chain and increase ROS levels</w:t>
            </w:r>
          </w:p>
        </w:tc>
        <w:tc>
          <w:tcPr>
            <w:tcW w:w="3345" w:type="dxa"/>
            <w:vAlign w:val="center"/>
          </w:tcPr>
          <w:p w14:paraId="1E4F53AE" w14:textId="77777777" w:rsidR="004275D8" w:rsidRDefault="004275D8" w:rsidP="000A0B44">
            <w:pPr>
              <w:pStyle w:val="Thesisnormal"/>
              <w:jc w:val="center"/>
            </w:pPr>
            <w:r>
              <w:t>Reduced numbers of hemocytes responding to injury</w:t>
            </w:r>
          </w:p>
        </w:tc>
      </w:tr>
      <w:tr w:rsidR="004275D8" w14:paraId="287699BA" w14:textId="77777777" w:rsidTr="008C74A4">
        <w:tc>
          <w:tcPr>
            <w:tcW w:w="2531" w:type="dxa"/>
            <w:vAlign w:val="center"/>
          </w:tcPr>
          <w:p w14:paraId="0771C51A" w14:textId="77777777" w:rsidR="004275D8" w:rsidRPr="00582909" w:rsidRDefault="004275D8" w:rsidP="000A0B44">
            <w:pPr>
              <w:pStyle w:val="Thesisnormal"/>
              <w:jc w:val="center"/>
              <w:rPr>
                <w:i/>
              </w:rPr>
            </w:pPr>
            <w:r w:rsidRPr="00582909">
              <w:rPr>
                <w:i/>
              </w:rPr>
              <w:t>UAS-Sdh</w:t>
            </w:r>
          </w:p>
        </w:tc>
        <w:tc>
          <w:tcPr>
            <w:tcW w:w="3114" w:type="dxa"/>
            <w:vAlign w:val="center"/>
          </w:tcPr>
          <w:p w14:paraId="32A31CCF" w14:textId="77777777" w:rsidR="004275D8" w:rsidRDefault="004275D8" w:rsidP="000A0B44">
            <w:pPr>
              <w:pStyle w:val="Thesisnormal"/>
              <w:jc w:val="center"/>
            </w:pPr>
            <w:r>
              <w:t>Increase succinate dehydrogenase to mimic M1 macrophage metabolism</w:t>
            </w:r>
          </w:p>
        </w:tc>
        <w:tc>
          <w:tcPr>
            <w:tcW w:w="3345" w:type="dxa"/>
            <w:vAlign w:val="center"/>
          </w:tcPr>
          <w:p w14:paraId="36950B0A" w14:textId="77777777" w:rsidR="004275D8" w:rsidRDefault="004275D8" w:rsidP="000A0B44">
            <w:pPr>
              <w:pStyle w:val="Thesisnormal"/>
              <w:jc w:val="center"/>
            </w:pPr>
            <w:r>
              <w:t>No differences in hemocyte responses to wounding.</w:t>
            </w:r>
          </w:p>
          <w:p w14:paraId="0ED5504F" w14:textId="77777777" w:rsidR="004275D8" w:rsidRDefault="004275D8" w:rsidP="000A0B44">
            <w:pPr>
              <w:pStyle w:val="Thesisnormal"/>
              <w:jc w:val="center"/>
            </w:pPr>
            <w:r>
              <w:t>Decreased rate of efferocytosis</w:t>
            </w:r>
          </w:p>
        </w:tc>
      </w:tr>
      <w:tr w:rsidR="004275D8" w14:paraId="4D8B3C5F" w14:textId="77777777" w:rsidTr="008C74A4">
        <w:tc>
          <w:tcPr>
            <w:tcW w:w="2531" w:type="dxa"/>
            <w:vAlign w:val="center"/>
          </w:tcPr>
          <w:p w14:paraId="68F442CB" w14:textId="77777777" w:rsidR="004275D8" w:rsidRPr="00582909" w:rsidRDefault="004275D8" w:rsidP="000A0B44">
            <w:pPr>
              <w:pStyle w:val="Thesisnormal"/>
              <w:jc w:val="center"/>
              <w:rPr>
                <w:i/>
              </w:rPr>
            </w:pPr>
            <w:r w:rsidRPr="00582909">
              <w:rPr>
                <w:i/>
              </w:rPr>
              <w:t>RNAi-ND20</w:t>
            </w:r>
          </w:p>
        </w:tc>
        <w:tc>
          <w:tcPr>
            <w:tcW w:w="3114" w:type="dxa"/>
            <w:vAlign w:val="center"/>
          </w:tcPr>
          <w:p w14:paraId="7DB357DC" w14:textId="77777777" w:rsidR="004275D8" w:rsidRDefault="004275D8" w:rsidP="000A0B44">
            <w:pPr>
              <w:pStyle w:val="Thesisnormal"/>
              <w:jc w:val="center"/>
            </w:pPr>
            <w:r>
              <w:t>Disrupt the electron transport chain and increase ROS levels</w:t>
            </w:r>
          </w:p>
        </w:tc>
        <w:tc>
          <w:tcPr>
            <w:tcW w:w="3345" w:type="dxa"/>
            <w:vAlign w:val="center"/>
          </w:tcPr>
          <w:p w14:paraId="643E8543" w14:textId="77777777" w:rsidR="004275D8" w:rsidRDefault="004275D8" w:rsidP="000A0B44">
            <w:pPr>
              <w:pStyle w:val="Thesisnormal"/>
              <w:jc w:val="center"/>
            </w:pPr>
            <w:r>
              <w:t>No change from controls</w:t>
            </w:r>
          </w:p>
        </w:tc>
      </w:tr>
      <w:tr w:rsidR="004275D8" w14:paraId="7A73DE9E" w14:textId="77777777" w:rsidTr="008C74A4">
        <w:tc>
          <w:tcPr>
            <w:tcW w:w="2531" w:type="dxa"/>
            <w:vAlign w:val="center"/>
          </w:tcPr>
          <w:p w14:paraId="7197EAF7" w14:textId="77777777" w:rsidR="004275D8" w:rsidRPr="00582909" w:rsidRDefault="004275D8" w:rsidP="000A0B44">
            <w:pPr>
              <w:pStyle w:val="Thesisnormal"/>
              <w:jc w:val="center"/>
              <w:rPr>
                <w:i/>
              </w:rPr>
            </w:pPr>
            <w:r w:rsidRPr="00582909">
              <w:rPr>
                <w:i/>
              </w:rPr>
              <w:t>RNAi-HexA</w:t>
            </w:r>
          </w:p>
        </w:tc>
        <w:tc>
          <w:tcPr>
            <w:tcW w:w="3114" w:type="dxa"/>
            <w:vAlign w:val="center"/>
          </w:tcPr>
          <w:p w14:paraId="6C1DF97E" w14:textId="77777777" w:rsidR="004275D8" w:rsidRDefault="004275D8" w:rsidP="000A0B44">
            <w:pPr>
              <w:pStyle w:val="Thesisnormal"/>
              <w:jc w:val="center"/>
            </w:pPr>
            <w:r>
              <w:t>Reduce glycolysis to decrease inflammatory phenotypes</w:t>
            </w:r>
          </w:p>
        </w:tc>
        <w:tc>
          <w:tcPr>
            <w:tcW w:w="3345" w:type="dxa"/>
            <w:vAlign w:val="center"/>
          </w:tcPr>
          <w:p w14:paraId="54F9490A" w14:textId="77777777" w:rsidR="004275D8" w:rsidRDefault="004275D8" w:rsidP="000A0B44">
            <w:pPr>
              <w:pStyle w:val="Thesisnormal"/>
              <w:jc w:val="center"/>
            </w:pPr>
            <w:r>
              <w:t>No change from controls</w:t>
            </w:r>
          </w:p>
        </w:tc>
      </w:tr>
      <w:tr w:rsidR="004275D8" w14:paraId="28514D39" w14:textId="77777777" w:rsidTr="008C74A4">
        <w:tc>
          <w:tcPr>
            <w:tcW w:w="2531" w:type="dxa"/>
            <w:vAlign w:val="center"/>
          </w:tcPr>
          <w:p w14:paraId="4A30595F" w14:textId="77777777" w:rsidR="004275D8" w:rsidRPr="00582909" w:rsidRDefault="004275D8" w:rsidP="000A0B44">
            <w:pPr>
              <w:pStyle w:val="Thesisnormal"/>
              <w:jc w:val="center"/>
              <w:rPr>
                <w:i/>
              </w:rPr>
            </w:pPr>
            <w:r w:rsidRPr="00582909">
              <w:rPr>
                <w:i/>
              </w:rPr>
              <w:t>RNAi-pdh</w:t>
            </w:r>
          </w:p>
        </w:tc>
        <w:tc>
          <w:tcPr>
            <w:tcW w:w="3114" w:type="dxa"/>
            <w:vAlign w:val="center"/>
          </w:tcPr>
          <w:p w14:paraId="3BE162A9" w14:textId="77777777" w:rsidR="004275D8" w:rsidRDefault="004275D8" w:rsidP="000A0B44">
            <w:pPr>
              <w:pStyle w:val="Thesisnormal"/>
              <w:jc w:val="center"/>
            </w:pPr>
            <w:r>
              <w:t>Reduce oxidative phosphorylation to promote glycolysis</w:t>
            </w:r>
          </w:p>
        </w:tc>
        <w:tc>
          <w:tcPr>
            <w:tcW w:w="3345" w:type="dxa"/>
            <w:vAlign w:val="center"/>
          </w:tcPr>
          <w:p w14:paraId="5092BC5E" w14:textId="77777777" w:rsidR="004275D8" w:rsidRDefault="004275D8" w:rsidP="000A0B44">
            <w:pPr>
              <w:pStyle w:val="Thesisnormal"/>
              <w:jc w:val="center"/>
            </w:pPr>
            <w:r>
              <w:t>No change from controls</w:t>
            </w:r>
          </w:p>
        </w:tc>
      </w:tr>
      <w:tr w:rsidR="004275D8" w14:paraId="646A921E" w14:textId="77777777" w:rsidTr="008C74A4">
        <w:tc>
          <w:tcPr>
            <w:tcW w:w="2531" w:type="dxa"/>
            <w:vAlign w:val="center"/>
          </w:tcPr>
          <w:p w14:paraId="520C4CD6" w14:textId="77777777" w:rsidR="004275D8" w:rsidRPr="00582909" w:rsidRDefault="004275D8" w:rsidP="000A0B44">
            <w:pPr>
              <w:pStyle w:val="Thesisnormal"/>
              <w:jc w:val="center"/>
              <w:rPr>
                <w:i/>
              </w:rPr>
            </w:pPr>
            <w:r w:rsidRPr="00582909">
              <w:rPr>
                <w:i/>
              </w:rPr>
              <w:t>RNAi-pdp</w:t>
            </w:r>
          </w:p>
        </w:tc>
        <w:tc>
          <w:tcPr>
            <w:tcW w:w="3114" w:type="dxa"/>
            <w:vAlign w:val="center"/>
          </w:tcPr>
          <w:p w14:paraId="3CEC925F" w14:textId="77777777" w:rsidR="004275D8" w:rsidRDefault="004275D8" w:rsidP="000A0B44">
            <w:pPr>
              <w:pStyle w:val="Thesisnormal"/>
              <w:jc w:val="center"/>
            </w:pPr>
            <w:r>
              <w:t>Reduce oxidative phosphorylation to promote glycolysis</w:t>
            </w:r>
          </w:p>
        </w:tc>
        <w:tc>
          <w:tcPr>
            <w:tcW w:w="3345" w:type="dxa"/>
            <w:vAlign w:val="center"/>
          </w:tcPr>
          <w:p w14:paraId="5AB81E2D" w14:textId="77777777" w:rsidR="004275D8" w:rsidRDefault="004275D8" w:rsidP="000A0B44">
            <w:pPr>
              <w:pStyle w:val="Thesisnormal"/>
              <w:jc w:val="center"/>
            </w:pPr>
            <w:r>
              <w:t>No change from controls</w:t>
            </w:r>
          </w:p>
        </w:tc>
      </w:tr>
      <w:tr w:rsidR="004275D8" w14:paraId="0FCCD7CE" w14:textId="77777777" w:rsidTr="008C74A4">
        <w:tc>
          <w:tcPr>
            <w:tcW w:w="2531" w:type="dxa"/>
            <w:vAlign w:val="center"/>
          </w:tcPr>
          <w:p w14:paraId="677466B5" w14:textId="77777777" w:rsidR="004275D8" w:rsidRPr="00582909" w:rsidRDefault="004275D8" w:rsidP="000A0B44">
            <w:pPr>
              <w:pStyle w:val="Thesisnormal"/>
              <w:jc w:val="center"/>
              <w:rPr>
                <w:i/>
              </w:rPr>
            </w:pPr>
            <w:r w:rsidRPr="00582909">
              <w:rPr>
                <w:i/>
              </w:rPr>
              <w:t>UAS-pdk</w:t>
            </w:r>
          </w:p>
        </w:tc>
        <w:tc>
          <w:tcPr>
            <w:tcW w:w="3114" w:type="dxa"/>
            <w:vAlign w:val="center"/>
          </w:tcPr>
          <w:p w14:paraId="7795177A" w14:textId="77777777" w:rsidR="004275D8" w:rsidRDefault="004275D8" w:rsidP="000A0B44">
            <w:pPr>
              <w:pStyle w:val="Thesisnormal"/>
              <w:jc w:val="center"/>
            </w:pPr>
            <w:r>
              <w:t>Reduce oxidative phosphorylation to promote glycolysis</w:t>
            </w:r>
          </w:p>
        </w:tc>
        <w:tc>
          <w:tcPr>
            <w:tcW w:w="3345" w:type="dxa"/>
            <w:vAlign w:val="center"/>
          </w:tcPr>
          <w:p w14:paraId="2DB2887A" w14:textId="77777777" w:rsidR="004275D8" w:rsidRDefault="004275D8" w:rsidP="000A0B44">
            <w:pPr>
              <w:pStyle w:val="Thesisnormal"/>
              <w:jc w:val="center"/>
            </w:pPr>
            <w:r>
              <w:t>Increased numbers of hemocytes responding to injury</w:t>
            </w:r>
          </w:p>
          <w:p w14:paraId="352A6C30" w14:textId="77777777" w:rsidR="004275D8" w:rsidRDefault="004275D8" w:rsidP="000A0B44">
            <w:pPr>
              <w:pStyle w:val="Thesisnormal"/>
              <w:jc w:val="center"/>
            </w:pPr>
            <w:r>
              <w:t>Decreased rate of efferocytosis</w:t>
            </w:r>
          </w:p>
          <w:p w14:paraId="37854C4C" w14:textId="77777777" w:rsidR="004275D8" w:rsidRDefault="004275D8" w:rsidP="000A0B44">
            <w:pPr>
              <w:pStyle w:val="Thesisnormal"/>
              <w:jc w:val="center"/>
            </w:pPr>
            <w:r>
              <w:t>Up-regulation of pro-inflammatory genes</w:t>
            </w:r>
          </w:p>
        </w:tc>
      </w:tr>
      <w:tr w:rsidR="004275D8" w14:paraId="3417B845" w14:textId="77777777" w:rsidTr="008C74A4">
        <w:tc>
          <w:tcPr>
            <w:tcW w:w="2531" w:type="dxa"/>
            <w:vAlign w:val="center"/>
          </w:tcPr>
          <w:p w14:paraId="407FA54B" w14:textId="77777777" w:rsidR="004275D8" w:rsidRPr="00582909" w:rsidRDefault="004275D8" w:rsidP="000A0B44">
            <w:pPr>
              <w:pStyle w:val="Thesisnormal"/>
              <w:jc w:val="center"/>
              <w:rPr>
                <w:i/>
              </w:rPr>
            </w:pPr>
            <w:r w:rsidRPr="00582909">
              <w:rPr>
                <w:i/>
              </w:rPr>
              <w:t>UAS-AMPK</w:t>
            </w:r>
          </w:p>
        </w:tc>
        <w:tc>
          <w:tcPr>
            <w:tcW w:w="3114" w:type="dxa"/>
            <w:vAlign w:val="center"/>
          </w:tcPr>
          <w:p w14:paraId="7BF51592" w14:textId="77777777" w:rsidR="004275D8" w:rsidRDefault="004275D8" w:rsidP="000A0B44">
            <w:pPr>
              <w:pStyle w:val="Thesisnormal"/>
              <w:jc w:val="center"/>
            </w:pPr>
            <w:r>
              <w:t>Increase oxidation of fatty acids, thereby promoting an M2-like phenotype</w:t>
            </w:r>
          </w:p>
        </w:tc>
        <w:tc>
          <w:tcPr>
            <w:tcW w:w="3345" w:type="dxa"/>
            <w:vAlign w:val="center"/>
          </w:tcPr>
          <w:p w14:paraId="04496E64" w14:textId="77777777" w:rsidR="004275D8" w:rsidRDefault="004275D8" w:rsidP="000A0B44">
            <w:pPr>
              <w:pStyle w:val="Thesisnormal"/>
              <w:jc w:val="center"/>
            </w:pPr>
            <w:r>
              <w:t>No change from controls</w:t>
            </w:r>
          </w:p>
          <w:p w14:paraId="101C989F" w14:textId="77777777" w:rsidR="004275D8" w:rsidRDefault="004275D8" w:rsidP="000A0B44">
            <w:pPr>
              <w:pStyle w:val="Thesisnormal"/>
              <w:jc w:val="center"/>
            </w:pPr>
            <w:r>
              <w:t>Decreased rate of efferocytosis</w:t>
            </w:r>
          </w:p>
        </w:tc>
      </w:tr>
      <w:tr w:rsidR="004275D8" w14:paraId="0B5ABD2F" w14:textId="77777777" w:rsidTr="008C74A4">
        <w:tc>
          <w:tcPr>
            <w:tcW w:w="2531" w:type="dxa"/>
            <w:vAlign w:val="center"/>
          </w:tcPr>
          <w:p w14:paraId="0D0504DD" w14:textId="77777777" w:rsidR="004275D8" w:rsidRPr="00582909" w:rsidRDefault="004275D8" w:rsidP="000A0B44">
            <w:pPr>
              <w:pStyle w:val="Thesisnormal"/>
              <w:jc w:val="center"/>
              <w:rPr>
                <w:i/>
              </w:rPr>
            </w:pPr>
            <w:r w:rsidRPr="00582909">
              <w:rPr>
                <w:i/>
              </w:rPr>
              <w:lastRenderedPageBreak/>
              <w:t>UAS-spz*</w:t>
            </w:r>
          </w:p>
        </w:tc>
        <w:tc>
          <w:tcPr>
            <w:tcW w:w="3114" w:type="dxa"/>
            <w:vAlign w:val="center"/>
          </w:tcPr>
          <w:p w14:paraId="149844F1" w14:textId="77777777" w:rsidR="004275D8" w:rsidRDefault="004275D8" w:rsidP="000A0B44">
            <w:pPr>
              <w:pStyle w:val="Thesisnormal"/>
              <w:jc w:val="center"/>
            </w:pPr>
            <w:r>
              <w:t>Investigate fly-specific immune pathways</w:t>
            </w:r>
          </w:p>
        </w:tc>
        <w:tc>
          <w:tcPr>
            <w:tcW w:w="3345" w:type="dxa"/>
            <w:vAlign w:val="center"/>
          </w:tcPr>
          <w:p w14:paraId="30997CEF" w14:textId="77777777" w:rsidR="004275D8" w:rsidRDefault="004275D8" w:rsidP="000A0B44">
            <w:pPr>
              <w:pStyle w:val="Thesisnormal"/>
              <w:jc w:val="center"/>
            </w:pPr>
            <w:r>
              <w:t>No change from controls</w:t>
            </w:r>
          </w:p>
        </w:tc>
      </w:tr>
    </w:tbl>
    <w:p w14:paraId="33187E2E" w14:textId="77777777" w:rsidR="004275D8" w:rsidRDefault="004275D8" w:rsidP="004275D8">
      <w:pPr>
        <w:pStyle w:val="NoSpacing"/>
      </w:pPr>
      <w:r>
        <w:t xml:space="preserve">N.b. </w:t>
      </w:r>
      <w:r w:rsidRPr="00582909">
        <w:rPr>
          <w:i/>
        </w:rPr>
        <w:t>UAS</w:t>
      </w:r>
      <w:r>
        <w:t xml:space="preserve"> represents an overexpression of the relevant gene specifically in hemocytes using </w:t>
      </w:r>
      <w:r w:rsidRPr="00582909">
        <w:rPr>
          <w:i/>
        </w:rPr>
        <w:t>Srp-GAL4, Crq-GAL4</w:t>
      </w:r>
      <w:r>
        <w:t xml:space="preserve"> drivers. RNAi- represents hemocyte specific knockdown of the relevant gene</w:t>
      </w:r>
      <w:r w:rsidRPr="00582909">
        <w:t xml:space="preserve"> </w:t>
      </w:r>
      <w:r>
        <w:t xml:space="preserve">specifically in hemocytes using </w:t>
      </w:r>
      <w:r w:rsidRPr="00582909">
        <w:rPr>
          <w:i/>
        </w:rPr>
        <w:t>Srp-GAL4, Crq-GAL4</w:t>
      </w:r>
      <w:r>
        <w:t xml:space="preserve"> drivers. Nos = Nitric Oxide Synthase, Arg = Arginase, Cat = Catalase, GSS = Glutathione synthase, Keap1 = Kelch-like ECH-Associated protein-1, Nrf2 = Nuclear factor erythroid 2-related factor, Sdh = Succinate dehydrogenase, HexA = Hexokinase A, pdh = pyruvate dehydrogenase, pdp = pyruvate dehydrogenase phosphatase, pdk = pyruvate dehydrogenase kinase, AMPK = AMP-activated protein kinase, Spz* = Spätzle, ROS = Reactive Oxygen Species. </w:t>
      </w:r>
    </w:p>
    <w:p w14:paraId="4DAD76D6" w14:textId="77777777" w:rsidR="004275D8" w:rsidRDefault="004275D8" w:rsidP="004275D8">
      <w:pPr>
        <w:pStyle w:val="Thesisnormal"/>
      </w:pPr>
    </w:p>
    <w:p w14:paraId="12B4DE90" w14:textId="77777777" w:rsidR="004275D8" w:rsidRDefault="004275D8" w:rsidP="004275D8">
      <w:pPr>
        <w:pStyle w:val="Thesisnormal"/>
      </w:pPr>
    </w:p>
    <w:p w14:paraId="3FCB0697" w14:textId="77777777" w:rsidR="004275D8" w:rsidRDefault="004275D8" w:rsidP="004275D8">
      <w:pPr>
        <w:pStyle w:val="Heading3"/>
      </w:pPr>
      <w:bookmarkStart w:id="194" w:name="_Toc4589362"/>
      <w:r>
        <w:t xml:space="preserve">4.3.1 Arginase and Nos do not affect wounding responses in </w:t>
      </w:r>
      <w:r w:rsidRPr="00AF2394">
        <w:rPr>
          <w:i/>
        </w:rPr>
        <w:t>Drosophila</w:t>
      </w:r>
      <w:bookmarkEnd w:id="194"/>
    </w:p>
    <w:p w14:paraId="6AC8A53F" w14:textId="77777777" w:rsidR="004275D8" w:rsidRDefault="004275D8" w:rsidP="004275D8">
      <w:pPr>
        <w:pStyle w:val="Thesisnormal"/>
      </w:pPr>
    </w:p>
    <w:p w14:paraId="2E784C49" w14:textId="69812A63" w:rsidR="004275D8" w:rsidRPr="00CC14FD" w:rsidRDefault="004275D8" w:rsidP="004275D8">
      <w:pPr>
        <w:pStyle w:val="Thesisnormal"/>
      </w:pPr>
      <w:r>
        <w:t xml:space="preserve">Macrophage polarisation was first described in relation to ornithine metabolism, with M1 macrophages utilising NOS to produce nitric oxide and M2 macrophages producing arginine via arginase </w:t>
      </w:r>
      <w:r>
        <w:fldChar w:fldCharType="begin"/>
      </w:r>
      <w:r w:rsidR="000A209C">
        <w:instrText xml:space="preserve"> ADDIN ZOTERO_ITEM CSL_CITATION {"citationID":"Zw5qstWS","properties":{"formattedCitation":"(22,421)","plainCitation":"(22,421)","noteIndex":0},"citationItems":[{"id":1312,"uris":["http://zotero.org/users/952979/items/2DRD5T5T"],"uri":["http://zotero.org/users/952979/items/2DRD5T5T"],"itemData":{"id":1312,"type":"article-journal","title":"M-1/M-2 macrophages and the Th1/Th2 paradigm","container-title":"Journal of Immunology (Baltimore, Md.: 1950)","page":"6166-6173","volume":"164","issue":"12","source":"PubMed","abstract":"Evidence is provided that macrophages can make M-1 or M-2 responses. The concept of M-1/M-2 fomented from observations that macrophages from prototypical Th1 strains (C57BL/6, B10D2) are more easily activated to produce NO with either IFN-gamma or LPS than macrophages from Th2 strains (BALB/c, DBA/2). In marked contrast, LPS stimulates Th2, but not Th1, macrophages to increase arginine metabolism to ornithine. Thus, M-1/M-2 does not simply describe activated or unactivated macrophages, but cells expressing distinct metabolic programs. Because NO inhibits cell division, while ornithine can stimulate cell division (via polyamines), these results also indicate that M-1 and M-2 responses can influence inflammatory reactions in opposite ways. Macrophage TGF-beta1, which inhibits inducible NO synthase and stimulates arginase, appears to play an important role in regulating the balance between M-1 and M-2. M-1/M-2 phenotypes are independent of T or B lymphocytes because C57BL/6 and BALB/c NUDE or SCID macrophages also exhibit M-1/M-2. Indeed, M-1/M-2 proclivities are magnified in NUDE and SCID mice. Finally, C57BL/6 SCID macrophages cause CB6F1 lymphocytes to increase IFN-gamma production, while BALB/c SCID macrophages increase TGF-beta production. Together, the results indicate that M-1- or M-2-dominant macrophage responses can influence whether Th1/Th2 or other types of inflammatory responses occur.","ISSN":"0022-1767","note":"PMID: 10843666","journalAbbreviation":"J. Immunol.","language":"eng","author":[{"family":"Mills","given":"C. D."},{"family":"Kincaid","given":"K."},{"family":"Alt","given":"J. M."},{"family":"Heilman","given":"M. J."},{"family":"Hill","given":"A. M."}],"issued":{"date-parts":[["2000",6,15]]}}},{"id":100,"uris":["http://zotero.org/users/952979/items/5EG4M4RC"],"uri":["http://zotero.org/users/952979/items/5EG4M4RC"],"itemData":{"id":100,"type":"article-journal","title":"Nitric oxide production by monocytes in alcoholic liver disease","container-title":"Journal of Hepatology","page":"146-150","volume":"14","issue":"2-3","source":"PubMed","abstract":"Nitric oxide, initially described as an endothelial-derived relaxing factor, has recently been recognised as a mediator of macrophage function. We have studied the production of nitric oxide by peripheral blood monocytes from both normal volunteers and alcoholics. This was measured indirectly by assessing nitrite formation. Normal monocytes were found to produce a basal level of nitrite, which could be stimulated more than 6-fold using endotoxin. This effect was abrogated by the addition of nitric oxide synthesis inhibitor, L-n-monomethyl-arginine. A striking difference was observed in the monocytes obtained from alcoholics with and without evidence of alcoholic hepatitis. Whereas the latter behaved in a similar manner to the controls, the former had markedly increased basal levels. In the hepatitis group there was also substantial inhibition of production by L-n-monomethyl-arginine. We believe that these results indicate that nitric oxide derived from monocytes may play a role in the pathogenesis of alcoholic liver disease, especially alcoholic hepatitis.","ISSN":"0168-8278","note":"PMID: 1500677","journalAbbreviation":"J. Hepatol.","language":"eng","author":[{"family":"Hunt","given":"N. C."},{"family":"Goldin","given":"R. D."}],"issued":{"date-parts":[["1992",3]]}}}],"schema":"https://github.com/citation-style-language/schema/raw/master/csl-citation.json"} </w:instrText>
      </w:r>
      <w:r>
        <w:fldChar w:fldCharType="separate"/>
      </w:r>
      <w:r w:rsidR="00A53A6B" w:rsidRPr="00A53A6B">
        <w:rPr>
          <w:rFonts w:ascii="Calibri" w:hAnsi="Calibri"/>
        </w:rPr>
        <w:t>(22,421)</w:t>
      </w:r>
      <w:r>
        <w:fldChar w:fldCharType="end"/>
      </w:r>
      <w:r>
        <w:t xml:space="preserve">. Indeed, these two products initially formed the primary markers to differentiate between M1 and M2 macrophages. We hypothesised that overexpression of </w:t>
      </w:r>
      <w:r w:rsidRPr="00A32B31">
        <w:rPr>
          <w:i/>
        </w:rPr>
        <w:t>Nos</w:t>
      </w:r>
      <w:r>
        <w:t xml:space="preserve">, specifically within hemocytes, would promote pro-inflammatory behaviour (i.e. increased responses to sites of injury). However, we did not find any differences in </w:t>
      </w:r>
      <w:r w:rsidR="00482BB3">
        <w:t xml:space="preserve">the numbers of hemocytes recruited to </w:t>
      </w:r>
      <w:r>
        <w:t>wound</w:t>
      </w:r>
      <w:r w:rsidR="00482BB3">
        <w:t>s</w:t>
      </w:r>
      <w:r>
        <w:t xml:space="preserve">. Subsequent knockdown of </w:t>
      </w:r>
      <w:r w:rsidRPr="00A32B31">
        <w:rPr>
          <w:i/>
        </w:rPr>
        <w:t>Nos</w:t>
      </w:r>
      <w:r>
        <w:t xml:space="preserve"> confirmed that </w:t>
      </w:r>
      <w:r w:rsidRPr="00A32B31">
        <w:rPr>
          <w:i/>
        </w:rPr>
        <w:t>Nos</w:t>
      </w:r>
      <w:r>
        <w:t xml:space="preserve"> did not modulate </w:t>
      </w:r>
      <w:r w:rsidR="00482BB3">
        <w:t>hemocyte recruitment to wounds</w:t>
      </w:r>
      <w:r>
        <w:t xml:space="preserve">. Furthermore, knockdown of </w:t>
      </w:r>
      <w:r w:rsidRPr="00903088">
        <w:rPr>
          <w:i/>
        </w:rPr>
        <w:t>arg</w:t>
      </w:r>
      <w:r>
        <w:t xml:space="preserve"> did not </w:t>
      </w:r>
      <w:r w:rsidR="00482BB3">
        <w:t>affect the number of hemocytes at the wound</w:t>
      </w:r>
      <w:r>
        <w:t xml:space="preserve">. Together, this suggests that these traditional markers of macrophage polarisation are not actively involved in driving this process in </w:t>
      </w:r>
      <w:r>
        <w:rPr>
          <w:i/>
        </w:rPr>
        <w:t>Drosophila</w:t>
      </w:r>
      <w:r>
        <w:t xml:space="preserve">. It is known that macrophage polarisation markers differ between species </w:t>
      </w:r>
      <w:r>
        <w:fldChar w:fldCharType="begin"/>
      </w:r>
      <w:r w:rsidR="000A209C">
        <w:instrText xml:space="preserve"> ADDIN ZOTERO_ITEM CSL_CITATION {"citationID":"gxek57tc","properties":{"formattedCitation":"(149)","plainCitation":"(149)","noteIndex":0},"citationItems":[{"id":1681,"uris":["http://zotero.org/users/952979/items/ZIS9MQGB"],"uri":["http://zotero.org/users/952979/items/ZIS9MQGB"],"itemData":{"id":1681,"type":"article-journal","title":"Of Mice and Not Men: Differences between Mouse and Human Immunology","container-title":"The Journal of Immunology","page":"2731-2738","volume":"172","issue":"5","source":"www.jimmunol.org","abstract":"Mice are the experimental tool of choice for the majority of immunologists and the study of their immune responses has yielded tremendous insight into the workings of the human immune system. However, as 65 million years of evolution might suggest, there are significant differences. Here we outline known discrepancies in both innate and adaptive immunity, including: balance of leukocyte subsets, defensins, Toll receptors, inducible NO synthase, the NK inhibitory receptor families Ly49 and KIR, FcR, Ig subsets, the B cell (BLNK, Btk, and λ5) and T cell (ZAP70 and common γ-chain) signaling pathway components, Thy-1, γδ T cells, cytokines and cytokine receptors, Th1/Th2 differentiation, costimulatory molecule expression and function, Ag-presenting function of endothelial cells, and chemokine and chemokine receptor expression. We also provide examples, such as multiple sclerosis and delayed-type hypersensitivity, where complex multicomponent processes differ. Such differences should be taken into account when using mice as preclinical models of human disease.","DOI":"10.4049/jimmunol.172.5.2731","ISSN":"0022-1767, 1550-6606","note":"PMID: 14978070","shortTitle":"Of Mice and Not Men","language":"en","author":[{"family":"Mestas","given":"Javier"},{"family":"Hughes","given":"Christopher C. W."}],"issued":{"date-parts":[["2004",3,1]]}}}],"schema":"https://github.com/citation-style-language/schema/raw/master/csl-citation.json"} </w:instrText>
      </w:r>
      <w:r>
        <w:fldChar w:fldCharType="separate"/>
      </w:r>
      <w:r w:rsidR="004A1963" w:rsidRPr="004A1963">
        <w:rPr>
          <w:rFonts w:ascii="Calibri" w:hAnsi="Calibri"/>
        </w:rPr>
        <w:t>(149)</w:t>
      </w:r>
      <w:r>
        <w:fldChar w:fldCharType="end"/>
      </w:r>
      <w:r>
        <w:t xml:space="preserve"> and there is current controversy surrounding arginine metabolism as a marker as macrophages lacking arginine are still capable of repair functions </w:t>
      </w:r>
      <w:r>
        <w:fldChar w:fldCharType="begin"/>
      </w:r>
      <w:r w:rsidR="000A209C">
        <w:instrText xml:space="preserve"> ADDIN ZOTERO_ITEM CSL_CITATION {"citationID":"JqVskem9","properties":{"formattedCitation":"(93,422)","plainCitation":"(93,422)","noteIndex":0},"citationItems":[{"id":1872,"uris":["http://zotero.org/users/952979/items/VBIC35N4"],"uri":["http://zotero.org/users/952979/items/VBIC35N4"],"itemData":{"id":1872,"type":"article-journal","title":"Local arginase 1 activity is required for cutaneous wound healing","container-title":"The Journal of Investigative Dermatology","page":"2461-2470","volume":"133","issue":"10","source":"PubMed","abstract":"Chronic nonhealing wounds in the elderly population are associated with a prolonged and excessive inflammatory response, which is widely hypothesized to impede healing. Previous studies have linked alterations in local L-arginine metabolism, principally mediated by the enzymes arginase (Arg) and inducible nitric oxide synthase (iNOS), to pathological wound healing. Over subsequent years, interest in Arg/iNOS has focused on the classical versus alternatively activated (M1/M2) macrophage paradigm. Although the role of iNOS during healing has been studied, Arg contribution to healing remains unclear. Here, we report that Arg is dynamically regulated during acute wound healing. Pharmacological inhibition of local Arg activity directly perturbed healing, as did Tie2-cre-mediated deletion of Arg1, revealing the importance of Arg1 during healing. Inhibition or depletion of Arg did not alter alternatively activated macrophage numbers but instead was associated with increased inflammation, including increased influx of iNOS(+) cells and defects in matrix deposition. Finally, we reveal that in preclinical murine models reduced Arg expression directly correlates with delayed healing, and as such may represent an important future therapeutic target.","DOI":"10.1038/jid.2013.164","ISSN":"1523-1747","note":"PMID: 23552798\nPMCID: PMC3778883","journalAbbreviation":"J. Invest. Dermatol.","language":"eng","author":[{"family":"Campbell","given":"Laura"},{"family":"Saville","given":"Charis R."},{"family":"Murray","given":"Peter J."},{"family":"Cruickshank","given":"Sheena M."},{"family":"Hardman","given":"Matthew J."}],"issued":{"date-parts":[["2013",10]]}}},{"id":1584,"uris":["http://zotero.org/users/952979/items/J42RIG46"],"uri":["http://zotero.org/users/952979/items/J42RIG46"],"itemData":{"id":1584,"type":"article-journal","title":"“Of Mice and Men”: Arginine Metabolism in Macrophages","container-title":"Frontiers in Immunology","volume":"5","source":"PubMed Central","URL":"https://www.ncbi.nlm.nih.gov/pmc/articles/PMC4188127/","DOI":"10.3389/fimmu.2014.00479","ISSN":"1664-3224","note":"PMID: 25339954\nPMCID: PMC4188127","shortTitle":"“Of Mice and Men”","journalAbbreviation":"Front Immunol","author":[{"family":"Thomas","given":"Anita C."},{"family":"Mattila","given":"Joshua T."}],"issued":{"date-parts":[["2014",10,7]]},"accessed":{"date-parts":[["2018",12,7]]}}}],"schema":"https://github.com/citation-style-language/schema/raw/master/csl-citation.json"} </w:instrText>
      </w:r>
      <w:r>
        <w:fldChar w:fldCharType="separate"/>
      </w:r>
      <w:r w:rsidR="004A1963" w:rsidRPr="004A1963">
        <w:rPr>
          <w:rFonts w:ascii="Calibri" w:hAnsi="Calibri"/>
        </w:rPr>
        <w:t>(93,422)</w:t>
      </w:r>
      <w:r>
        <w:fldChar w:fldCharType="end"/>
      </w:r>
      <w:r>
        <w:t xml:space="preserve">. Moreover, </w:t>
      </w:r>
      <w:r>
        <w:rPr>
          <w:i/>
        </w:rPr>
        <w:t>Drosophila</w:t>
      </w:r>
      <w:r>
        <w:t xml:space="preserve"> do not possess an inducible NOS (iNOS), which is the form utilised by mammalian macrophages in polarisation towards M1 phenotypes </w:t>
      </w:r>
      <w:r>
        <w:fldChar w:fldCharType="begin"/>
      </w:r>
      <w:r w:rsidR="000A209C">
        <w:instrText xml:space="preserve"> ADDIN ZOTERO_ITEM CSL_CITATION {"citationID":"OoH4FDy6","properties":{"formattedCitation":"(402,423,424)","plainCitation":"(402,423,424)","noteIndex":0},"citationItems":[{"id":1621,"uris":["http://zotero.org/users/952979/items/4LQEEQ9E"],"uri":["http://zotero.org/users/952979/items/4LQEEQ9E"],"itemData":{"id":1621,"type":"article-journal","title":"Nitric oxide and macrophage function","container-title":"Annual Review of Immunology","page":"323-350","volume":"15","source":"PubMed","abstract":"At the interface between the innate and adaptive immune systems lies the high-output isoform of nitric oxide synthase (NOS2 or iNOS). This remarkable molecular machine requires at least 17 binding reactions to assemble a functional dimer. Sustained catalysis results from the ability of NOS2 to attach calmodulin without dependence on elevated Ca2+. Expression of NOS2 in macrophages is controlled by cytokines and microbial products, primarily by transcriptional induction. NOS2 has been documented in macrophages from human, horse, cow, goat, sheep, rat, mouse, and chicken. Human NOS2 is most readily observed in monocytes or macrophages from patients with infectious or inflammatory diseases. Sustained production of NO endows macrophages with cytostatic or cytotoxic activity against viruses, bacteria, fungi, protozoa, helminths, and tumor cells. The antimicrobial and cytotoxic actions of NO are enhanced by other macrophage products such as acid, glutathione, cysteine, hydrogen peroxide, or superoxide. Although the high-output NO pathway probably evolved to protect the host from infection, suppressive effects on lymphocyte proliferation and damage to other normal host cells confer upon NOS2 the same protective/destructive duality inherent in every other major component of the immune response.","DOI":"10.1146/annurev.immunol.15.1.323","ISSN":"0732-0582","note":"PMID: 9143691","journalAbbreviation":"Annu. Rev. Immunol.","language":"eng","author":[{"family":"MacMicking","given":"J."},{"family":"Xie","given":"Q. W."},{"family":"Nathan","given":"C."}],"issued":{"date-parts":[["1997"]]}}},{"id":1583,"uris":["http://zotero.org/users/952979/items/FKSGC7IF"],"uri":["http://zotero.org/users/952979/items/FKSGC7IF"],"itemData":{"id":1583,"type":"article-journal","title":"Reciprocal regulation of the nitric oxide synthase/arginase balance in mouse bone marrow-derived macrophages by TH1 and TH2 cytokines","container-title":"European Journal of Immunology","page":"1101-1104","volume":"25","issue":"4","source":"PubMed","abstract":"Activation with lipopolysaccharide induces macrophages to produce the enzymes arginase and nitric oxide (NO) synthase. Both enzymes use as a substrate the amino acid L-arginine, which can be either hydrolyzed by arginase to urea and ornithine or oxidized by NO synthase to NO and citrulline. NO is important in the bactericidal and cytotoxic activities of macrophages. An equivalent functional role of arginase and its products is not known. We tested the induction of arginase in bone marrow-derived macrophages by endogenous mediators that are known to induce NO synthase, such as interferon-gamma (IFN-gamma), or suppress the induction of this enzyme, such as interleukin (IL)-4, IL-10, and prostaglandin E2 (PGE2). We find that PGE2 and the TH2 cytokines IL-4 and IL-10 are potent inducers of arginase. In contrast, the TH1 cytokine IFN-gamma does not induce arginase. Simultaneous application of both types of mediators leads to reduced induction of both arginase and NO synthase. Exposure of macrophage cultures to inducers of NO synthase exhausts their ability to respond subsequently to inducers of arginase. Conversely, exposure of the cells to inducers of arginase exhausts their ability to respond subsequently to inducers of NO synthase. The results are consistent with a competition of both enzymes for their substrate, L-arginine, with a reciprocal inhibition in the induction of both enzymes, or a combination of both phenomena. The enzymes NO synthase and arginase appear to define two alternate functional states of macrophages, induced by TH1 and TH2 cytokines, respectively.","DOI":"10.1002/eji.1830250436","ISSN":"0014-2980","note":"PMID: 7537672","journalAbbreviation":"Eur. J. Immunol.","language":"eng","author":[{"family":"Modolell","given":"M."},{"family":"Corraliza","given":"I. M."},{"family":"Link","given":"F."},{"family":"Soler","given":"G."},{"family":"Eichmann","given":"K."}],"issued":{"date-parts":[["1995",4]]}}},{"id":1582,"uris":["http://zotero.org/users/952979/items/H549FTEN"],"uri":["http://zotero.org/users/952979/items/H549FTEN"],"itemData":{"id":1582,"type":"article-journal","title":"Metabolism via Arginase or Nitric Oxide Synthase: Two Competing Arginine Pathways in Macrophages","container-title":"Frontiers in Immunology","volume":"5","source":"PubMed Central","abstract":"Macrophages play a major role in the immune system, both as antimicrobial effector cells and as immunoregulatory cells, which induce, suppress or modulate adaptive immune responses. These key aspects of macrophage biology are fundamentally driven by the phenotype of macrophage arginine metabolism that is prevalent in an evolving or ongoing immune response. M1 macrophages express the enzyme nitric oxide synthase, which metabolizes arginine to nitric oxide (NO) and citrulline. NO can be metabolized to further downstream reactive nitrogen species, while citrulline might be reused for efficient NO synthesis via the citrulline–NO cycle. M2 macrophages are characterized by expression of the enzyme arginase, which hydrolyzes arginine to ornithine and urea. The arginase pathway limits arginine availability for NO synthesis and ornithine itself can further feed into the important downstream pathways of polyamine and proline syntheses, which are important for cellular proliferation and tissue repair. M1 versus M2 polarization leads to opposing outcomes of inflammatory reactions, but depending on the context, M1 and M2 macrophages can be both pro- and anti-inflammatory. Notably, M1/M2 macrophage polarization can be driven by microbial infection or innate danger signals without any influence of adaptive immune cells, secondarily driving the T helper (Th)1/Th2 polarization of the evolving adaptive immune response. Since both arginine metabolic pathways cross-inhibit each other on the level of the respective arginine break-down products and Th1 and Th2 lymphocytes can drive or amplify macrophage M1/M2 dichotomy via cytokine activation, this forms the basis of a self-sustaining M1/M2 polarization of the whole immune response. Understanding the arginine metabolism of M1/M2 macrophage phenotypes is therefore central to find new possibilities to manipulate immune responses in infection, autoimmune diseases, chronic inflammatory conditions, and cancer.","URL":"https://www.ncbi.nlm.nih.gov/pmc/articles/PMC4209874/","DOI":"10.3389/fimmu.2014.00532","ISSN":"1664-3224","note":"PMID: 25386178\nPMCID: PMC4209874","shortTitle":"Metabolism via Arginase or Nitric Oxide Synthase","journalAbbreviation":"Front Immunol","author":[{"family":"Rath","given":"Meera"},{"family":"Müller","given":"Ingrid"},{"family":"Kropf","given":"Pascale"},{"family":"Closs","given":"Ellen I."},{"family":"Munder","given":"Markus"}],"issued":{"date-parts":[["2014",10,27]]},"accessed":{"date-parts":[["2018",12,7]]}}}],"schema":"https://github.com/citation-style-language/schema/raw/master/csl-citation.json"} </w:instrText>
      </w:r>
      <w:r>
        <w:fldChar w:fldCharType="separate"/>
      </w:r>
      <w:r w:rsidR="00A53A6B" w:rsidRPr="00A53A6B">
        <w:rPr>
          <w:rFonts w:ascii="Calibri" w:hAnsi="Calibri"/>
        </w:rPr>
        <w:t>(402,423,424)</w:t>
      </w:r>
      <w:r>
        <w:fldChar w:fldCharType="end"/>
      </w:r>
      <w:r>
        <w:t xml:space="preserve">. This lack of an inducible form could prevent hemocytes from using this pathway of arginine metabolism in polarisation </w:t>
      </w:r>
      <w:r>
        <w:fldChar w:fldCharType="begin"/>
      </w:r>
      <w:r w:rsidR="000A209C">
        <w:instrText xml:space="preserve"> ADDIN ZOTERO_ITEM CSL_CITATION {"citationID":"NVLHffAe","properties":{"formattedCitation":"(425)","plainCitation":"(425)","noteIndex":0},"citationItems":[{"id":1781,"uris":["http://zotero.org/users/952979/items/MNB4A4FM"],"uri":["http://zotero.org/users/952979/items/MNB4A4FM"],"itemData":{"id":1781,"type":"article-journal","title":"The Drosophila Nitric-oxide Synthase Gene (dNOS) Encodes a Family of Proteins That Can Modulate NOS Activity by Acting as Dominant Negative Regulators","container-title":"Journal of Biological Chemistry","page":"42241-42251","volume":"276","issue":"45","source":"www.jbc.org","abstract":"Nitric oxide (NO) is involved in organ development, synaptogenesis, and response to hypoxia inDrosophila. We cloned and analyzed the only gene in the fly genome that encodes Drosophila nitric-oxide synthase (dNOS). It consists of 19 exons and is dispersed over 34 kilobases of genomic DNA. Alternative transcription start sites and alternative splice sites are used to generate a remarkable variety of mRNAs from the dNOS gene. We identified eight new transcripts that are widely expressed throughout Drosophiladevelopment and encode a family of DNOS-related proteins. Alternative splicing affects both the 5′-untranslated region and the coding region of the dNOS primary transcript. Most of the splicing alterations in the coding region of the gene lead to premature termination of the open reading frame. As a result, none of the alternative transcripts encode an enzymatically active protein. However, some of these shorter DNOS protein products can effectively inhibit enzymatic activity of the full-length DNOS1 protein when co-expressed in mammalian cells, thus acting as dominant negative regulators of NO synthesis. Using immunoprecipitation, we demonstrate that these short DNOS protein isoforms can form heterodimers with DNOS1, pointing to a physical basis for the dominant negative effect. Our results suggest a novel regulatory function for the family of proteins encoded by the Drosophila NOS gene.","DOI":"10.1074/jbc.M105066200","ISSN":"0021-9258, 1083-351X","note":"PMID: 11526108","journalAbbreviation":"J. Biol. Chem.","language":"en","author":[{"family":"Stasiv","given":"Yuri"},{"family":"Regulski","given":"Michael"},{"family":"Kuzin","given":"Boris"},{"family":"Tully","given":"Tim"},{"family":"Enikolopov","given":"Grigori"}],"issued":{"date-parts":[["2001",11,9]]}}}],"schema":"https://github.com/citation-style-language/schema/raw/master/csl-citation.json"} </w:instrText>
      </w:r>
      <w:r>
        <w:fldChar w:fldCharType="separate"/>
      </w:r>
      <w:r w:rsidR="00A53A6B" w:rsidRPr="00A53A6B">
        <w:rPr>
          <w:rFonts w:ascii="Calibri" w:hAnsi="Calibri"/>
        </w:rPr>
        <w:t>(425)</w:t>
      </w:r>
      <w:r>
        <w:fldChar w:fldCharType="end"/>
      </w:r>
      <w:r>
        <w:t xml:space="preserve">. Indeed, </w:t>
      </w:r>
      <w:r>
        <w:rPr>
          <w:i/>
        </w:rPr>
        <w:t xml:space="preserve">Drosophila </w:t>
      </w:r>
      <w:r>
        <w:t xml:space="preserve">NOS has the highest homology to neuronal NOS. Neuronal NOS is involved in synaptic plasticity rather than in mediation of inflammatory responses, as is the role of iNOS </w:t>
      </w:r>
      <w:r>
        <w:fldChar w:fldCharType="begin"/>
      </w:r>
      <w:r w:rsidR="000A209C">
        <w:instrText xml:space="preserve"> ADDIN ZOTERO_ITEM CSL_CITATION {"citationID":"mpfEIZmd","properties":{"formattedCitation":"(426)","plainCitation":"(426)","noteIndex":0},"citationItems":[{"id":1780,"uris":["http://zotero.org/users/952979/items/5LEYTFZS"],"uri":["http://zotero.org/users/952979/items/5LEYTFZS"],"itemData":{"id":1780,"type":"article-journal","title":"Nitric oxide synthases: regulation and function","container-title":"European Heart Journal","page":"829-837","volume":"33","issue":"7","source":"PubMed Central","abstract":"Nitric oxide (NO), the smallest signalling molecule known, is produced by three isoforms of NO synthase (NOS; EC 1.14.13.39). They all utilize l-arginine and molecular oxygen as substrates and require the cofactors reduced nicotinamide-adenine-dinucleotide phosphate (NADPH), flavin adenine dinucleotide (FAD), flavin mononucleotide (FMN), and (6R-)5,6,7,8-tetrahydrobiopterin (BH4). All NOS bind calmodulin and contain haem. Neuronal NOS (nNOS, NOS I) is constitutively expressed in central and peripheral neurons and some other cell types. Its functions include synaptic plasticity in the central nervous system (CNS), central regulation of blood pressure, smooth muscle relaxation, and vasodilatation via peripheral nitrergic nerves. Nitrergic nerves are of particular importance in the relaxation of corpus cavernosum and penile erection. Phosphodiesterase 5 inhibitors (sildenafil, vardenafil, and tadalafil) require at least a residual nNOS activity for their action. Inducible NOS (NOS II) can be expressed in many cell types in response to lipopolysaccharide, cytokines, or other agents. Inducible NOS generates large amounts of NO that have cytostatic effects on parasitic target cells. Inducible NOS contributes to the pathophysiology of inflammatory diseases and septic shock. Endothelial NOS (eNOS, NOS III) is mostly expressed in endothelial cells. It keeps blood vessels dilated, controls blood pressure, and has numerous other vasoprotective and anti-atherosclerotic effects. Many cardiovascular risk factors lead to oxidative stress, eNOS uncoupling, and endothelial dysfunction in the vasculature. Pharmacologically, vascular oxidative stress can be reduced and eNOS functionality restored with renin- and angiotensin-converting enzyme-inhibitors, with angiotensin receptor blockers, and with statins.","DOI":"10.1093/eurheartj/ehr304","ISSN":"0195-668X","note":"PMID: 21890489\nPMCID: PMC3345541","shortTitle":"Nitric oxide synthases","journalAbbreviation":"Eur Heart J","author":[{"family":"Förstermann","given":"Ulrich"},{"family":"Sessa","given":"William C."}],"issued":{"date-parts":[["2012",4]]}}}],"schema":"https://github.com/citation-style-language/schema/raw/master/csl-citation.json"} </w:instrText>
      </w:r>
      <w:r>
        <w:fldChar w:fldCharType="separate"/>
      </w:r>
      <w:r w:rsidR="00A53A6B" w:rsidRPr="00A53A6B">
        <w:rPr>
          <w:rFonts w:ascii="Calibri" w:hAnsi="Calibri"/>
        </w:rPr>
        <w:t>(426)</w:t>
      </w:r>
      <w:r>
        <w:fldChar w:fldCharType="end"/>
      </w:r>
      <w:r>
        <w:t xml:space="preserve">. </w:t>
      </w:r>
      <w:r w:rsidRPr="003A17B9">
        <w:rPr>
          <w:i/>
        </w:rPr>
        <w:t>Drosophila</w:t>
      </w:r>
      <w:r>
        <w:t xml:space="preserve"> NOS appears to function mainly in development, for example of the wing disc </w:t>
      </w:r>
      <w:r>
        <w:fldChar w:fldCharType="begin"/>
      </w:r>
      <w:r w:rsidR="000A209C">
        <w:instrText xml:space="preserve"> ADDIN ZOTERO_ITEM CSL_CITATION {"citationID":"wjhRB9Te","properties":{"formattedCitation":"(427)","plainCitation":"(427)","noteIndex":0},"citationItems":[{"id":1779,"uris":["http://zotero.org/users/952979/items/JF2XRDIY"],"uri":["http://zotero.org/users/952979/items/JF2XRDIY"],"itemData":{"id":1779,"type":"article-journal","title":"Nitric oxide and Drosophila development","container-title":"Cell Death and Differentiation","page":"956-963","volume":"6","issue":"10","source":"www-nature-com.sheffield.idm.oclc.org","abstract":"Mechanisms controlling the transition of precursor cells from proliferation to differentiation during organism development determine the distinct anatomical features of tissues and organs. NO may mediate such a transition since it can suppress DNA synthesis and cell proliferation. Inhibition of NOS activity in the imaginal discs of Drosophila larvae results in hypertrophy of tissues and organs of the adult fly, whereas ectopic overexpression of NOS has the reciprocal, hypotrophic, effect. Furthermore, NO production is crucial for the establishment of ordered neuronal connections in the visual system of the fly, indicating that NO affects the acquisition of the differentiated phenotype by the neural tissue. Increasing evidence points to a broad role that NO may play in animal development by acting as an essential negative regulator of precursor cell proliferation during tissue and organ morphogenesis.","DOI":"10.1038/sj.cdd.4400577","ISSN":"1476-5403","language":"en","author":[{"family":"Enikolopov","given":"Grigori"},{"family":"Banerji","given":"Julian"},{"family":"Kuzin","given":"Boris"}],"issued":{"date-parts":[["1999",10]]}}}],"schema":"https://github.com/citation-style-language/schema/raw/master/csl-citation.json"} </w:instrText>
      </w:r>
      <w:r>
        <w:fldChar w:fldCharType="separate"/>
      </w:r>
      <w:r w:rsidR="00A53A6B" w:rsidRPr="00A53A6B">
        <w:rPr>
          <w:rFonts w:ascii="Calibri" w:hAnsi="Calibri"/>
        </w:rPr>
        <w:t>(427)</w:t>
      </w:r>
      <w:r>
        <w:fldChar w:fldCharType="end"/>
      </w:r>
      <w:r>
        <w:t xml:space="preserve">. </w:t>
      </w:r>
    </w:p>
    <w:p w14:paraId="581363A9" w14:textId="77777777" w:rsidR="004275D8" w:rsidRDefault="004275D8" w:rsidP="004275D8">
      <w:pPr>
        <w:pStyle w:val="Thesisnormal"/>
      </w:pPr>
    </w:p>
    <w:p w14:paraId="7AE32DBF" w14:textId="541C71CE" w:rsidR="004275D8" w:rsidRDefault="004275D8" w:rsidP="004275D8">
      <w:pPr>
        <w:pStyle w:val="Thesisnormal"/>
      </w:pPr>
      <w:r>
        <w:t xml:space="preserve">Interestingly, arginase has been found to be upregulated in a time dependent manner in shrimp hemocytes following infection with yellow head virus </w:t>
      </w:r>
      <w:r>
        <w:fldChar w:fldCharType="begin"/>
      </w:r>
      <w:r w:rsidR="000A209C">
        <w:instrText xml:space="preserve"> ADDIN ZOTERO_ITEM CSL_CITATION {"citationID":"XltwYQUC","properties":{"formattedCitation":"(428)","plainCitation":"(428)","noteIndex":0},"citationItems":[{"id":99,"uris":["http://zotero.org/users/952979/items/P2IDPMBN"],"uri":["http://zotero.org/users/952979/items/P2IDPMBN"],"itemData":{"id":99,"type":"article-journal","title":"Differentially expressed genes in Penaeus monodon hemocytes following infection with yellow head virus","container-title":"BMB reports","page":"670-677","volume":"41","issue":"9","source":"PubMed","abstract":"A cDNA microarray composed of 2,028 different ESTs from two shrimp species, Penaeus monodon and Masupenaeus japonicus, was employed to identify yellow head virus (YHV)-responsive genes in hemocytes of P. monodon. A total of 105 differentially expressed genes were identified and grouped into five different clusters according to their expression patterns. One of these clusters, which comprised five genes including cathepsin L-like cysteine peptidase, hypothetical proteins and unknown genes, was of particular interest because the transcripts increased rapidly (&lt; or = 0.25 hours) and reached high expression levels in response to YHV injection. Microarray data were validated by realtime RT-PCR analyses of selected differentially expressed transcripts. In addition, comparative analysis of the hemocyte transcription levels of three of these genes between surviving and non-surviving shrimp revealed significantly higher expression levels in surviving shrimp.","ISSN":"1976-6696","note":"PMID: 18823592","journalAbbreviation":"BMB Rep","language":"eng","author":[{"family":"Pongsomboon","given":"Siriporn"},{"family":"Tang","given":"Sureerat"},{"family":"Boonda","given":"Suleeporn"},{"family":"Aoki","given":"Takashi"},{"family":"Hirono","given":"Ikuo"},{"family":"Yasuike","given":"Motoshige"},{"family":"Tassanakajon","given":"Anchalee"}],"issued":{"date-parts":[["2008",9,30]]}}}],"schema":"https://github.com/citation-style-language/schema/raw/master/csl-citation.json"} </w:instrText>
      </w:r>
      <w:r>
        <w:fldChar w:fldCharType="separate"/>
      </w:r>
      <w:r w:rsidR="00A53A6B" w:rsidRPr="00A53A6B">
        <w:rPr>
          <w:rFonts w:ascii="Calibri" w:hAnsi="Calibri"/>
        </w:rPr>
        <w:t>(428)</w:t>
      </w:r>
      <w:r>
        <w:fldChar w:fldCharType="end"/>
      </w:r>
      <w:r>
        <w:t xml:space="preserve">. Macrophage polarisation in viral pathogenesis has been less studied than in other infections although there is evidence that viral infections promote M2 polarisation </w:t>
      </w:r>
      <w:r>
        <w:fldChar w:fldCharType="begin"/>
      </w:r>
      <w:r w:rsidR="000A209C">
        <w:instrText xml:space="preserve"> ADDIN ZOTERO_ITEM CSL_CITATION {"citationID":"uQGsztlC","properties":{"formattedCitation":"(429\\uc0\\u8211{}431)","plainCitation":"(429–431)","noteIndex":0},"citationItems":[{"id":98,"uris":["http://zotero.org/users/952979/items/M7MY24ZN"],"uri":["http://zotero.org/users/952979/items/M7MY24ZN"],"itemData":{"id":98,"type":"article-journal","title":"Long-term persistent infection of swine monocytes/macrophages with African swine fever virus","container-title":"Journal of Virology","page":"580-583","volume":"68","issue":"1","source":"PubMed","abstract":"Long-term persistent infection was established in 100% of pigs (n = 19) experimentally infected with African swine fever virus (ASFV). Viral DNA was detected in peripheral blood mononuclear leukocytes (PBML) at greater than 500 days postinfection by a PCR assay. Infectious virus was not, however, isolated from the same PBML samples. In cell fractionation studies of PBML, monocytes/macrophages were found to harbor viral DNA during the persistent phase of infection. This result indicates that monocytes/macrophages are persistently infected with ASFV and that ASFV-swine monocyte/macrophage interactions can result in either lytic or persistent infection.","ISSN":"0022-538X","note":"PMID: 8254776\nPMCID: PMC236326","journalAbbreviation":"J. Virol.","language":"eng","author":[{"family":"Carrillo","given":"C."},{"family":"Borca","given":"M. V."},{"family":"Afonso","given":"C. L."},{"family":"Onisk","given":"D. V."},{"family":"Rock","given":"D. L."}],"issued":{"date-parts":[["1994",1]]}}},{"id":97,"uris":["http://zotero.org/users/952979/items/5K2LLFYE"],"uri":["http://zotero.org/users/952979/items/5K2LLFYE"],"itemData":{"id":97,"type":"article-journal","title":"Genome-wide analysis of antiviral signature genes in porcine macrophages at different activation statuses","container-title":"PloS One","page":"e87613","volume":"9","issue":"2","source":"PubMed","abstract":"Macrophages (MФs) can be polarized to various activation statuses, including classical (M1), alternative (M2), and antiviral states. To study the antiviral activation status of porcine MФs during porcine reproductive and respiratory syndrome virus (PRRSV) infection, we used RNA Sequencing (RNA-Seq) for transcriptomic analysis of differentially expressed genes (DEGs). Sequencing assessment and quality evaluation showed that our RNA-Seq data met the criteria for genome-wide transcriptomic analysis. Comparisons of any two activation statuses revealed more than 20,000 DEGs that were normalized to filter out 153-5,303 significant DEGs [false discovery rate (FDR) ≤0.001, fold change ≥2] in each comparison. The highest 5,303 significant DEGs were found between lipopolysaccharide- (LPS) and interferon (IFN)γ-stimulated M1 cells, whereas only 153 significant DEGs were detected between interleukin (IL)-10-polarized M2 cells and control mock-activated cells. To identify signature genes for antiviral regulation pertaining to each activation status, we identified a set of DEGs that showed significant up-regulation in only one activation state. In addition, pathway analyses defined the top 20-50 significantly regulated pathways at each activation status, and we further analyzed DEGs pertinent to pathways mediated by AMP kinase (AMPK) and epigenetic mechanisms. For the first time in porcine macrophages, our transcriptomic analyses not only compared family-wide differential expression of most known immune genes at different activation statuses, but also revealed transcription evidence of multiple gene families. These findings show that using RNA-Seq transcriptomic analyses in virus-infected and status-synchronized macrophages effectively profiled signature genes and gene response pathways for antiviral regulation, which may provide a framework for optimizing antiviral immunity and immune homeostasis.","DOI":"10.1371/journal.pone.0087613","ISSN":"1932-6203","note":"PMID: 24505295\nPMCID: PMC3914820","journalAbbreviation":"PLoS ONE","language":"eng","author":[{"family":"Sang","given":"Yongming"},{"family":"Brichalli","given":"Wyatt"},{"family":"Rowland","given":"Raymond R. R."},{"family":"Blecha","given":"Frank"}],"issued":{"date-parts":[["2014"]]}}},{"id":96,"uris":["http://zotero.org/users/952979/items/IT6JEVWZ"],"uri":["http://zotero.org/users/952979/items/IT6JEVWZ"],"itemData":{"id":96,"type":"article-journal","title":"Antiviral regulation in porcine monocytic cells at different activation states","container-title":"Journal of Virology","page":"11395-11410","volume":"88","issue":"19","source":"PubMed","abstract":"Monocytic cells, including macrophages and dendritic cells, exist in different activation states that are critical to the regulation of antimicrobial immunity. Many pandemic viruses are monocytotropic, including porcine reproductive and respiratory syndrome virus (PRRSV), which directly infects subsets of monocytic cells and interferes with antiviral responses. To study antiviral responses in PRRSV-infected monocytic cells, we characterized inflammatory cytokine responses and genome-wide profiled signature genes to investigate response pathways in uninfected and PRRSV-infected monocytic cells at different activation states. Our findings showed suppressed interferon (IFN) production in macrophages in non-antiviral states and an arrest of lipid metabolic pathways in macrophages at antiviral states. Importantly, porcine monocytic cells at different activation states were susceptible to PRRSV and responded differently to viral infection. Based on Gene Ontology (GO) analysis, two approaches were used to potentiate antiviral activity: (i) pharmaceutical modulation of cellular lipid metabolism and (ii) in situ PRRSV replication-competent expression of interferon alpha (IFN-α). Both approaches significantly suppressed exogenous viral infection in monocytic cells. In particular, the engineered IFN-expressing PRRSV strain eliminated exogenous virus infection and sustained cell viability at 4 days postinfection in macrophages. These findings suggest an intricate interaction of viral infection with the activation status of porcine monocytic cells. An understanding and integration of antiviral infection with activation status of monocytic cells may provide a means of potentiating antiviral immunity.\nIMPORTANCE: Activation statuses of monocytic cells, including monocytes, macrophages (Mϕs), and dendritic cells (DCs), are critically important for antiviral immunity. Unfortunately, the activation status of porcine monocytic cells or how cell activation status functionally interacts with antiviral immunity remains largely unknown. This is a significant omission because many economically important porcine viruses are monocytotropic, including our focus, PRRSV, which alone causes nearly $800 million economic loss annually in the U.S. swine industries. PRRSV is ideal for deciphering how monocytic cell activation statuses interact with antiviral immunity, because it directly infects subsets of monocytic cells and subverts overall immune responses. In this study, we systematically investigate the activation status of porcine monocytic cells to determine the intricate interaction of viral infection with activation statuses and functionally regulate antiviral immunity within the framework of the activation paradigm. Our findings may provide a means of potentiating antiviral immunity and leading to novel vaccines for PRRS prevention.","DOI":"10.1128/JVI.01714-14","ISSN":"1098-5514","note":"PMID: 25056886\nPMCID: PMC4178830","journalAbbreviation":"J. Virol.","language":"eng","author":[{"family":"Sang","given":"Yongming"},{"family":"Rowland","given":"Raymond R. R."},{"family":"Blecha","given":"Frank"}],"issued":{"date-parts":[["2014",10]]}}}],"schema":"https://github.com/citation-style-language/schema/raw/master/csl-citation.json"} </w:instrText>
      </w:r>
      <w:r>
        <w:fldChar w:fldCharType="separate"/>
      </w:r>
      <w:r w:rsidR="00A53A6B" w:rsidRPr="00A53A6B">
        <w:rPr>
          <w:rFonts w:ascii="Calibri" w:hAnsi="Calibri" w:cs="Times New Roman"/>
        </w:rPr>
        <w:t>(429–431)</w:t>
      </w:r>
      <w:r>
        <w:fldChar w:fldCharType="end"/>
      </w:r>
      <w:r>
        <w:t xml:space="preserve">. This suggests that arginase may be functioning within hemocytes in an anti-inflammatory capacity. A major critique of our results is that we could not validate the RNAi as being effective, thus our results could have been due to non-functioning RNAi or perdurance of protein. To confirm this assumption, we could utilise fluorescent reporters for pathways, where available, or perform qPCR to determine if RNAi-mediated knockdown was efficient. </w:t>
      </w:r>
    </w:p>
    <w:p w14:paraId="785EF30B" w14:textId="77777777" w:rsidR="004275D8" w:rsidRDefault="004275D8" w:rsidP="004275D8">
      <w:pPr>
        <w:pStyle w:val="Thesisnormal"/>
      </w:pPr>
    </w:p>
    <w:p w14:paraId="6D9ED42B" w14:textId="77CE55CF" w:rsidR="004275D8" w:rsidRPr="00B830CF" w:rsidRDefault="004275D8" w:rsidP="004275D8">
      <w:pPr>
        <w:pStyle w:val="Thesisnormal"/>
      </w:pPr>
      <w:r>
        <w:t>We have shown that A</w:t>
      </w:r>
      <w:r w:rsidRPr="00BD3222">
        <w:t>rg</w:t>
      </w:r>
      <w:r>
        <w:t xml:space="preserve"> and </w:t>
      </w:r>
      <w:r w:rsidRPr="00BD3222">
        <w:t>NOS</w:t>
      </w:r>
      <w:r>
        <w:t xml:space="preserve"> do not appear to function as drivers of hemocyte behaviour in </w:t>
      </w:r>
      <w:r>
        <w:rPr>
          <w:i/>
        </w:rPr>
        <w:t>Drosophila</w:t>
      </w:r>
      <w:r>
        <w:t xml:space="preserve">. However, it is possible that they represent useful markers of activation, which has not been investigated here. For example, a recent paper demonstrated that MANF could promote pro-repair phenotypes in </w:t>
      </w:r>
      <w:r>
        <w:rPr>
          <w:i/>
        </w:rPr>
        <w:t>Drosophila</w:t>
      </w:r>
      <w:r>
        <w:t xml:space="preserve"> hemocytes and mice macrophages </w:t>
      </w:r>
      <w:r>
        <w:fldChar w:fldCharType="begin"/>
      </w:r>
      <w:r w:rsidR="000A209C">
        <w:instrText xml:space="preserve"> ADDIN ZOTERO_ITEM CSL_CITATION {"citationID":"9G31ULLE","properties":{"formattedCitation":"(141)","plainCitation":"(141)","noteIndex":0},"citationItems":[{"id":1227,"uris":["http://zotero.org/users/952979/items/SP5P3KKQ"],"uri":["http://zotero.org/users/952979/items/SP5P3KKQ"],"itemData":{"id":1227,"type":"article-journal","title":"Immune modulation by MANF promotes tissue repair and regenerative success in the retina","container-title":"Science (New York, N.Y.)","page":"aaf3646","volume":"353","issue":"6294","source":"PubMed","abstract":"Regenerative therapies are limited by unfavorable environments in aging and diseased tissues. A promising strategy to improve success is to balance inflammatory and anti-inflammatory signals and enhance endogenous tissue repair mechanisms. Here, we identified a conserved immune modulatory mechanism that governs the interaction between damaged retinal cells and immune cells to promote tissue repair. In damaged retina of flies and mice, platelet-derived growth factor (PDGF)-like signaling induced mesencephalic astrocyte-derived neurotrophic factor (MANF) in innate immune cells. MANF promoted alternative activation of innate immune cells, enhanced neuroprotection and tissue repair, and improved the success of photoreceptor replacement therapies. Thus, immune modulation is required during tissue repair and regeneration. This approach may improve the efficacy of stem-cell-based regenerative therapies.","DOI":"10.1126/science.aaf3646","ISSN":"1095-9203","note":"PMID: 27365452","journalAbbreviation":"Science","language":"eng","author":[{"family":"Neves","given":"Joana"},{"family":"Zhu","given":"Jie"},{"family":"Sousa-Victor","given":"Pedro"},{"family":"Konjikusic","given":"Mia"},{"family":"Riley","given":"Rebeccah"},{"family":"Chew","given":"Shereen"},{"family":"Qi","given":"Yanyan"},{"family":"Jasper","given":"Heinrich"},{"family":"Lamba","given":"Deepak A."}],"issued":{"date-parts":[["2016",7,1]]}}}],"schema":"https://github.com/citation-style-language/schema/raw/master/csl-citation.json"} </w:instrText>
      </w:r>
      <w:r>
        <w:fldChar w:fldCharType="separate"/>
      </w:r>
      <w:r w:rsidR="004A1963" w:rsidRPr="004A1963">
        <w:rPr>
          <w:rFonts w:ascii="Calibri" w:hAnsi="Calibri"/>
        </w:rPr>
        <w:t>(141)</w:t>
      </w:r>
      <w:r>
        <w:fldChar w:fldCharType="end"/>
      </w:r>
      <w:r>
        <w:t xml:space="preserve">. Interestingly, </w:t>
      </w:r>
      <w:r>
        <w:rPr>
          <w:i/>
        </w:rPr>
        <w:t>arg</w:t>
      </w:r>
      <w:r>
        <w:t xml:space="preserve"> expression was up-regulated in hemocytes overexpressing </w:t>
      </w:r>
      <w:r w:rsidRPr="00B830CF">
        <w:rPr>
          <w:i/>
        </w:rPr>
        <w:t>MANF</w:t>
      </w:r>
      <w:r>
        <w:t xml:space="preserve">. The use of antibodies or </w:t>
      </w:r>
      <w:r w:rsidRPr="00B830CF">
        <w:rPr>
          <w:i/>
        </w:rPr>
        <w:t>GAL4</w:t>
      </w:r>
      <w:r>
        <w:t xml:space="preserve"> constructs and fluorescent reporters (e.g. </w:t>
      </w:r>
      <w:r w:rsidRPr="00B830CF">
        <w:rPr>
          <w:i/>
        </w:rPr>
        <w:t>arg-GAL4</w:t>
      </w:r>
      <w:r>
        <w:t xml:space="preserve">) would enable investigation into the potential function of Nos and Arg as phenotype markers. </w:t>
      </w:r>
    </w:p>
    <w:p w14:paraId="013E7A79" w14:textId="77777777" w:rsidR="004275D8" w:rsidRDefault="004275D8" w:rsidP="004275D8">
      <w:pPr>
        <w:pStyle w:val="Thesisnormal"/>
      </w:pPr>
    </w:p>
    <w:p w14:paraId="54ED2961" w14:textId="42E9F909" w:rsidR="004275D8" w:rsidRDefault="004275D8" w:rsidP="004275D8">
      <w:pPr>
        <w:pStyle w:val="Heading3"/>
      </w:pPr>
      <w:bookmarkStart w:id="195" w:name="_Toc4589363"/>
      <w:r>
        <w:t xml:space="preserve">4.3.2 ROS species are involved in </w:t>
      </w:r>
      <w:r>
        <w:rPr>
          <w:i/>
        </w:rPr>
        <w:t>Drosophila</w:t>
      </w:r>
      <w:r>
        <w:t xml:space="preserve"> </w:t>
      </w:r>
      <w:r w:rsidR="00482BB3">
        <w:t>hemocyte recruitment to wounds</w:t>
      </w:r>
      <w:bookmarkEnd w:id="195"/>
    </w:p>
    <w:p w14:paraId="29595BA3" w14:textId="77777777" w:rsidR="004275D8" w:rsidRDefault="004275D8" w:rsidP="004275D8">
      <w:pPr>
        <w:pStyle w:val="Thesisnormal"/>
      </w:pPr>
    </w:p>
    <w:p w14:paraId="641D42A5" w14:textId="5A4082EB" w:rsidR="004275D8" w:rsidRDefault="004275D8" w:rsidP="004275D8">
      <w:pPr>
        <w:pStyle w:val="Thesisnormal"/>
      </w:pPr>
      <w:r>
        <w:t xml:space="preserve">ROS are highly associated with macrophage polarisation and are involved in numerous pro-inflammatory functions </w:t>
      </w:r>
      <w:r>
        <w:fldChar w:fldCharType="begin"/>
      </w:r>
      <w:r w:rsidR="000A209C">
        <w:instrText xml:space="preserve"> ADDIN ZOTERO_ITEM CSL_CITATION {"citationID":"1ouvoqGu","properties":{"formattedCitation":"(86,125,396)","plainCitation":"(86,125,396)","noteIndex":0},"citationItems":[{"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R."}],"issued":{"date-parts":[["2005",12]]}}},{"id":1616,"uris":["http://zotero.org/users/952979/items/3AH8DGBK"],"uri":["http://zotero.org/users/952979/items/3AH8DGBK"],"itemData":{"id":1616,"type":"article-journal","title":"The Reactive Oxygen Species in Macrophage Polarization: Reflecting Its Dual Role in Progression and Treatment of Human Diseases","container-title":"Oxidative Medicine and Cellular Longevity","page":"2795090","volume":"2016","source":"PubMed","abstract":"High heterogeneity of macrophage is associated with its functions in polarization to different functional phenotypes depending on environmental cues. Macrophages remain in balanced state in healthy subject and thus macrophage polarization may be crucial in determining the tissue fate. The two distinct populations, classically M1 and alternatively M2 activated, representing the opposing ends of the full activation spectrum, have been extensively studied for their associations with several disease progressions. Accumulating evidences have postulated that the redox signalling has implication in macrophage polarization and the key roles of M1 and M2 macrophages in tissue environment have provided the clue for the reasons of ROS abundance in certain phenotype. M1 macrophages majorly clearing the pathogens and ROS may be crucial for the regulation of M1 phenotype, whereas M2 macrophages resolve inflammation which favours oxidative metabolism. Therefore how ROS play its role in maintaining the homeostatic functions of macrophage and in particular macrophage polarization will be reviewed here. We also review the biology of macrophage polarization and the disturbance of M1/M2 balance in human diseases. The potential therapeutic opportunities targeting ROS will also be discussed, hoping to provide insights for development of target-specific delivery system or immunomodulatory antioxidant for the treatment of ROS-related diseases.","DOI":"10.1155/2016/2795090","ISSN":"1942-0994","note":"PMID: 27143992\nPMCID: PMC4837277","shortTitle":"The Reactive Oxygen Species in Macrophage Polarization","journalAbbreviation":"Oxid Med Cell Longev","language":"eng","author":[{"family":"Tan","given":"Hor-Yue"},{"family":"Wang","given":"Ning"},{"family":"Li","given":"Sha"},{"family":"Hong","given":"Ming"},{"family":"Wang","given":"Xuanbin"},{"family":"Feng","given":"Yibin"}],"issued":{"date-parts":[["2016"]]}}},{"id":1372,"uris":["http://zotero.org/users/952979/items/6TH7F79A"],"uri":["http://zotero.org/users/952979/items/6TH7F79A"],"itemData":{"id":1372,"type":"article-journal","title":"Tissue macrophage heterogeneity: issues and prospects","container-title":"Seminars in Immunopathology","page":"533-540","volume":"35","issue":"5","source":"PubMed","abstract":"The vast majority of macrophages in the body are present in tissues outside the circulation, yet their remarkable phenotypic heterogeneity within different anatomical compartments in the steady state and disease remains essentially unexplored. The development of immunocytochemical and fluorescent histological methods has revealed the presence and morphological diversity of macrophages within tissues, especially in the mouse, but functional specialisation in situ is difficult to establish and their mechanistic basis remains unknown, particularly in humans, in spite of the rich material available. In this review, we consider some of the technical issues that hamper investigation, assess the contribution of cell differentiation and modulation to macrophage heterogeneity within tissues and illustrate variation of macrophages and closely related cells in selected organs in mouse and man.","DOI":"10.1007/s00281-013-0386-4","ISSN":"1863-2300","note":"PMID: 23783507","shortTitle":"Tissue macrophage heterogeneity","journalAbbreviation":"Semin Immunopathol","language":"eng","author":[{"family":"Gordon","given":"Siamon"},{"family":"Plűddemann","given":"Annette"}],"issued":{"date-parts":[["2013",9]]}}}],"schema":"https://github.com/citation-style-language/schema/raw/master/csl-citation.json"} </w:instrText>
      </w:r>
      <w:r>
        <w:fldChar w:fldCharType="separate"/>
      </w:r>
      <w:r w:rsidR="004A1963" w:rsidRPr="004A1963">
        <w:rPr>
          <w:rFonts w:ascii="Calibri" w:hAnsi="Calibri"/>
        </w:rPr>
        <w:t>(86,125,396)</w:t>
      </w:r>
      <w:r>
        <w:fldChar w:fldCharType="end"/>
      </w:r>
      <w:r>
        <w:t xml:space="preserve">. Indeed, ROS can drive the differentiation of monocytes to macrophages in both mice and humans </w:t>
      </w:r>
      <w:r>
        <w:fldChar w:fldCharType="begin"/>
      </w:r>
      <w:r w:rsidR="000A209C">
        <w:instrText xml:space="preserve"> ADDIN ZOTERO_ITEM CSL_CITATION {"citationID":"EPqx9LOR","properties":{"formattedCitation":"(432,433)","plainCitation":"(432,433)","noteIndex":0},"citationItems":[{"id":93,"uris":["http://zotero.org/users/952979/items/CMPKAJ8S"],"uri":["http://zotero.org/users/952979/items/CMPKAJ8S"],"itemData":{"id":93,"type":"article-journal","title":"ROS play a critical role in the differentiation of alternatively activated macrophages and the occurrence of tumor-associated macrophages","container-title":"Cell Research","page":"898-914","volume":"23","issue":"7","source":"PubMed","abstract":"Differentiation to different types of macrophages determines their distinct functions. Tumor-associated macrophages (TAMs) promote tumorigenesis owing to their proangiogenic and immune-suppressive functions similar to those of alternatively activated (M2) macrophages. We report that reactive oxygen species (ROS) production is critical for macrophage differentiation and that inhibition of superoxide (O(2-)) production specifically blocks the differentiation of M2 macrophages. We found that when monocytes are triggered to differentiate, O(2-) is generated and is needed for the biphasic ERK activation, which is critical for macrophage differentiation. We demonstrated that ROS elimination by butylated hydroxyanisole (BHA) and other ROS inhibitors blocks macrophage differentiation. However, the inhibitory effect of ROS elimination on macrophage differentiation is overcome when cells are polarized to classically activated (M1), but not M2, macrophages. More importantly, the continuous administration of the ROS inhibitor BHA efficiently blocked the occurrence of TAMs and markedly suppressed tumorigenesis in mouse cancer models. Targeting TAMs by blocking ROS can be a potentially effective method for cancer treatment.","DOI":"10.1038/cr.2013.75","ISSN":"1748-7838","note":"PMID: 23752925\nPMCID: PMC3698641","journalAbbreviation":"Cell Res.","language":"eng","author":[{"family":"Zhang","given":"Yan"},{"family":"Choksi","given":"Swati"},{"family":"Chen","given":"Kun"},{"family":"Pobezinskaya","given":"Yelena"},{"family":"Linnoila","given":"Ilona"},{"family":"Liu","given":"Zheng-Gang"}],"issued":{"date-parts":[["2013",7]]}}},{"id":92,"uris":["http://zotero.org/users/952979/items/WYHVX664"],"uri":["http://zotero.org/users/952979/items/WYHVX664"],"itemData":{"id":92,"type":"article-journal","title":"Reactive oxygen species mediate cyclooxygenase-2 induction during monocyte to macrophage differentiation: critical role of NADPH oxidase","container-title":"Cardiovascular Research","page":"187-197","volume":"60","issue":"1","source":"PubMed","abstract":"OBJECTIVE: The objective of this study was to explore the relationship between monocyte differentiation into macrophages and cyclooxygenase-2 (Cox-2) expression, based upon the observation that high amounts of this enzyme, colocalizing mainly with macrophages, have been found in human atherosclerotic lesions. Moreover, the hypothesis that reactive oxygen species (ROS) could be important as mediators of Cox-2 expression during monocyte differentiation was verified. Although ROS are known as modulators of gene expression profile, their involvement in monocyte differentiation has not been explored previously.\nMETHODS: Human adherent monocytes and the promonocytic cell line U937 were differentiated into macrophages by phorbol ester (PMA). Cox-2 was evaluated in terms of protein, mRNA and activity. Intracellular ROS formation was measured by the oxidant sensitive dye 2',7'-dichlorofluorescein diacetate. NADPH oxidase subunit p47(phox) was evaluated by Western blot analysis.\nRESULTS: Functionally active Cox-2 is expressed during PMA-induced monocyte transition into macrophages and ROS driven by the NADPH oxidase play a critical role in this event.\nCONCLUSION: Monocyte differentiation into macrophages, possibly triggered by unquenched ROS, may contribute to the increased inflammatory response within atheromata.","ISSN":"0008-6363","note":"PMID: 14522422","shortTitle":"Reactive oxygen species mediate cyclooxygenase-2 induction during monocyte to macrophage differentiation","journalAbbreviation":"Cardiovasc. Res.","language":"eng","author":[{"family":"Barbieri","given":"Silvia Stella"},{"family":"Eligini","given":"Sonia"},{"family":"Brambilla","given":"Marta"},{"family":"Tremoli","given":"Elena"},{"family":"Colli","given":"Susanna"}],"issued":{"date-parts":[["2003",10,15]]}}}],"schema":"https://github.com/citation-style-language/schema/raw/master/csl-citation.json"} </w:instrText>
      </w:r>
      <w:r>
        <w:fldChar w:fldCharType="separate"/>
      </w:r>
      <w:r w:rsidR="00A53A6B" w:rsidRPr="00A53A6B">
        <w:rPr>
          <w:rFonts w:ascii="Calibri" w:hAnsi="Calibri"/>
        </w:rPr>
        <w:t>(432,433)</w:t>
      </w:r>
      <w:r>
        <w:fldChar w:fldCharType="end"/>
      </w:r>
      <w:r>
        <w:t xml:space="preserve">. We hypothesised that decreasing ROS levels within hemocytes would reduce </w:t>
      </w:r>
      <w:r w:rsidR="00482BB3">
        <w:t>the numbers of hemocytes recruited to the wound</w:t>
      </w:r>
      <w:r>
        <w:t xml:space="preserve">. ROS are regulated with a variety of enzymes that scavenge reactive species. Overexpression of one such enzyme, catalase, resulted in decreased hemocyte numbers at sites of wounding. This is consistent with the literature suggesting that a reduction in ROS limits the differentiation of monocytes to macrophages </w:t>
      </w:r>
      <w:r>
        <w:fldChar w:fldCharType="begin"/>
      </w:r>
      <w:r w:rsidR="000A209C">
        <w:instrText xml:space="preserve"> ADDIN ZOTERO_ITEM CSL_CITATION {"citationID":"BbmWaXlW","properties":{"formattedCitation":"(434)","plainCitation":"(434)","noteIndex":0},"citationItems":[{"id":89,"uris":["http://zotero.org/users/952979/items/59EWMQE8"],"uri":["http://zotero.org/users/952979/items/59EWMQE8"],"itemData":{"id":89,"type":"article-journal","title":"Role of catalase in monocytic differentiation of U937 cells by TPA: hydrogen peroxide as a second messenger","container-title":"Leukemia","page":"761-769","volume":"23","issue":"4","source":"PubMed","abstract":"Human promonocytic cell line U937 cells can be induced to differentiate into macrophages by treatment with 12-O-tetradecanoylphorbol-13-acetate (TPA). TPA treatment induced the expression of the monocytic differentiation markers CD11b and CD36, with concomitant morphological changes. Moreover, TPA enhanced reactive oxygen species (ROS) generation in these cells, and phagocytic ability was also stimulated during differentiation. The antioxidant agent N-acetyl-L-cysteine inhibited the TPA-induced differentiation of U937 cells. TPA treatment decreased the expression level of catalase, which catalyzes the decomposition of hydrogen peroxide (H(2)O(2)) to H(2)O and O(2). In contrast, TPA increased the level of manganese superoxide dismutase, which catalyzes the dismutation of superoxide into H(2)O(2) and O(2) without affecting the levels of copper-zinc superoxide dismutase or glutathione peroxidase 1, which removes H(2)O(2) using glutathione as substrate. Treatment of U937 cells with catalase inhibited the enhancement of ROS generation induced by TPA, and blocked the TPA-induced differentiation of U937 cells. Human promyelocytic cell line HL60 cells were also induced to differentiate into macrophages by TPA. However, HP100-1 cells, its variant cell line overexpressing catalase, were resistant to TPA-induced differentiation. Our results suggest that catalase inhibits monocytic differentiation by TPA; the decrease in catalase level and the accumulation of H(2)O(2) are significant events for monocyte/macrophage differentiation by TPA.","DOI":"10.1038/leu.2008.353","ISSN":"1476-5551","note":"PMID: 19092850","shortTitle":"Role of catalase in monocytic differentiation of U937 cells by TPA","journalAbbreviation":"Leukemia","language":"eng","author":[{"family":"Yamamoto","given":"T."},{"family":"Sakaguchi","given":"N."},{"family":"Hachiya","given":"M."},{"family":"Nakayama","given":"F."},{"family":"Yamakawa","given":"M."},{"family":"Akashi","given":"M."}],"issued":{"date-parts":[["2009",4]]}}}],"schema":"https://github.com/citation-style-language/schema/raw/master/csl-citation.json"} </w:instrText>
      </w:r>
      <w:r>
        <w:fldChar w:fldCharType="separate"/>
      </w:r>
      <w:r w:rsidR="00A53A6B" w:rsidRPr="00A53A6B">
        <w:rPr>
          <w:rFonts w:ascii="Calibri" w:hAnsi="Calibri"/>
        </w:rPr>
        <w:t>(434)</w:t>
      </w:r>
      <w:r>
        <w:fldChar w:fldCharType="end"/>
      </w:r>
      <w:r>
        <w:t xml:space="preserve">. </w:t>
      </w:r>
      <w:r w:rsidRPr="00633321">
        <w:t>Alternatively, the</w:t>
      </w:r>
      <w:r>
        <w:t xml:space="preserve"> reduction in ROS could be interfering with hemocyte adhesion. Hemocytes with pharmacologically increased levels of ROS display increased spreading and adhesion to a glass substrate </w:t>
      </w:r>
      <w:r>
        <w:fldChar w:fldCharType="begin"/>
      </w:r>
      <w:r w:rsidR="000A209C">
        <w:instrText xml:space="preserve"> ADDIN ZOTERO_ITEM CSL_CITATION {"citationID":"OsmIkEuD","properties":{"formattedCitation":"(435)","plainCitation":"(435)","noteIndex":0},"citationItems":[{"id":1778,"uris":["http://zotero.org/users/952979/items/YPZI23SN"],"uri":["http://zotero.org/users/952979/items/YPZI23SN"],"itemData":{"id":1778,"type":"article-journal","title":"Inflammatory production of reactive oxygen species by Drosophila hemocytes activates cellular immune defenses","container-title":"Biochemical and Biophysical Research Communications","page":"726-732","volume":"505","issue":"3","source":"PubMed","abstract":"The production of reactive oxygen species (ROS) is a prominent response to infection among innate immune cells such as macrophages and neutrophils. To better understand the relationship between antimicrobial and regulatory functions of blood cell ROS, we have characterized the ROS response to infection in Drosophila hemocytes. Using fluorescent probes, we find a biphasic hemocyte ROS response to bacterial infection. In the first hour, virtually all hemocytes generate a transient ROS signal, with nonphagocytic cells including prohemocytes and crystal cells displaying exceptionally strong responses. A distinct, and more delayed ROS response starting at 90 min is primarily within cells that have engulfed bacteria, and is sustained for several hours. The early response has a clear regulatory function, as dampening or intensifying the intracellular ROS level has profound effects on plasmatocyte activation. In addition, ROS are necessary and sufficient to activate JNK signalling in crystal cells, and to promote JNK-dependent crystal cell rupture. These findings indicate that Drosophila will be a promising model in which to dissect the mechanisms of ROS stimulation of immune activation.","DOI":"10.1016/j.bbrc.2018.09.126","ISSN":"1090-2104","note":"PMID: 30292413\nPMCID: PMC6225904","journalAbbreviation":"Biochem. Biophys. Res. Commun.","language":"eng","author":[{"family":"Myers","given":"Amber L."},{"family":"Harris","given":"Caitlin M."},{"family":"Choe","given":"Kwang-Min"},{"family":"Brennan","given":"Catherine A."}],"issued":{"date-parts":[["2018",11,2]]}}}],"schema":"https://github.com/citation-style-language/schema/raw/master/csl-citation.json"} </w:instrText>
      </w:r>
      <w:r>
        <w:fldChar w:fldCharType="separate"/>
      </w:r>
      <w:r w:rsidR="00A53A6B" w:rsidRPr="00A53A6B">
        <w:rPr>
          <w:rFonts w:ascii="Calibri" w:hAnsi="Calibri"/>
        </w:rPr>
        <w:t>(435)</w:t>
      </w:r>
      <w:r>
        <w:fldChar w:fldCharType="end"/>
      </w:r>
      <w:r>
        <w:t xml:space="preserve">. It is possible that reducing ROS levels reduces the ability of hemocytes to ‘adhere’ to the wound, thereby </w:t>
      </w:r>
      <w:r>
        <w:lastRenderedPageBreak/>
        <w:t xml:space="preserve">limiting the number of hemocytes that can be retained at sites of injury. This further suggests that ROS contribute to pro-inflammatory phenotypes of hemocytes. </w:t>
      </w:r>
    </w:p>
    <w:p w14:paraId="5192AA41" w14:textId="77777777" w:rsidR="004275D8" w:rsidRDefault="004275D8" w:rsidP="004275D8">
      <w:pPr>
        <w:pStyle w:val="Thesisnormal"/>
      </w:pPr>
    </w:p>
    <w:p w14:paraId="029A5230" w14:textId="6BE85DCB" w:rsidR="004275D8" w:rsidRPr="004B0686" w:rsidRDefault="004275D8" w:rsidP="004275D8">
      <w:pPr>
        <w:pStyle w:val="Thesisnormal"/>
      </w:pPr>
      <w:r>
        <w:t xml:space="preserve">Conflicting evidence for the role of ROS came from our data demonstrating insignificant, but increased, </w:t>
      </w:r>
      <w:r w:rsidR="00482BB3">
        <w:t xml:space="preserve">hemocyte </w:t>
      </w:r>
      <w:r w:rsidR="00482BB3" w:rsidRPr="00482BB3">
        <w:t>recruitment to wounds</w:t>
      </w:r>
      <w:r>
        <w:t xml:space="preserve"> when Keap1 is knocked down. Knockdown of Keap1 generates higher levels of Nrf2, a potent activator of antioxidants, which is anti-inflammatory </w:t>
      </w:r>
      <w:r>
        <w:fldChar w:fldCharType="begin"/>
      </w:r>
      <w:r w:rsidR="000A209C">
        <w:instrText xml:space="preserve"> ADDIN ZOTERO_ITEM CSL_CITATION {"citationID":"GJVk6y8c","properties":{"formattedCitation":"(414)","plainCitation":"(414)","noteIndex":0},"citationItems":[{"id":1596,"uris":["http://zotero.org/users/952979/items/89NAQN2S"],"uri":["http://zotero.org/users/952979/items/89NAQN2S"],"itemData":{"id":1596,"type":"article-journal","title":"Nrf2 suppresses macrophage inflammatory response by blocking proinflammatory cytokine transcription","container-title":"Nature Communications","page":"11624","volume":"7","source":"www.nature.com","abstract":"Nrf2 (NF-E2-related factor-2) transcription factor regulates oxidative/xenobiotic stress response and also represses inflammation. However, the mechanisms how Nrf2 alleviates inflammation are still unclear. Here, we demonstrate that Nrf2 interferes with lipopolysaccharide-induced transcriptional upregulation of proinflammatory cytokines, including IL-6 and IL-1β. Chromatin immunoprecipitation (ChIP)-seq and ChIP-qPCR analyses revealed that Nrf2 binds to the proximity of these genes in macrophages and inhibits RNA Pol II recruitment. Further, we found that Nrf2-mediated inhibition is independent of the Nrf2-binding motif and reactive oxygen species level. Murine inflammatory models further demonstrated that Nrf2 interferes with IL6 induction and inflammatory phenotypes in vivo. Thus, contrary to the widely accepted view that Nrf2 suppresses inflammation through redox control, we demonstrate here that Nrf2 opposes transcriptional upregulation of proinflammatory cytokine genes. This study identifies Nrf2 as the upstream regulator of cytokine production and establishes a molecular basis for an Nrf2-mediated anti-inflammation approach.","DOI":"10.1038/ncomms11624","ISSN":"2041-1723","language":"en","author":[{"family":"Kobayashi","given":"Eri H."},{"family":"Suzuki","given":"Takafumi"},{"family":"Funayama","given":"Ryo"},{"family":"Nagashima","given":"Takeshi"},{"family":"Hayashi","given":"Makiko"},{"family":"Sekine","given":"Hiroki"},{"family":"Tanaka","given":"Nobuyuki"},{"family":"Moriguchi","given":"Takashi"},{"family":"Motohashi","given":"Hozumi"},{"family":"Nakayama","given":"Keiko"},{"family":"Yamamoto","given":"Masayuki"}],"issued":{"date-parts":[["2016",5,23]]}}}],"schema":"https://github.com/citation-style-language/schema/raw/master/csl-citation.json"} </w:instrText>
      </w:r>
      <w:r>
        <w:fldChar w:fldCharType="separate"/>
      </w:r>
      <w:r w:rsidR="00A53A6B" w:rsidRPr="00A53A6B">
        <w:rPr>
          <w:rFonts w:ascii="Calibri" w:hAnsi="Calibri"/>
        </w:rPr>
        <w:t>(414)</w:t>
      </w:r>
      <w:r>
        <w:fldChar w:fldCharType="end"/>
      </w:r>
      <w:r>
        <w:t xml:space="preserve">. It is possible that the RNAi is affecting other, unknown, targets. Alternatively, the hemocyte-specific driver utilised in this study may not be strong enough or active for a suitable period of time to allow sufficient expression of the RNAi. Keap1 and Nrf2 have been shown to effectively regulate oxidative stress in </w:t>
      </w:r>
      <w:r>
        <w:rPr>
          <w:i/>
        </w:rPr>
        <w:t>Drosophila</w:t>
      </w:r>
      <w:r>
        <w:t xml:space="preserve">, as shown when mutants of </w:t>
      </w:r>
      <w:r w:rsidRPr="003A17B9">
        <w:rPr>
          <w:i/>
        </w:rPr>
        <w:t>Keap1</w:t>
      </w:r>
      <w:r>
        <w:t xml:space="preserve"> are used </w:t>
      </w:r>
      <w:r>
        <w:fldChar w:fldCharType="begin"/>
      </w:r>
      <w:r w:rsidR="000A209C">
        <w:instrText xml:space="preserve"> ADDIN ZOTERO_ITEM CSL_CITATION {"citationID":"bq1E6Osi","properties":{"formattedCitation":"(436)","plainCitation":"(436)","noteIndex":0},"citationItems":[{"id":90,"uris":["http://zotero.org/users/952979/items/A9WG4C75"],"uri":["http://zotero.org/users/952979/items/A9WG4C75"],"itemData":{"id":90,"type":"article-journal","title":"Keap1/Nrf2 signaling regulates oxidative stress tolerance and lifespan in Drosophila","container-title":"Developmental cell","page":"76-85","volume":"14","issue":"1","source":"PubMed Central","abstract":"Keap1/Nrf2 signaling defends organisms against the detrimental effects of oxidative stress, and has been suggested to abate its consequences, including aging-associated diseases like neurodegeneration, chronic inflammation, and cancer. Nrf2 is a prominent target for drug discovery, and Nrf2-activating agents are in clinical trials for cancer chemoprevention. However, aberrant activation of Nrf2 by keap1 somatic mutations may contribute to carcinogenesis and promote resistance to chemotherapy. To evaluate potential functions of Keap1 and Nrf2 for organismal homeostasis, we characterized the pathway in Drosophila. We demonstrate that Keap1/Nrf2 signaling in the fruitfly is activated by oxidants, induces antioxidant and detoxification responses, and confers increased tolerance to oxidative stress. Importantly, keap1 loss-of-function mutations extend the lifespan of Drosophila males, supporting a role for Nrf2 signaling in the regulation of longevity. Interestingly, cancer chemopreventive drugs potently stimulate Drosophila Nrf2 activity, suggesting the fruitfly as an experimental system to identify and characterize such agents.","DOI":"10.1016/j.devcel.2007.12.002","ISSN":"1534-5807","note":"PMID: 18194654\nPMCID: PMC2257869","journalAbbreviation":"Dev Cell","author":[{"family":"Sykiotis","given":"Gerasimos P."},{"family":"Bohmann","given":"Dirk"}],"issued":{"date-parts":[["2008",1]]}}}],"schema":"https://github.com/citation-style-language/schema/raw/master/csl-citation.json"} </w:instrText>
      </w:r>
      <w:r>
        <w:fldChar w:fldCharType="separate"/>
      </w:r>
      <w:r w:rsidR="00A53A6B" w:rsidRPr="00A53A6B">
        <w:rPr>
          <w:rFonts w:ascii="Calibri" w:hAnsi="Calibri"/>
        </w:rPr>
        <w:t>(436)</w:t>
      </w:r>
      <w:r>
        <w:fldChar w:fldCharType="end"/>
      </w:r>
      <w:r>
        <w:t xml:space="preserve">, suggesting that this pathway may still be a relevant target to investigate in hemocytes. Indeed, utilising Nrf2 constructs would allow both validation of these results and further investigation into this mechanism. </w:t>
      </w:r>
      <w:r w:rsidR="00AA171C">
        <w:t>Although we could not confirm the catalase result by showing alterations in hemocyte behaviour with other ROS manipulations, this remains an open question and active area of research. One potential experiment would be to pre-treat embryos with H</w:t>
      </w:r>
      <w:r w:rsidR="00AA171C">
        <w:rPr>
          <w:vertAlign w:val="subscript"/>
        </w:rPr>
        <w:t>2</w:t>
      </w:r>
      <w:r w:rsidR="00AA171C">
        <w:t>O</w:t>
      </w:r>
      <w:r w:rsidR="00AA171C">
        <w:rPr>
          <w:vertAlign w:val="subscript"/>
        </w:rPr>
        <w:t>2</w:t>
      </w:r>
      <w:r w:rsidR="00AA171C">
        <w:t xml:space="preserve"> and then wound to determine if systemically increasing ROS can modulate hemocytes responses to wounding.</w:t>
      </w:r>
    </w:p>
    <w:p w14:paraId="754FB55B" w14:textId="77777777" w:rsidR="004275D8" w:rsidRDefault="004275D8" w:rsidP="004275D8">
      <w:pPr>
        <w:pStyle w:val="Thesisnormal"/>
      </w:pPr>
    </w:p>
    <w:p w14:paraId="0DED4D90" w14:textId="2C832842" w:rsidR="004275D8" w:rsidRPr="00B329ED" w:rsidRDefault="004275D8" w:rsidP="004275D8">
      <w:pPr>
        <w:pStyle w:val="Thesisnormal"/>
      </w:pPr>
      <w:r>
        <w:t xml:space="preserve">We attempted to increase ROS levels within hemocytes by targeting complex-I of the ETC. Targeting subcomponents of these complexes (ND20 and ND75) via RNAi has been shown to increase ROS levels within </w:t>
      </w:r>
      <w:r>
        <w:rPr>
          <w:i/>
        </w:rPr>
        <w:t>Drosophila</w:t>
      </w:r>
      <w:r>
        <w:t xml:space="preserve"> cells </w:t>
      </w:r>
      <w:r>
        <w:fldChar w:fldCharType="begin"/>
      </w:r>
      <w:r w:rsidR="000A209C">
        <w:instrText xml:space="preserve"> ADDIN ZOTERO_ITEM CSL_CITATION {"citationID":"Kny88Ywg","properties":{"formattedCitation":"(417,437,438)","plainCitation":"(417,437,438)","noteIndex":0},"citationItems":[{"id":1397,"uris":["http://zotero.org/users/952979/items/2Q2NI9EI"],"uri":["http://zotero.org/users/952979/items/2Q2NI9EI"],"itemData":{"id":1397,"type":"article-journal","title":"Reactive oxygen species prime Drosophila haematopoietic progenitors for differentiation","container-title":"Nature","page":"537-541","volume":"461","issue":"7263","source":"www.nature.com","abstract":"Reactive oxygen species (ROS), produced during various electron transfer reactions in vivo, are generally considered to be deleterious to cells. In the mammalian haematopoietic system, haematopoietic stem cells contain low levels of ROS. However, unexpectedly, the common myeloid progenitors (CMPs) produce significantly increased levels of ROS2. The functional significance of this difference in ROS level in the two progenitor types remains unresolved. Here we show that Drosophila multipotent haematopoietic progenitors, which are largely akin to the mammalian myeloid progenitors, display increased levels of ROS under in vivo physiological conditions, which are downregulated on differentiation. Scavenging the ROS from these haematopoietic progenitors by using in vivo genetic tools retards their differentiation into mature blood cells. Conversely, increasing the haematopoietic progenitor ROS beyond their basal level triggers precocious differentiation into all three mature blood cell types found in Drosophila, through a signalling pathway that involves JNK and FoxO activation as well as Polycomb downregulation. We conclude that the developmentally regulated, moderately high ROS level in the progenitor population sensitizes them to differentiation, and establishes a signalling role for ROS in the regulation of haematopoietic cell fate. Our results lead to a model that could be extended to reveal a probable signalling role for ROS in the differentiation of CMPs in mammalian haematopoietic development and oxidative stress response.","DOI":"10.1038/nature08313","ISSN":"0028-0836","journalAbbreviation":"Nature","language":"en","author":[{"family":"Owusu-Ansah","given":"Edward"},{"family":"Banerjee","given":"Utpal"}],"issued":{"date-parts":[["2009",9,24]]}}},{"id":88,"uris":["http://zotero.org/users/952979/items/VHV7VHBZ"],"uri":["http://zotero.org/users/952979/items/VHV7VHBZ"],"itemData":{"id":88,"type":"article-journal","title":"Dysfunctions of cellular oxidative metabolism in patients with mutations in the NDUFS1 and NDUFS4 genes of complex I.","container-title":"The Journal of biological chemistry","page":"10374-10380","volume":"281","issue":"15","source":"europepmc.org","abstract":"Abstract: The pathogenic mechanism of a G44A nonsense mutation in the NDUFS4 gene and a C1564A mutation in the NDUFS1 gene of respiratory chain complex I...","DOI":"10.1074/jbc.M513387200","ISSN":"0021-9258","note":"PMID: 16478720","journalAbbreviation":"J Biol Chem","language":"eng","author":[{"family":"Iuso","given":"A."},{"family":"Scacco","given":"S."},{"family":"Piccoli","given":"C."},{"family":"Bellomo","given":"F."},{"family":"Petruzzella","given":"V."},{"family":"Trentadue","given":"R."},{"family":"Minuto","given":"M."},{"family":"Ripoli","given":"M."},{"family":"Capitanio","given":"N."},{"family":"Zeviani","given":"M."},{"family":"Papa","given":"S."}],"issued":{"date-parts":[["2006",4]]}}},{"id":87,"uris":["http://zotero.org/users/952979/items/K5V5Q337"],"uri":["http://zotero.org/users/952979/items/K5V5Q337"],"itemData":{"id":87,"type":"article-journal","title":"Complex I assembly into supercomplexes determines differential mitochondrial ROS production in neurons and astrocytes.","container-title":"Proceedings of the National Academy of Sciences of the United States of America","page":"13063-13068","volume":"113","issue":"46","source":"europepmc.org","abstract":"Abstract: Neurons depend on oxidative phosphorylation for energy generation, whereas astrocytes do not, a distinctive feature that is essential for...","DOI":"10.1073/pnas.1613701113","ISSN":"0027-8424","journalAbbreviation":"Proc Natl Acad Sci U S A","language":"eng","author":[{"family":"Lopez-Fabuel","given":"I."},{"family":"Le","given":"J. Douce"},{"family":"Logan","given":"A."},{"family":"James","given":"A. M."},{"family":"Bonvento","given":"G."},{"family":"Murphy","given":"M. P."},{"family":"Almeida","given":"A."},{"family":"Bolaños","given":"J. P."}],"issued":{"date-parts":[["2016",11]]}}}],"schema":"https://github.com/citation-style-language/schema/raw/master/csl-citation.json"} </w:instrText>
      </w:r>
      <w:r>
        <w:fldChar w:fldCharType="separate"/>
      </w:r>
      <w:r w:rsidR="00A53A6B" w:rsidRPr="00A53A6B">
        <w:rPr>
          <w:rFonts w:ascii="Calibri" w:hAnsi="Calibri"/>
        </w:rPr>
        <w:t>(417,437,438)</w:t>
      </w:r>
      <w:r>
        <w:fldChar w:fldCharType="end"/>
      </w:r>
      <w:r>
        <w:t xml:space="preserve">. In targeting </w:t>
      </w:r>
      <w:r w:rsidRPr="003A17B9">
        <w:rPr>
          <w:i/>
        </w:rPr>
        <w:t>ND20</w:t>
      </w:r>
      <w:r>
        <w:t xml:space="preserve">, we did not generate a phenotype with regards to hemocyte responses to wounding (but did not confirm an increase in ROS levels). However, in </w:t>
      </w:r>
      <w:r w:rsidRPr="003A17B9">
        <w:rPr>
          <w:i/>
        </w:rPr>
        <w:t>ND75</w:t>
      </w:r>
      <w:r>
        <w:t xml:space="preserve"> knockdown in hemocytes we observed a reduction in hemocyte responses to wounding. This finding was the contrast to our hypothesis and earlier findings using catalase. It is possible that as we were affecting the ETC, the disruption to metabolism was taking priority in controlling hemocyte polarisation. </w:t>
      </w:r>
    </w:p>
    <w:p w14:paraId="63C54E46" w14:textId="77777777" w:rsidR="004275D8" w:rsidRDefault="004275D8" w:rsidP="004275D8">
      <w:pPr>
        <w:pStyle w:val="Thesisnormal"/>
      </w:pPr>
    </w:p>
    <w:p w14:paraId="2358BFC7" w14:textId="249A052C" w:rsidR="004275D8" w:rsidRPr="007D2CD5" w:rsidRDefault="004275D8" w:rsidP="004275D8">
      <w:pPr>
        <w:pStyle w:val="Thesisnormal"/>
      </w:pPr>
      <w:r w:rsidRPr="00973109">
        <w:t xml:space="preserve">Extracellular ROS is released from cells undergoing apoptosis and has been shown to have similar signalling functions in mammalians and </w:t>
      </w:r>
      <w:r w:rsidRPr="00973109">
        <w:rPr>
          <w:i/>
        </w:rPr>
        <w:t>Drosophila</w:t>
      </w:r>
      <w:r w:rsidRPr="00973109">
        <w:t xml:space="preserve"> </w:t>
      </w:r>
      <w:r>
        <w:fldChar w:fldCharType="begin"/>
      </w:r>
      <w:r w:rsidR="000A209C">
        <w:instrText xml:space="preserve"> ADDIN ZOTERO_ITEM CSL_CITATION {"citationID":"MWJ1w3hZ","properties":{"formattedCitation":"(298,439)","plainCitation":"(298,439)","noteIndex":0},"citationItems":[{"id":1251,"uris":["http://zotero.org/users/952979/items/MWNS7EZ4"],"uri":["http://zotero.org/users/952979/items/MWNS7EZ4"],"itemData":{"id":1251,"type":"article-journal","title":"Extracellular Reactive Oxygen Species Drive Apoptosis-Induced Proliferation via Drosophila Macrophages","container-title":"Current biology: CB","page":"575-584","volume":"26","issue":"5","source":"PubMed","abstract":"Apoptosis-induced proliferation (AiP) is a compensatory mechanism to maintain tissue size and morphology following unexpected cell loss during normal development, and may also be a contributing factor to cancer and drug resistance. In apoptotic cells, caspase-initiated signaling cascades lead to the downstream production of mitogenic factors and the proliferation of neighboring surviving cells. In epithelial cells of Drosophila imaginal discs, the Caspase-9 ortholog Dronc drives AiP via activation of Jun N-terminal kinase (JNK); however, the specific mechanisms of JNK activation remain unknown. Here we show that caspase-induced activation of JNK during AiP depends on an inflammatory response. This is mediated by extracellular reactive oxygen species (ROSs) generated by the NADPH oxidase Duox in epithelial disc cells. Extracellular ROSs activate Drosophila macrophages (hemocytes), which in turn trigger JNK activity in epithelial cells by signaling through the tumor necrosis factor (TNF) ortholog Eiger. We propose that in an immortalized (\"undead\") model of AiP, signaling back and forth between epithelial disc cells and hemocytes by extracellular ROSs and TNF/Eiger drives overgrowth of the disc epithelium. These data illustrate a bidirectional cell-cell communication pathway with implication for tissue repair, regeneration, and cancer.","DOI":"10.1016/j.cub.2015.12.064","ISSN":"1879-0445","note":"PMID: 26898463\nPMCID: PMC4765900","journalAbbreviation":"Curr. Biol.","language":"eng","author":[{"family":"Fogarty","given":"Caitlin E."},{"family":"Diwanji","given":"Neha"},{"family":"Lindblad","given":"Jillian L."},{"family":"Tare","given":"Meghana"},{"family":"Amcheslavsky","given":"Alla"},{"family":"Makhijani","given":"Kalpana"},{"family":"Brückner","given":"Katja"},{"family":"Fan","given":"Yun"},{"family":"Bergmann","given":"Andreas"}],"issued":{"date-parts":[["2016",3,7]]}}},{"id":86,"uris":["http://zotero.org/users/952979/items/DGDWADQL"],"uri":["http://zotero.org/users/952979/items/DGDWADQL"],"itemData":{"id":86,"type":"article-journal","title":"Oxidatively modified phosphatidylserines on the surface of apoptotic cells are essential phagocytic 'eat-me' signals: cleavage and inhibition of phagocytosis by Lp-PLA2","container-title":"Cell Death and Differentiation","page":"825-835","volume":"21","issue":"5","source":"PubMed","abstract":"Diversified anionic phospholipids, phosphatidylserines (PS), externalized to the surface of apoptotic cells are universal phagocytic signals. However, the role of major PS metabolites, such as peroxidized species of PS (PSox) and lyso-PS, in the clearance of apoptotic cells has not been rigorously evaluated. Here, we demonstrate that H2O2 was equally effective in inducing apoptosis and externalization of PS in naive HL60 cells and in cells enriched with oxidizable polyunsaturated species of PS (supplemented with linoleic acid (LA)). Despite this, the uptake of LA-supplemented cells by RAW264.7 and THP-1 macrophages was more than an order of magnitude more effective than that of naive cells. A similar stimulation of phagocytosis was observed with LA-enriched HL60 cells and Jurkat cells triggered to apoptosis with staurosporine. This was due to the presence of PSox on the surface of apoptotic LA-supplemented cells (but not of naive cells). This enhanced phagocytosis was dependent on activation of the intrinsic apoptotic pathway, as no stimulation of phagocytosis occurred in LA-enriched cells challenged with Fas antibody. Incubation of apoptotic cells with lipoprotein-associated phospholipase A2 (Lp-PLA2), a secreted enzyme with high specificity towards PSox, hydrolyzed peroxidized PS species in LA-supplemented cells resulting in the suppression of phagocytosis to the levels observed for naive cells. This suppression of phagocytosis by Lp-PLA2 was blocked by a selective inhibitor of Lp-PLA2, SB-435495. Screening of possible receptor candidates revealed the ability of several PS receptors and bridging proteins to recognize both PS and PSox, albeit with diverse selectivity. We conclude that PSox is an effective phagocytic 'eat-me' signal that participates in the engulfment of cells undergoing intrinsic apoptosis.","DOI":"10.1038/cdd.2014.1","ISSN":"1476-5403","note":"PMID: 24464221\nPMCID: PMC3978307","shortTitle":"Oxidatively modified phosphatidylserines on the surface of apoptotic cells are essential phagocytic 'eat-me' signals","journalAbbreviation":"Cell Death Differ.","language":"eng","author":[{"family":"Tyurin","given":"V. A."},{"family":"Balasubramanian","given":"K."},{"family":"Winnica","given":"D."},{"family":"Tyurina","given":"Y. Y."},{"family":"Vikulina","given":"A. S."},{"family":"He","given":"R. R."},{"family":"Kapralov","given":"A. A."},{"family":"Macphee","given":"C. H."},{"family":"Kagan","given":"V. E."}],"issued":{"date-parts":[["2014",5]]}}}],"schema":"https://github.com/citation-style-language/schema/raw/master/csl-citation.json"} </w:instrText>
      </w:r>
      <w:r>
        <w:fldChar w:fldCharType="separate"/>
      </w:r>
      <w:r w:rsidR="004A1963" w:rsidRPr="004A1963">
        <w:rPr>
          <w:rFonts w:ascii="Calibri" w:hAnsi="Calibri"/>
        </w:rPr>
        <w:t>(298,439)</w:t>
      </w:r>
      <w:r>
        <w:fldChar w:fldCharType="end"/>
      </w:r>
      <w:r w:rsidRPr="0005590F">
        <w:t xml:space="preserve">. It is therefore possible that the necrotic and dying cells produced by laser ablation release ROS which attracts hemocytes to the wound area. Although, we did not test this hypothesis </w:t>
      </w:r>
      <w:r>
        <w:t>here</w:t>
      </w:r>
      <w:r w:rsidRPr="0005590F">
        <w:t xml:space="preserve">, this represents an important future question for this research. </w:t>
      </w:r>
      <w:r w:rsidRPr="007D2CD5">
        <w:t>ROS h</w:t>
      </w:r>
      <w:r>
        <w:t>ave</w:t>
      </w:r>
      <w:r w:rsidRPr="007D2CD5">
        <w:t xml:space="preserve"> been linked to hypoxia and HIF1α </w:t>
      </w:r>
      <w:r w:rsidRPr="007D2CD5">
        <w:lastRenderedPageBreak/>
        <w:t xml:space="preserve">expression </w:t>
      </w:r>
      <w:r w:rsidRPr="007D2CD5">
        <w:fldChar w:fldCharType="begin"/>
      </w:r>
      <w:r w:rsidR="000A209C">
        <w:instrText xml:space="preserve"> ADDIN ZOTERO_ITEM CSL_CITATION {"citationID":"mwnZdSGJ","properties":{"formattedCitation":"(440)","plainCitation":"(440)","noteIndex":0},"citationItems":[{"id":91,"uris":["http://zotero.org/users/952979/items/KL7UHAR2"],"uri":["http://zotero.org/users/952979/items/KL7UHAR2"],"itemData":{"id":91,"type":"article-journal","title":"LPS induces hypoxia-inducible factor 1 activation in macrophage-differentiated cells in a reactive oxygen species-dependent manner","container-title":"Antioxidants &amp; Redox Signaling","page":"983-995","volume":"10","issue":"5","source":"PubMed","abstract":"A prominent feature of various inflamed and diseased tissue is the presence of low oxygen tension (hypoxia). Effector cells of the innate immune system must maintain their viability and physiologic functions in a hypoxic microenvironment. Monocytes circulating in the bloodstream differentiate into macrophages. During this process, cells acquire the ability to exert effects at hypoxic sites of inflammation. The transcription factor hypoxia-inducible factor 1 (HIF-1) mediates adaptive responses to reduced oxygen availability. In this study, we demonstrated that lipopolysaccharide (LPS) induces HIF-1 activation by enhancing both HIF-1alpha protein expression through a translation-dependent pathway and HIF-1alpha transcriptional activity in THP-1 human myeloid cells that have undergone macrophage differentiation but not in undifferentiated monocytic THP-1 cells. LPS-induced HIF-1 activation was blocked by treatment with antioxidant (N-acetylcysteine or thioredoxin-1), NADPH oxidase inhibitor (diphenyleneiodonium), indicating that reactive oxygen species generated in response to LPS are essential in this process. LPS-mediated activation of HIF-1 was independent of NF-kappaB activity. LPS-induced ROS generation and HIF-1 activation required the expression of Toll-like receptor 4 or myeloid differentiation factor (MyD) 88, thus providing a molecular basis for the selective activation of HIF-1 in differentiated THP-1 cells.","DOI":"10.1089/ars.2007.1825","ISSN":"1523-0864","note":"PMID: 18199003","journalAbbreviation":"Antioxid. Redox Signal.","language":"eng","author":[{"family":"Nishi","given":"Kenichiro"},{"family":"Oda","given":"Tomoyuki"},{"family":"Takabuchi","given":"Satoshi"},{"family":"Oda","given":"Seiko"},{"family":"Fukuda","given":"Kazuhiko"},{"family":"Adachi","given":"Takehiko"},{"family":"Semenza","given":"Gregg L."},{"family":"Shingu","given":"Koh"},{"family":"Hirota","given":"Kiichi"}],"issued":{"date-parts":[["2008",5]]}}}],"schema":"https://github.com/citation-style-language/schema/raw/master/csl-citation.json"} </w:instrText>
      </w:r>
      <w:r w:rsidRPr="007D2CD5">
        <w:fldChar w:fldCharType="separate"/>
      </w:r>
      <w:r w:rsidR="00A53A6B" w:rsidRPr="00A53A6B">
        <w:rPr>
          <w:rFonts w:ascii="Calibri" w:hAnsi="Calibri"/>
        </w:rPr>
        <w:t>(440)</w:t>
      </w:r>
      <w:r w:rsidRPr="007D2CD5">
        <w:fldChar w:fldCharType="end"/>
      </w:r>
      <w:r>
        <w:t>,</w:t>
      </w:r>
      <w:r w:rsidRPr="007D2CD5">
        <w:t xml:space="preserve"> which, together with our results using RNAi </w:t>
      </w:r>
      <w:r>
        <w:t xml:space="preserve">to </w:t>
      </w:r>
      <w:r w:rsidRPr="007D2CD5">
        <w:t xml:space="preserve">target </w:t>
      </w:r>
      <w:r w:rsidRPr="003A17B9">
        <w:rPr>
          <w:i/>
        </w:rPr>
        <w:t>ND75</w:t>
      </w:r>
      <w:r w:rsidRPr="007D2CD5">
        <w:t xml:space="preserve">, suggests that manipulation of metabolism </w:t>
      </w:r>
      <w:r>
        <w:t xml:space="preserve">represents </w:t>
      </w:r>
      <w:r w:rsidRPr="007D2CD5">
        <w:t xml:space="preserve">an interesting target. </w:t>
      </w:r>
      <w:r>
        <w:t xml:space="preserve">Delineating the independent, or dependent, roles of ROS and metabolism is technically highly challenging. </w:t>
      </w:r>
    </w:p>
    <w:p w14:paraId="1EC201CC" w14:textId="77777777" w:rsidR="004275D8" w:rsidRDefault="004275D8" w:rsidP="004275D8">
      <w:pPr>
        <w:pStyle w:val="Thesisnormal"/>
      </w:pPr>
    </w:p>
    <w:p w14:paraId="13CBB40C" w14:textId="77777777" w:rsidR="004275D8" w:rsidRDefault="004275D8" w:rsidP="004275D8">
      <w:pPr>
        <w:pStyle w:val="Heading3"/>
      </w:pPr>
      <w:bookmarkStart w:id="196" w:name="_Toc4589364"/>
      <w:r>
        <w:t xml:space="preserve">4.3.3 Metabolism is important in </w:t>
      </w:r>
      <w:r>
        <w:rPr>
          <w:i/>
        </w:rPr>
        <w:t>Drosophila</w:t>
      </w:r>
      <w:r>
        <w:t xml:space="preserve"> pro-inflammatory</w:t>
      </w:r>
      <w:r w:rsidRPr="00FA2DD4">
        <w:t xml:space="preserve"> </w:t>
      </w:r>
      <w:r>
        <w:t>hemocyte polarisation</w:t>
      </w:r>
      <w:bookmarkEnd w:id="196"/>
    </w:p>
    <w:p w14:paraId="08C6E809" w14:textId="77777777" w:rsidR="004275D8" w:rsidRDefault="004275D8" w:rsidP="004275D8">
      <w:pPr>
        <w:pStyle w:val="Thesisnormal"/>
      </w:pPr>
    </w:p>
    <w:p w14:paraId="51C0532C" w14:textId="5B405C40" w:rsidR="004275D8" w:rsidRDefault="004275D8" w:rsidP="004275D8">
      <w:pPr>
        <w:pStyle w:val="Thesisnormal"/>
      </w:pPr>
      <w:r>
        <w:t xml:space="preserve">The role of metabolism in macrophage polarisation has become an intense area of research </w:t>
      </w:r>
      <w:r>
        <w:fldChar w:fldCharType="begin"/>
      </w:r>
      <w:r w:rsidR="000A209C">
        <w:instrText xml:space="preserve"> ADDIN ZOTERO_ITEM CSL_CITATION {"citationID":"i3TkxTOh","properties":{"formattedCitation":"(398)","plainCitation":"(398)","noteIndex":0},"citationItems":[{"id":1544,"uris":["http://zotero.org/users/952979/items/D75R9G85"],"uri":["http://zotero.org/users/952979/items/D75R9G85"],"itemData":{"id":1544,"type":"article-journal","title":"Macrophage Immunometabolism: Where Are We (Going)?","container-title":"Trends in Immunology","page":"395-406","volume":"38","issue":"6","source":"www.cell.com","DOI":"10.1016/j.it.2017.03.001","ISSN":"1471-4906, 1471-4981","note":"PMID: 28396078","shortTitle":"Macrophage Immunometabolism","journalAbbreviation":"Trends in Immunology","language":"English","author":[{"family":"Bossche","given":"Jan Van","dropping-particle":"den"},{"family":"O’Neill","given":"Luke A."},{"family":"Menon","given":"Deepthi"}],"issued":{"date-parts":[["2017",6,1]]}}}],"schema":"https://github.com/citation-style-language/schema/raw/master/csl-citation.json"} </w:instrText>
      </w:r>
      <w:r>
        <w:fldChar w:fldCharType="separate"/>
      </w:r>
      <w:r w:rsidR="00A53A6B" w:rsidRPr="00A53A6B">
        <w:rPr>
          <w:rFonts w:ascii="Calibri" w:hAnsi="Calibri"/>
        </w:rPr>
        <w:t>(398)</w:t>
      </w:r>
      <w:r>
        <w:fldChar w:fldCharType="end"/>
      </w:r>
      <w:r>
        <w:t xml:space="preserve">. </w:t>
      </w:r>
      <w:r w:rsidR="00F65527">
        <w:t>Pro-inflammatory (</w:t>
      </w:r>
      <w:r>
        <w:t>M1</w:t>
      </w:r>
      <w:r w:rsidR="00F65527">
        <w:t>)</w:t>
      </w:r>
      <w:r>
        <w:t xml:space="preserve"> macrophages are known to prioritise glycolysis, whilst </w:t>
      </w:r>
      <w:r w:rsidR="00F65527">
        <w:t>anti-inflammatory (</w:t>
      </w:r>
      <w:r>
        <w:t>M2</w:t>
      </w:r>
      <w:r w:rsidR="00F65527">
        <w:t>)</w:t>
      </w:r>
      <w:r>
        <w:t xml:space="preserve"> macrophage metabolism is dominated by oxidative phosphorylation and fatty acid oxidation </w:t>
      </w:r>
      <w:r>
        <w:fldChar w:fldCharType="begin"/>
      </w:r>
      <w:r w:rsidR="000A209C">
        <w:instrText xml:space="preserve"> ADDIN ZOTERO_ITEM CSL_CITATION {"citationID":"ut0DHLQG","properties":{"formattedCitation":"(59)","plainCitation":"(59)","noteIndex":0},"citationItems":[{"id":1611,"uris":["http://zotero.org/users/952979/items/UYK936T3"],"uri":["http://zotero.org/users/952979/items/UYK936T3"],"itemData":{"id":1611,"type":"article-journal","title":"AMPK promotes macrophage fatty acid oxidative metabolism to mitigate inflammation: implications for diabetes and cardiovascular disease","container-title":"Immunology and Cell Biology","page":"340-345","volume":"92","issue":"4","source":"PubMed","abstract":"Metabolic inflammation, a low-grade chronic pro-inflammatory environment in metabolic or vascular tissues during nutrient excess, has emerged as an important factor underpinning the development of type 2 diabetes (T2D) and cardiovascular disease (CVD). Macrophages are a primary source of inflammatory effectors that contribute to insulin resistance and atherosclerosis, the precursors of T2D and CVD, respectively. Oxidative metabolism dictates the inflammatory status of macrophages, effects that may be upstream of endoplasmic reticulum (ER) stress and the NLRP3 inflammasome. The AMP-activated protein kinase (AMPK) lies at the crossroads of metabolically driven macrophage inflammation and exerts control over mitochondrial metabolism, and therefore is vital for dictating the inflammatory status of macrophages. Understanding how AMPK regulates oxidative metabolism and substrate selection to control both ER stress and NLRP3 inflammasome-mediated inflammation holds promise for identifying new therapies and the tailoring of current therapies for the treatment of T2D and CVD.","DOI":"10.1038/icb.2014.11","ISSN":"1440-1711","note":"PMID: 24638063","shortTitle":"AMPK promotes macrophage fatty acid oxidative metabolism to mitigate inflammation","journalAbbreviation":"Immunol. Cell Biol.","language":"eng","author":[{"family":"Steinberg","given":"Gregory R."},{"family":"Schertzer","given":"Jonathan D."}],"issued":{"date-parts":[["2014",4]]}}}],"schema":"https://github.com/citation-style-language/schema/raw/master/csl-citation.json"} </w:instrText>
      </w:r>
      <w:r>
        <w:fldChar w:fldCharType="separate"/>
      </w:r>
      <w:r w:rsidR="004A1963" w:rsidRPr="004A1963">
        <w:rPr>
          <w:rFonts w:ascii="Calibri" w:hAnsi="Calibri"/>
        </w:rPr>
        <w:t>(59)</w:t>
      </w:r>
      <w:r>
        <w:fldChar w:fldCharType="end"/>
      </w:r>
      <w:r>
        <w:t xml:space="preserve">. Our results from wounding ND75 (complex-I of the ETC) knockdown embryos suggested that metabolism may be an important factor in determining hemocyte polarisation states. We first investigated the effect of overexpressing complex-II of the ETC, succinate dehydrogenase, on hemocyte functions. Sdh is increased in M1 macrophages, resulting in accumulation of succinate </w:t>
      </w:r>
      <w:r>
        <w:fldChar w:fldCharType="begin"/>
      </w:r>
      <w:r w:rsidR="000A209C">
        <w:instrText xml:space="preserve"> ADDIN ZOTERO_ITEM CSL_CITATION {"citationID":"HF4ZgwVc","properties":{"formattedCitation":"(34,35)","plainCitation":"(34,35)","noteIndex":0},"citationItems":[{"id":1648,"uris":["http://zotero.org/users/952979/items/4CQXZFAC"],"uri":["http://zotero.org/users/952979/items/4CQXZFAC"],"itemData":{"id":1648,"type":"article-journal","title":"Succinate is an inflammatory signal that induces IL-1β through HIF-1α","container-title":"Nature","page":"238-242","volume":"496","issue":"7444","source":"PubMed","abstract":"Macrophages activated by the Gram-negative bacterial product lipopolysaccharide switch their core metabolism from oxidative phosphorylation to glycolysis. Here we show that inhibition of glycolysis with 2-deoxyglucose suppresses lipopolysaccharide-induced interleukin-1β but not tumour-necrosis factor-α in mouse macrophages. A comprehensive metabolic map of lipopolysaccharide-activated macrophages shows upregulation of glycolytic and downregulation of mitochondrial genes, which correlates directly with the expression profiles of altered metabolites. Lipopolysaccharide strongly increases the levels of the tricarboxylic-acid cycle intermediate succinate. Glutamine-dependent anerplerosis is the principal source of succinate, although the 'GABA (γ-aminobutyric acid) shunt' pathway also has a role. Lipopolysaccharide-induced succinate stabilizes hypoxia-inducible factor-1α, an effect that is inhibited by 2-deoxyglucose, with interleukin-1β as an important target. Lipopolysaccharide also increases succinylation of several proteins. We therefore identify succinate as a metabolite in innate immune signalling, which enhances interleukin-1β production during inflammation.","DOI":"10.1038/nature11986","ISSN":"1476-4687","note":"PMID: 23535595\nPMCID: PMC4031686","journalAbbreviation":"Nature","language":"eng","author":[{"family":"Tannahill","given":"G. M."},{"family":"Curtis","given":"A. M."},{"family":"Adamik","given":"J."},{"family":"Palsson-McDermott","given":"E. M."},{"family":"McGettrick","given":"A. F."},{"family":"Goel","given":"G."},{"family":"Frezza","given":"C."},{"family":"Bernard","given":"N. J."},{"family":"Kelly","given":"B."},{"family":"Foley","given":"N. H."},{"family":"Zheng","given":"L."},{"family":"Gardet","given":"A."},{"family":"Tong","given":"Z."},{"family":"Jany","given":"S. S."},{"family":"Corr","given":"S. C."},{"family":"Haneklaus","given":"M."},{"family":"Caffrey","given":"B. E."},{"family":"Pierce","given":"K."},{"family":"Walmsley","given":"S."},{"family":"Beasley","given":"F. C."},{"family":"Cummins","given":"E."},{"family":"Nizet","given":"V."},{"family":"Whyte","given":"M."},{"family":"Taylor","given":"C. T."},{"family":"Lin","given":"H."},{"family":"Masters","given":"S. L."},{"family":"Gottlieb","given":"E."},{"family":"Kelly","given":"V. P."},{"family":"Clish","given":"C."},{"family":"Auron","given":"P. E."},{"family":"Xavier","given":"R. J."},{"family":"O'Neill","given":"L. a. J."}],"issued":{"date-parts":[["2013",4,11]]}}},{"id":1659,"uris":["http://zotero.org/users/952979/items/Q4A867CE"],"uri":["http://zotero.org/users/952979/items/Q4A867CE"],"itemData":{"id":1659,"type":"article-journal","title":"Succinate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A."}],"issued":{"date-parts":[["2016",10,6]]}}}],"schema":"https://github.com/citation-style-language/schema/raw/master/csl-citation.json"} </w:instrText>
      </w:r>
      <w:r>
        <w:fldChar w:fldCharType="separate"/>
      </w:r>
      <w:r w:rsidR="004A1963" w:rsidRPr="004A1963">
        <w:rPr>
          <w:rFonts w:ascii="Calibri" w:hAnsi="Calibri"/>
        </w:rPr>
        <w:t>(34,35)</w:t>
      </w:r>
      <w:r>
        <w:fldChar w:fldCharType="end"/>
      </w:r>
      <w:r>
        <w:t xml:space="preserve">. Although not-significant, we observed an increased response of hemocytes to wounding, suggesting that these hemocytes were activated to a pro-inflammatory phenotype. Consistently, when we assessed the number of vacuoles within hemocytes (a measure of efferocytosis and anti-inflammatory function) we found the overexpression of </w:t>
      </w:r>
      <w:r w:rsidRPr="003A17B9">
        <w:rPr>
          <w:i/>
        </w:rPr>
        <w:t>Sdh</w:t>
      </w:r>
      <w:r>
        <w:t xml:space="preserve"> decreased the number of vacuoles within hemocytes. Elevated levels of Sdh have been shown to increase expression of pro-inflammatory cytokines such as IL-1β; confirmed by demonstrating that inhibition of </w:t>
      </w:r>
      <w:r w:rsidRPr="003A17B9">
        <w:t>Sdh</w:t>
      </w:r>
      <w:r>
        <w:t xml:space="preserve"> induces an anti-inflammatory response </w:t>
      </w:r>
      <w:r>
        <w:fldChar w:fldCharType="begin"/>
      </w:r>
      <w:r w:rsidR="000A209C">
        <w:instrText xml:space="preserve"> ADDIN ZOTERO_ITEM CSL_CITATION {"citationID":"dFNM8tNt","properties":{"formattedCitation":"(34)","plainCitation":"(34)","noteIndex":0},"citationItems":[{"id":1659,"uris":["http://zotero.org/users/952979/items/Q4A867CE"],"uri":["http://zotero.org/users/952979/items/Q4A867CE"],"itemData":{"id":1659,"type":"article-journal","title":"Succinate Dehydrogenase Supports Metabolic Repurposing of Mitochondria to Drive Inflammatory Macrophages","container-title":"Cell","page":"457-470.e13","volume":"167","issue":"2","source":"PubMed","abstract":"Activated macrophages undergo metabolic reprogramming, which drives their pro-inflammatory phenotype, but the mechanistic basis for this remains obscure. Here, we demonstrate that upon lipopolysaccharide (LPS) stimulation, macrophages shift from producing ATP by oxidative phosphorylation to glycolysis while also increasing succinate levels. We show that increased mitochondrial oxidation of succinate via succinate dehydrogenase (SDH) and an elevation of mitochondrial membrane potential combine to drive mitochondrial reactive oxygen species (ROS) production. RNA sequencing reveals that this combination induces a pro-inflammatory gene expression profile, while an inhibitor of succinate oxidation, dimethyl malonate (DMM), promotes an anti-inflammatory outcome. Blocking ROS production with rotenone by uncoupling mitochondria or by expressing the alternative oxidase (AOX) inhibits this inflammatory phenotype, with AOX protecting mice from LPS lethality. The metabolic alterations that occur upon activation of macrophages therefore repurpose mitochondria from ATP synthesis to ROS production in order to promote a pro-inflammatory state.","DOI":"10.1016/j.cell.2016.08.064","ISSN":"1097-4172","note":"PMID: 27667687\nPMCID: PMC5863951","journalAbbreviation":"Cell","language":"eng","author":[{"family":"Mills","given":"Evanna L."},{"family":"Kelly","given":"Beth"},{"family":"Logan","given":"Angela"},{"family":"Costa","given":"Ana S. H."},{"family":"Varma","given":"Mukund"},{"family":"Bryant","given":"Clare E."},{"family":"Tourlomousis","given":"Panagiotis"},{"family":"Däbritz","given":"J. Henry M."},{"family":"Gottlieb","given":"Eyal"},{"family":"Latorre","given":"Isabel"},{"family":"Corr","given":"Sinéad C."},{"family":"McManus","given":"Gavin"},{"family":"Ryan","given":"Dylan"},{"family":"Jacobs","given":"Howard T."},{"family":"Szibor","given":"Marten"},{"family":"Xavier","given":"Ramnik J."},{"family":"Braun","given":"Thomas"},{"family":"Frezza","given":"Christian"},{"family":"Murphy","given":"Michael P."},{"family":"O'Neill","given":"Luke A."}],"issued":{"date-parts":[["2016",10,6]]}}}],"schema":"https://github.com/citation-style-language/schema/raw/master/csl-citation.json"} </w:instrText>
      </w:r>
      <w:r>
        <w:fldChar w:fldCharType="separate"/>
      </w:r>
      <w:r w:rsidR="004A1963" w:rsidRPr="004A1963">
        <w:rPr>
          <w:rFonts w:ascii="Calibri" w:hAnsi="Calibri"/>
        </w:rPr>
        <w:t>(34)</w:t>
      </w:r>
      <w:r>
        <w:fldChar w:fldCharType="end"/>
      </w:r>
      <w:r>
        <w:t xml:space="preserve">. The literature has thus far not separated out the individual contributions of different metabolic processes on pro- or anti-inflammatory functions. It is possible that Sdh is required for processes involved in efferocytosis rather than recruitment to sites of wounding. It would be a useful additional metric to analyse the size of vacuoles within these embryos or follow phagocytosis dynamically to address this process more accurately, since numbers of vacuoles can also be influenced by phagosome maturation (a process influenced by polarisation state </w:t>
      </w:r>
      <w:r>
        <w:fldChar w:fldCharType="begin"/>
      </w:r>
      <w:r w:rsidR="000A209C">
        <w:instrText xml:space="preserve"> ADDIN ZOTERO_ITEM CSL_CITATION {"citationID":"7CM1nQUw","properties":{"formattedCitation":"(346,441)","plainCitation":"(346,441)","noteIndex":0},"citationItems":[{"id":1748,"uris":["http://zotero.org/users/952979/items/QXEDKJAS"],"uri":["http://zotero.org/users/952979/items/QXEDKJAS"],"itemData":{"id":1748,"type":"article-journal","title":"Phagosome maturation in polarized macrophages","container-title":"Journal of Leukocyte Biology","page":"729-738","volume":"96","issue":"5","source":"PubMed","abstract":"Macrophages are capable of assuming distinct, meta-stable, functional phenotypes in response to environmental cues-a process referred to as macrophage polarization. The identity and plasticity of polarized macrophage subsets as well as their functions in the maintenance of homeostasis and the progression of various pathologies have become areas of intense interest. Yet, the mechanisms by which they achieve subset-specific functions at the cellular level remain unclear. It is becoming apparent that phagocytosis and phagosome maturation differ depending on the polarization of macrophages. This minireview summarizes recent progress in this field, highlighting developing trends and discussing the molecular mechanisms that underlie subset-specific functions.","DOI":"10.1189/jlb.1MR0114-021R","ISSN":"1938-3673","note":"PMID: 24868088","journalAbbreviation":"J. Leukoc. Biol.","language":"eng","author":[{"family":"Canton","given":"Johnathan"}],"issued":{"date-parts":[["2014",11]]}}},{"id":1264,"uris":["http://zotero.org/users/952979/items/JWJVTBH8"],"uri":["http://zotero.org/users/952979/items/JWJVTBH8"],"itemData":{"id":1264,"type":"article-journal","title":"Contrasting phagosome pH regulation and maturation in human M1 and M2 macrophages","container-title":"Molecular Biology of the Cell","page":"3330-3341","volume":"25","issue":"21","source":"PubMed","abstract":"Macrophages respond to changes in environmental stimuli by assuming distinct functional phenotypes, a phenomenon referred to as macrophage polarization. We generated classically (M1) and alternatively (M2) polarized macrophages--two extremes of the polarization spectrum--to compare the properties of their phagosomes. Specifically, we analyzed the regulation of the luminal pH after particle engulfment. The phagosomes of M1 macrophages had a similar buffering power and proton (equivalent) leakage permeability but significantly reduced proton-pumping activity compared with M2 phagosomes. As a result, only the latter underwent a rapid and profound acidification. By contrast, M1 phagosomes displayed alkaline pH oscillations, which were caused by proton consumption upon dismutation of superoxide, followed by activation of a voltage- and Zn(2+)-sensitive permeation pathway, likely HV1 channels. The paucity of V-ATPases in M1 phagosomes was associated with, and likely caused by, delayed fusion with late endosomes and lysosomes. The delayed kinetics of maturation was, in turn, promoted by the failure of M1 phagosomes to acidify. Thus, in M1 cells, elimination of pathogens through deployment of the microbicidal NADPH oxidase is given priority at the expense of delayed acidification. By contrast, M2 phagosomes proceed to acidify immediately in order to clear apoptotic bodies rapidly and effectively.","DOI":"10.1091/mbc.E14-05-0967","ISSN":"1939-4586","note":"PMID: 25165138\nPMCID: PMC4214780","journalAbbreviation":"Mol. Biol. Cell","language":"eng","author":[{"family":"Canton","given":"Johnathan"},{"family":"Khezri","given":"Rojyar"},{"family":"Glogauer","given":"Michael"},{"family":"Grinstein","given":"Sergio"}],"issued":{"date-parts":[["2014",11,1]]}}}],"schema":"https://github.com/citation-style-language/schema/raw/master/csl-citation.json"} </w:instrText>
      </w:r>
      <w:r>
        <w:fldChar w:fldCharType="separate"/>
      </w:r>
      <w:r w:rsidR="004A1963" w:rsidRPr="004A1963">
        <w:rPr>
          <w:rFonts w:ascii="Calibri" w:hAnsi="Calibri"/>
        </w:rPr>
        <w:t>(346,441)</w:t>
      </w:r>
      <w:r>
        <w:fldChar w:fldCharType="end"/>
      </w:r>
      <w:r>
        <w:t>).</w:t>
      </w:r>
      <w:r w:rsidR="00FD7B68">
        <w:t xml:space="preserve"> Dynamic analysis would also enable us to confirm where the apoptotic cells are originating (i.e. are vacuoles from the same apoptotic cell or multiple cells?).</w:t>
      </w:r>
      <w:r>
        <w:t xml:space="preserve"> </w:t>
      </w:r>
      <w:r w:rsidR="0039693C">
        <w:t>There are now reporters available for tracking apoptotic cells dynamically (</w:t>
      </w:r>
      <w:r w:rsidR="0039693C">
        <w:fldChar w:fldCharType="begin"/>
      </w:r>
      <w:r w:rsidR="000A209C">
        <w:instrText xml:space="preserve"> ADDIN ZOTERO_ITEM CSL_CITATION {"citationID":"AOLQY4XK","properties":{"formattedCitation":"(442)","plainCitation":"(442)","noteIndex":0},"citationItems":[{"id":1509,"uris":["http://zotero.org/users/952979/items/QEGSP7MG"],"uri":["http://zotero.org/users/952979/items/QEGSP7MG"],"itemData":{"id":1509,"type":"article-journal","title":"A fluorescent toolkit for spatiotemporal tracking of apoptotic cells in living Drosophila tissues","container-title":"Development","page":"dev.149807","source":"dev.biologists.org","abstract":"Skip to Next Section\nFar from being passive, apoptotic cells influence their environment. For instance, they promote tissue folding, myoblast fusion and modulate tumor growth. Understanding the role of apoptotic cells necessitates their efficient tracking within living tissues, a task which is currently challenging. In order to easily spot apoptotic cells in developing Drosophila tissues, we generated a series of fly lines expressing different fluorescent sensors of caspase activity. We show that three of these reporters (GFP, Cerulean and Venus derived molecules) are detected specifically in apoptotic cells and throughout the whole process of programmed cell death. These reporters allow the specific visualization of apoptotic cells directly within living tissues, without any post-acquisition processing. They overcome the limitations of other apoptosis detection methods developed so far and notably, they can be combined with any kind of fluorophore.","DOI":"10.1242/dev.149807","ISSN":"0950-1991, 1477-9129","note":"PMID: 28870988","journalAbbreviation":"Development","language":"en","author":[{"family":"Schott","given":"Sonia"},{"family":"Ambrosini","given":"Arnaud"},{"family":"Barbaste","given":"Audrey"},{"family":"Benassayag","given":"Corinne"},{"family":"Gracia","given":"Mélanie"},{"family":"Proag","given":"Amsha"},{"family":"Rayer","given":"Mégane"},{"family":"Monier","given":"Bruno"},{"family":"Suzanne","given":"Magali"}],"issued":{"date-parts":[["2017",1,1]]}}}],"schema":"https://github.com/citation-style-language/schema/raw/master/csl-citation.json"} </w:instrText>
      </w:r>
      <w:r w:rsidR="0039693C">
        <w:fldChar w:fldCharType="separate"/>
      </w:r>
      <w:r w:rsidR="0039693C" w:rsidRPr="0039693C">
        <w:rPr>
          <w:rFonts w:ascii="Calibri" w:hAnsi="Calibri"/>
        </w:rPr>
        <w:t>(442)</w:t>
      </w:r>
      <w:r w:rsidR="0039693C">
        <w:fldChar w:fldCharType="end"/>
      </w:r>
      <w:r w:rsidR="0039693C">
        <w:t xml:space="preserve">). </w:t>
      </w:r>
      <w:r>
        <w:t xml:space="preserve">Taken together this data suggests that hemocytes with higher levels of Sdh are functioning in a pro-inflammatory manner. </w:t>
      </w:r>
    </w:p>
    <w:p w14:paraId="5A4397C6" w14:textId="77777777" w:rsidR="004275D8" w:rsidRDefault="004275D8" w:rsidP="004275D8">
      <w:pPr>
        <w:pStyle w:val="Thesisnormal"/>
      </w:pPr>
    </w:p>
    <w:p w14:paraId="6E226A22" w14:textId="4BB9C802" w:rsidR="004275D8" w:rsidRPr="00ED7CE0" w:rsidRDefault="004275D8" w:rsidP="004275D8">
      <w:pPr>
        <w:pStyle w:val="Thesisnormal"/>
      </w:pPr>
      <w:r>
        <w:lastRenderedPageBreak/>
        <w:t xml:space="preserve">We wished to investigate if impaired glycolysis could drive M2-like phenotypes in hemocytes. Hemocyte-specific RNAi-mediated knockdown of Hexokinase, the first step in glycolysis, did not alter hemocyte responses to wounding. The data was </w:t>
      </w:r>
      <w:r w:rsidR="00927947">
        <w:t>very slightly</w:t>
      </w:r>
      <w:r>
        <w:t xml:space="preserve"> reduced suggesting that the RNAi may be functioning at a</w:t>
      </w:r>
      <w:r w:rsidR="00927947">
        <w:t xml:space="preserve"> highly</w:t>
      </w:r>
      <w:r>
        <w:t xml:space="preserve"> limited rate. We therefore attempted to increase glycolysis levels with RNAi targeting pyruvate dehydrogenase and the positive regulator PDP. Neither manipulation affected </w:t>
      </w:r>
      <w:r w:rsidR="00482BB3">
        <w:t xml:space="preserve">hemocyte </w:t>
      </w:r>
      <w:r w:rsidR="00482BB3" w:rsidRPr="00482BB3">
        <w:t>recruitment to wounds</w:t>
      </w:r>
      <w:r>
        <w:t xml:space="preserve">. We suspected that the RNAi was not functioning at this stage of development. We therefore overexpressed </w:t>
      </w:r>
      <w:r>
        <w:rPr>
          <w:i/>
        </w:rPr>
        <w:t>pdk</w:t>
      </w:r>
      <w:r>
        <w:t xml:space="preserve">, a negative regulator of PDH. PDK promoted pro-inflammatory, M1-like, behaviours within our hemocytes, improving </w:t>
      </w:r>
      <w:r w:rsidR="00482BB3">
        <w:t xml:space="preserve">hemocyte </w:t>
      </w:r>
      <w:r w:rsidR="00482BB3" w:rsidRPr="00482BB3">
        <w:t>recruitment to wounds</w:t>
      </w:r>
      <w:r>
        <w:t xml:space="preserve"> and reducing efferocytosis. This suggested that our RNAi lines for other targets in metabolism were non-functioning; if time had allowed, this could be validated with qPCR. Alternatively, it is possible that the levels of </w:t>
      </w:r>
      <w:r w:rsidRPr="0079486E">
        <w:rPr>
          <w:i/>
        </w:rPr>
        <w:t>pdk</w:t>
      </w:r>
      <w:r>
        <w:t xml:space="preserve"> are more limiting than the other genes investigated with regards to the effects of modulating metabolism. </w:t>
      </w:r>
      <w:r w:rsidR="00E73471">
        <w:t xml:space="preserve">We also found an increased number of circulating hemocytes in L3 larvae when </w:t>
      </w:r>
      <w:r w:rsidR="00E73471">
        <w:rPr>
          <w:i/>
        </w:rPr>
        <w:t>pdk</w:t>
      </w:r>
      <w:r w:rsidR="00E73471">
        <w:t xml:space="preserve"> was overexpressed. </w:t>
      </w:r>
      <w:r w:rsidR="003902A3">
        <w:t xml:space="preserve">This suggests that </w:t>
      </w:r>
      <w:r w:rsidR="003902A3">
        <w:rPr>
          <w:i/>
        </w:rPr>
        <w:t>pdk</w:t>
      </w:r>
      <w:r w:rsidR="003902A3">
        <w:t xml:space="preserve"> is affecting hemocyte adhesion. This may also explain the increase recruitment to wounds, as hemocytes are less capable of leaving the wound, therefore hemocyte dynamics at the wound are reduced. Indeed, M1 macrophages recruited to wounds originate primarily from circulating monocytes which require an intermediate level of adhesion (too much or too little adhesion prevents recruitment to wounds) </w:t>
      </w:r>
      <w:r w:rsidR="003902A3">
        <w:fldChar w:fldCharType="begin"/>
      </w:r>
      <w:r w:rsidR="000A209C">
        <w:instrText xml:space="preserve"> ADDIN ZOTERO_ITEM CSL_CITATION {"citationID":"KL6Jrm5t","properties":{"formattedCitation":"(443,444)","plainCitation":"(443,444)","noteIndex":0},"citationItems":[{"id":4756,"uris":["http://zotero.org/users/952979/items/8Q7M96KN"],"uri":["http://zotero.org/users/952979/items/8Q7M96KN"],"itemData":{"id":4756,"type":"article-journal","title":"Myosin 1F Regulates M1-Polarization by Stimulating Intercellular Adhesion in Macrophages","container-title":"Frontiers in Immunology","volume":"9","source":"PubMed Central","abstract":"Intestinal macrophages are highly mobile cells with extraordinary plasticity and actively contribute to cytokine-mediated epithelial cell damage. The mechanisms triggering macrophage polarization into a proinflammatory phenotype are unknown. Here, we report that during inflammation macrophages enhance its intercellular adhesion properties in order to acquire a M1-phenotype. Using in vitro and in vivo models we demonstrate that intercellular adhesion is mediated by integrin-αVβ3 and relies in the presence of the unconventional class I myosin 1F (Myo1F). Intercellular adhesion mediated by αVβ3 stimulates M1-like phenotype in macrophages through hyperactivation of STAT1 and STAT3 downstream of ILK/Akt/mTOR signaling. Inhibition of integrin-αVβ3, Akt/mTOR, or lack of Myo1F attenuated the commitment of macrophages into a pro-inflammatory phenotype. In a model of colitis, Myo1F deficiency strongly reduces the secretion of proinflammatory cytokines, decreases epithelial damage, ameliorates disease activity, and enhances tissue repair. Together our findings uncover an unknown role for Myo1F as part of the machinery that regulates intercellular adhesion and polarization in macrophages.","URL":"https://www.ncbi.nlm.nih.gov/pmc/articles/PMC6335276/","DOI":"10.3389/fimmu.2018.03118","ISSN":"1664-3224","note":"PMID: 30687322\nPMCID: PMC6335276","journalAbbreviation":"Front Immunol","author":[{"family":"Piedra-Quintero","given":"Zayda L."},{"family":"Serrano","given":"Carolina"},{"family":"Villegas-Sepúlveda","given":"Nicolás"},{"family":"Maravillas-Montero","given":"José L."},{"family":"Romero-Ramírez","given":"Sandra"},{"family":"Shibayama","given":"Mineko"},{"family":"Medina-Contreras","given":"Oscar"},{"family":"Nava","given":"Porfirio"},{"family":"Santos-Argumedo","given":"Leopoldo"}],"issued":{"date-parts":[["2019",1,10]]},"accessed":{"date-parts":[["2019",4,2]]}}},{"id":4755,"uris":["http://zotero.org/users/952979/items/9G6BBXZT"],"uri":["http://zotero.org/users/952979/items/9G6BBXZT"],"itemData":{"id":4755,"type":"article-journal","title":"Distinct Migratory Properties of M1, M2, and Resident Macrophages Are Regulated by αDβ2 and αMβ2 Integrin-Mediated Adhesion","container-title":"Frontiers in Immunology","volume":"9","source":"Frontiers","abstract":"Chronic inflammation is essential mechanism during the development of cardiovascular and metabolic diseases. The outcome of diseases depends on the balance between the migration/accumulation of pro-inflammatory (M1) and anti-inflammatory (M2) macrophages in damaged tissue. The mechanism of macrophage migration and subsequent accumulation is still not fully understood. Currently, the amoeboid adhesion-independent motility is considered essential for leukocyte migration in the three-dimensional environment. We challenge this hypothesis by studying the contribution of leukocyte adhesive receptors, integrins αMβ2 and αDβ2, to three-dimensional migration of M1-polarized, M2-polarized and resident macrophages. Both integrins have a moderate expression on M2 macrophages, while αDβ2 is upregulated on M1 and αMβ2 demonstrates high expression on resident macrophages. The level of integrin expression determines its contribution to macrophage migration. Namely, intermediate expression supports macrophage migration, while a high integrin density inhibits it. Using in vitro three-dimensional migration and in vivo tracking of adoptively-transferred fluorescently-labeled macrophages during the resolution of inflammation, we found that strong adhesion of M1-activated macrophages translates to weak 3D migration, while moderate adhesion of M2-activated macrophages generates dynamic motility. Reduced migration of M1 macrophages depends on the high expression of αDβ2, since αD-deficiency decreased M1 macrophage adhesion and improved migration in fibrin matrix and peritoneal tissue. Similarly, the high expression of αMβ2 on resident macrophages prevents their amoeboid migration, which is markedly increased in αM-deficient macrophages. In contrast, αD- and αM-knockouts decrease the migration of M2 macrophages, demonstrating that moderate integrin expression supports cell motility. The results were confirmed in a diet-induced diabetes model. αD deficiency prevents the retention of inflammatory macrophages in adipose tissue and improves metabolic parameters, while αM deficiency does not affect macrophage accumulation. Summarizing, β2 integrin-mediated adhesion may inhibit amoeboid and mesenchymal macrophage migration or support mesenchymal migration in tissue, and, therefore, represents an important target to control inflammation.","URL":"http://www.frontiersin.org/articles/10.3389/fimmu.2018.02650/full","DOI":"10.3389/fimmu.2018.02650","ISSN":"1664-3224","journalAbbreviation":"Front. Immunol.","language":"English","author":[{"family":"Cui","given":"Kui"},{"family":"Ardell","given":"Christopher L."},{"family":"Podolnikova","given":"Nataly P."},{"family":"Yakubenko","given":"Valentin P."}],"issued":{"date-parts":[["2018"]]},"accessed":{"date-parts":[["2019",4,2]]}}}],"schema":"https://github.com/citation-style-language/schema/raw/master/csl-citation.json"} </w:instrText>
      </w:r>
      <w:r w:rsidR="003902A3">
        <w:fldChar w:fldCharType="separate"/>
      </w:r>
      <w:r w:rsidR="003902A3" w:rsidRPr="003902A3">
        <w:rPr>
          <w:rFonts w:ascii="Calibri" w:hAnsi="Calibri"/>
        </w:rPr>
        <w:t>(443,444)</w:t>
      </w:r>
      <w:r w:rsidR="003902A3">
        <w:fldChar w:fldCharType="end"/>
      </w:r>
      <w:r w:rsidR="003902A3">
        <w:t xml:space="preserve">. </w:t>
      </w:r>
      <w:r w:rsidRPr="0079486E">
        <w:t>We</w:t>
      </w:r>
      <w:r>
        <w:t xml:space="preserve"> </w:t>
      </w:r>
      <w:r w:rsidR="003902A3">
        <w:t>also</w:t>
      </w:r>
      <w:r>
        <w:t xml:space="preserve"> investigate</w:t>
      </w:r>
      <w:r w:rsidR="003902A3">
        <w:t>d</w:t>
      </w:r>
      <w:r>
        <w:t xml:space="preserve"> a small number of pro-inflammatory genes within the hemocytes and found that </w:t>
      </w:r>
      <w:r w:rsidRPr="00501080">
        <w:rPr>
          <w:i/>
        </w:rPr>
        <w:t>pdk</w:t>
      </w:r>
      <w:r>
        <w:t xml:space="preserve"> expression promotes upregulation of such genes. </w:t>
      </w:r>
      <w:r w:rsidRPr="00FE7370">
        <w:rPr>
          <w:i/>
        </w:rPr>
        <w:t>Sima</w:t>
      </w:r>
      <w:r>
        <w:t xml:space="preserve"> (HIF1</w:t>
      </w:r>
      <w:r>
        <w:sym w:font="Symbol" w:char="F061"/>
      </w:r>
      <w:r>
        <w:t xml:space="preserve">) and </w:t>
      </w:r>
      <w:r w:rsidRPr="00FE7370">
        <w:rPr>
          <w:i/>
        </w:rPr>
        <w:t xml:space="preserve">eiger </w:t>
      </w:r>
      <w:r>
        <w:t xml:space="preserve">(TNF) are both pro-inflammatory genes associated with M1 macrophages in vertebrates </w:t>
      </w:r>
      <w:r>
        <w:fldChar w:fldCharType="begin"/>
      </w:r>
      <w:r w:rsidR="000A209C">
        <w:instrText xml:space="preserve"> ADDIN ZOTERO_ITEM CSL_CITATION {"citationID":"XcJfne0F","properties":{"formattedCitation":"(56,125)","plainCitation":"(56,125)","noteIndex":0},"citationItems":[{"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R."}],"issued":{"date-parts":[["2005",12]]}}},{"id":1371,"uris":["http://zotero.org/users/952979/items/XKME3W3I"],"uri":["http://zotero.org/users/952979/items/XKME3W3I"],"itemData":{"id":1371,"type":"article-journal","title":"Alternative activation of macrophages: mechanism and functions","container-title":"Immunity","page":"593-604","volume":"32","issue":"5","source":"PubMed","abstract":"The concept of an alternative pathway of macrophage activation has stimulated interest in its definition, mechanism, and functional significance in homeostasis and disease. We assess recent research in this field, argue for a restricted definition, and explore pathways by which the T helper 2 (Th2) cell cytokines interleukin-4 (IL-4) and IL-13 mediate their effects on macrophage cell biology, their biosynthesis, and responses to a normal and pathological microenvironment. The stage is now set to gain deeper insights into the role of alternatively activated macrophages in immunobiology.","DOI":"10.1016/j.immuni.2010.05.007","ISSN":"1097-4180","note":"PMID: 20510870","shortTitle":"Alternative activation of macrophages","journalAbbreviation":"Immunity","language":"eng","author":[{"family":"Gordon","given":"Siamon"},{"family":"Martinez","given":"Fernando O."}],"issued":{"date-parts":[["2010",5,28]]}}}],"schema":"https://github.com/citation-style-language/schema/raw/master/csl-citation.json"} </w:instrText>
      </w:r>
      <w:r>
        <w:fldChar w:fldCharType="separate"/>
      </w:r>
      <w:r w:rsidR="004A1963" w:rsidRPr="004A1963">
        <w:rPr>
          <w:rFonts w:ascii="Calibri" w:hAnsi="Calibri"/>
        </w:rPr>
        <w:t>(56,125)</w:t>
      </w:r>
      <w:r>
        <w:fldChar w:fldCharType="end"/>
      </w:r>
      <w:r>
        <w:t>. The upregulation of a HIF1</w:t>
      </w:r>
      <w:r>
        <w:sym w:font="Symbol" w:char="F061"/>
      </w:r>
      <w:r>
        <w:t xml:space="preserve"> homologue is particularly interesting as hypoxia and metabolism are intimately linked </w:t>
      </w:r>
      <w:r>
        <w:fldChar w:fldCharType="begin"/>
      </w:r>
      <w:r w:rsidR="000A209C">
        <w:instrText xml:space="preserve"> ADDIN ZOTERO_ITEM CSL_CITATION {"citationID":"HHaoJBMD","properties":{"formattedCitation":"(445)","plainCitation":"(445)","noteIndex":0},"citationItems":[{"id":1479,"uris":["http://zotero.org/users/952979/items/H85VF3T9"],"uri":["http://zotero.org/users/952979/items/H85VF3T9"],"itemData":{"id":1479,"type":"article-journal","title":"Molecular mechanisms that influence the macrophage m1-m2 polarization balance","container-title":"Frontiers in Immunology","page":"614","volume":"5","source":"PubMed","abstract":"As an essential component of innate immunity, macrophages have multiple functions in both inhibiting or promoting cell proliferation and tissue repair. Diversity and plasticity are hallmarks of macrophages. Classical M1 and alternative M2 activation of macrophages, mirroring the Th1-Th2 polarization of T cells, represent two extremes of a dynamic changing state of macrophage activation. M1-type macrophages release cytokines that inhibit the proliferation of surrounding cells and damage contiguous tissue, and M2-type macrophages release cytokines that promote the proliferation of contiguous cells and tissue repair. M1-M2 polarization of macrophage is a tightly controlled process entailing a set of signaling pathways, transcriptional and posttranscriptional regulatory networks. An imbalance of macrophage M1-M2 polarization is often associated with various diseases or inflammatory conditions. Therefore, identification of the molecules associated with the dynamic changes of macrophage polarization and understanding their interactions is crucial for elucidating the molecular basis of disease progression and designing novel macrophage-mediated therapeutic strategies.","DOI":"10.3389/fimmu.2014.00614","ISSN":"1664-3224","note":"PMID: 25506346\nPMCID: PMC4246889","journalAbbreviation":"Front Immunol","language":"eng","author":[{"family":"Wang","given":"Nan"},{"family":"Liang","given":"Hongwei"},{"family":"Zen","given":"Ke"}],"issued":{"date-parts":[["2014"]]}}}],"schema":"https://github.com/citation-style-language/schema/raw/master/csl-citation.json"} </w:instrText>
      </w:r>
      <w:r>
        <w:fldChar w:fldCharType="separate"/>
      </w:r>
      <w:r w:rsidR="003902A3" w:rsidRPr="003902A3">
        <w:rPr>
          <w:rFonts w:ascii="Calibri" w:hAnsi="Calibri"/>
        </w:rPr>
        <w:t>(445)</w:t>
      </w:r>
      <w:r>
        <w:fldChar w:fldCharType="end"/>
      </w:r>
      <w:r>
        <w:t xml:space="preserve">. HIF-1α overexpression mice demonstrated increased levels of glycolysis and pentose phosphate pathway activation, in addition to a hyper-inflammatory state with M1 polarised macrophages </w:t>
      </w:r>
      <w:r>
        <w:fldChar w:fldCharType="begin"/>
      </w:r>
      <w:r w:rsidR="000A209C">
        <w:instrText xml:space="preserve"> ADDIN ZOTERO_ITEM CSL_CITATION {"citationID":"eVvwuFNR","properties":{"formattedCitation":"(36)","plainCitation":"(36)","noteIndex":0},"citationItems":[{"id":94,"uris":["http://zotero.org/users/952979/items/K9TC54UX"],"uri":["http://zotero.org/users/952979/items/K9TC54UX"],"itemData":{"id":94,"type":"article-journal","title":"HIF1α-Induced Glycolysis Metabolism Is Essential to the Activation of Inflammatory Macrophages","container-title":"Mediators of Inflammation","volume":"2017","source":"PubMed Central","abstract":"Hypoxia-inducible factor (HIF) 1α is a metabolic regulator that plays an important role in immunologic responses. Previous studies have demonstrated that HIF1α participates in the M1 polarization of macrophages. To clarify the mechanism of HIF1α-induced polarization of M1 macrophage, myeloid-specific HIF1α overexpression (Lysm HIF1α lsl) mice were employed and the bone marrow-derived and peritoneal macrophages were isolated. RT-PCR results revealed that HIF1α overexpression macrophage had a hyperinflammatory state characterized by the upregulation of M1 markers. Cellular bioenergetics analysis showed lower cellular oxygen consumption rates in the Lysm HIF1α lsl mice. Metabolomics studies showed that HIF1α overexpression led to increased glycolysis and pentose phosphate pathway intermediates. Further results revealed that macrophage M1 polarization, induced by HIF1α overexpression, was via upregulating the mRNA expression of the genes related to the glycolysis metabolism. Our results indicate that HIF1α promoted macrophage glycolysis metabolism, which induced M1 polarization in mice.","URL":"https://www.ncbi.nlm.nih.gov/pmc/articles/PMC5745720/","DOI":"10.1155/2017/9029327","ISSN":"0962-9351","note":"PMID: 29386753\nPMCID: PMC5745720","journalAbbreviation":"Mediators Inflamm","author":[{"family":"Wang","given":"Ting"},{"family":"Liu","given":"Huiying"},{"family":"Lian","given":"Guan"},{"family":"Zhang","given":"Song-Yang"},{"family":"Wang","given":"Xian"},{"family":"Jiang","given":"Changtao"}],"issued":{"date-parts":[["2017"]]},"accessed":{"date-parts":[["2018",12,9]]}}}],"schema":"https://github.com/citation-style-language/schema/raw/master/csl-citation.json"} </w:instrText>
      </w:r>
      <w:r>
        <w:fldChar w:fldCharType="separate"/>
      </w:r>
      <w:r w:rsidR="004A1963" w:rsidRPr="004A1963">
        <w:rPr>
          <w:rFonts w:ascii="Calibri" w:hAnsi="Calibri"/>
        </w:rPr>
        <w:t>(36)</w:t>
      </w:r>
      <w:r>
        <w:fldChar w:fldCharType="end"/>
      </w:r>
      <w:r>
        <w:t xml:space="preserve">. In </w:t>
      </w:r>
      <w:r>
        <w:rPr>
          <w:i/>
        </w:rPr>
        <w:t>Drosophila</w:t>
      </w:r>
      <w:r>
        <w:t xml:space="preserve">, </w:t>
      </w:r>
      <w:r w:rsidRPr="00FE7370">
        <w:t>Sima</w:t>
      </w:r>
      <w:r w:rsidRPr="00FE7370">
        <w:rPr>
          <w:i/>
        </w:rPr>
        <w:t xml:space="preserve"> </w:t>
      </w:r>
      <w:r>
        <w:t xml:space="preserve">has been shown to activate Notch signalling to promote hemocyte (crystal cell) survival during hematopoiesis and hypoxia </w:t>
      </w:r>
      <w:r>
        <w:fldChar w:fldCharType="begin"/>
      </w:r>
      <w:r w:rsidR="000A209C">
        <w:instrText xml:space="preserve"> ADDIN ZOTERO_ITEM CSL_CITATION {"citationID":"8f9p9amH","properties":{"formattedCitation":"(446)","plainCitation":"(446)","noteIndex":0},"citationItems":[{"id":95,"uris":["http://zotero.org/users/952979/items/VHDUTVWG"],"uri":["http://zotero.org/users/952979/items/VHDUTVWG"],"itemData":{"id":95,"type":"article-journal","title":"Interaction Between Notch and Hif-α in Development and Survival of Drosophila Blood Cells","container-title":"Science (New York, N.Y.)","page":"1210-1213","volume":"332","issue":"6034","source":"PubMed Central","abstract":"A blood cell type termed crystal cell in Drosophila functions in clotting and wound healing and requires Notch for specification and maintenance. We report that crystal cells express elevated levels of Sima protein orthologous to mammalian hypoxia-inducible factor–α (Hif-α) even under conditions of normal oxygen availability. In these platelet-like crystal cells, Sima activates full-length Notch receptor signaling via a noncanonical, ligand-independent mechanism that promotes hemocyte survival during both normal hematopoietic development and hypoxic stress. This interaction initiates in early endosomes, is independent of Hif-β (Tango in Drosophila), and does not activate hypoxia response targets. Studies in vertebrate myeloid cells have shown a similar up-regulation of Hif-α protein in well-oxygenated environments. This study provides a mechanistic paradigm for Hif-α/Notch interaction that may be conserved in mammals.","DOI":"10.1126/science.1199643","ISSN":"0036-8075","note":"PMID: 21636775\nPMCID: PMC4412745","journalAbbreviation":"Science","author":[{"family":"Mukherjee","given":"Tina"},{"family":"Kim","given":"William Sang"},{"family":"Mandal","given":"Lolitika"},{"family":"Banerjee","given":"Utpal"}],"issued":{"date-parts":[["2011",6,3]]}}}],"schema":"https://github.com/citation-style-language/schema/raw/master/csl-citation.json"} </w:instrText>
      </w:r>
      <w:r>
        <w:fldChar w:fldCharType="separate"/>
      </w:r>
      <w:r w:rsidR="003902A3" w:rsidRPr="003902A3">
        <w:rPr>
          <w:rFonts w:ascii="Calibri" w:hAnsi="Calibri"/>
        </w:rPr>
        <w:t>(446)</w:t>
      </w:r>
      <w:r>
        <w:fldChar w:fldCharType="end"/>
      </w:r>
      <w:r>
        <w:t xml:space="preserve">. However, there have not yet been any studies reporting the role of </w:t>
      </w:r>
      <w:r w:rsidRPr="00FE7370">
        <w:rPr>
          <w:i/>
        </w:rPr>
        <w:t xml:space="preserve">sima </w:t>
      </w:r>
      <w:r>
        <w:t xml:space="preserve">within the plasmatocyte lineage of hemocytes. In contrast, </w:t>
      </w:r>
      <w:r w:rsidRPr="00FE7370">
        <w:rPr>
          <w:i/>
        </w:rPr>
        <w:t xml:space="preserve">eiger </w:t>
      </w:r>
      <w:r>
        <w:t xml:space="preserve">has been more extensively studied with respect to hemocytes. During the anti-tumour responses, tumour-associated hemocytes are the primary source of </w:t>
      </w:r>
      <w:r w:rsidRPr="00FE7370">
        <w:rPr>
          <w:i/>
        </w:rPr>
        <w:t>eiger</w:t>
      </w:r>
      <w:r>
        <w:rPr>
          <w:i/>
        </w:rPr>
        <w:t>,</w:t>
      </w:r>
      <w:r w:rsidRPr="00FE7370">
        <w:rPr>
          <w:i/>
        </w:rPr>
        <w:t xml:space="preserve"> </w:t>
      </w:r>
      <w:r>
        <w:t xml:space="preserve">which has tumour-promoting effects, such as driving invasion and growth </w:t>
      </w:r>
      <w:r>
        <w:fldChar w:fldCharType="begin"/>
      </w:r>
      <w:r w:rsidR="000A209C">
        <w:instrText xml:space="preserve"> ADDIN ZOTERO_ITEM CSL_CITATION {"citationID":"dslUDDQn","properties":{"formattedCitation":"(296)","plainCitation":"(296)","noteIndex":0},"citationItems":[{"id":1552,"uris":["http://zotero.org/users/952979/items/K3TKDZC6"],"uri":["http://zotero.org/users/952979/items/K3TKDZC6"],"itemData":{"id":1552,"type":"article-journal","title":"Oncogenic Ras Diverts a Host TNF Tumor Suppressor Activity into Tumor Promoter","container-title":"Developmental cell","page":"999-1011","volume":"18","issue":"6","source":"PubMed Central","abstract":"The roles of inflammatory cytokines and the immune response in cancer remain paradoxical. In the case of tumor necrosis factor (TNF), there is undisputed evidence indicating both protumor and antitumor activities. Recent work in Drosophila indicated that a TNF-dependent mechanism eliminates cells deficient for the polarity tumor suppressors dlg or scrib. In this study, however, we show that in tumors deficient for scrib that also expressed the Ras oncoprotein, the TNF signal was diverted into a protumor signal that enhanced tumor growth through larval arrest and stimulated invasive migration. In this case, TNF promoted malignancy and was detrimental to host survival. TNF was expressed at high levels by tumor-associated hemocytes recruited from the circulation. The expression of TNF by hemocytes was both necessary and sufficient to trigger TNF signaling in tumor cells. Our evidence suggests that tumors can evolve into malignancy through oncogenic Ras activation and the hijacking of TNF signaling.","DOI":"10.1016/j.devcel.2010.05.014","ISSN":"1534-5807","note":"PMID: 20627081\nPMCID: PMC3175220","journalAbbreviation":"Dev Cell","author":[{"family":"Cordero","given":"Julia B."},{"family":"Macagno","given":"Juan P."},{"family":"Stefanatos","given":"Rhoda K."},{"family":"Strathdee","given":"Karen E."},{"family":"Cagan","given":"Ross L."},{"family":"Vidal","given":"Marcos"}],"issued":{"date-parts":[["2010",6,15]]}}}],"schema":"https://github.com/citation-style-language/schema/raw/master/csl-citation.json"} </w:instrText>
      </w:r>
      <w:r>
        <w:fldChar w:fldCharType="separate"/>
      </w:r>
      <w:r w:rsidR="004A1963" w:rsidRPr="004A1963">
        <w:rPr>
          <w:rFonts w:ascii="Calibri" w:hAnsi="Calibri"/>
        </w:rPr>
        <w:t>(296)</w:t>
      </w:r>
      <w:r>
        <w:fldChar w:fldCharType="end"/>
      </w:r>
      <w:r>
        <w:t xml:space="preserve">. Furthermore, studies utilising </w:t>
      </w:r>
      <w:r w:rsidRPr="00FE7370">
        <w:rPr>
          <w:i/>
        </w:rPr>
        <w:t xml:space="preserve">eiger </w:t>
      </w:r>
      <w:r>
        <w:t xml:space="preserve">mutants have shown that these flies are sensitive to extracellular pathogens, suggesting </w:t>
      </w:r>
      <w:r>
        <w:lastRenderedPageBreak/>
        <w:t xml:space="preserve">that </w:t>
      </w:r>
      <w:r w:rsidRPr="00FE7370">
        <w:rPr>
          <w:i/>
        </w:rPr>
        <w:t xml:space="preserve">eiger </w:t>
      </w:r>
      <w:r>
        <w:t xml:space="preserve">contributes to the defence of such pathogens </w:t>
      </w:r>
      <w:r>
        <w:fldChar w:fldCharType="begin"/>
      </w:r>
      <w:r w:rsidR="000A209C">
        <w:instrText xml:space="preserve"> ADDIN ZOTERO_ITEM CSL_CITATION {"citationID":"pdzkGsYH","properties":{"formattedCitation":"(447)","plainCitation":"(447)","noteIndex":0},"citationItems":[{"id":1563,"uris":["http://zotero.org/users/952979/items/TV2R4CNZ"],"uri":["http://zotero.org/users/952979/items/TV2R4CNZ"],"itemData":{"id":1563,"type":"article-journal","title":"Drosophila eiger Mutants Are Sensitive to Extracellular Pathogens","container-title":"PLOS Pathogens","page":"e41","volume":"3","issue":"3","source":"PLoS Journals","abstract":"Author SummaryWe show that the gene eiger, which is the sole tumor necrosis factor homolog in the fruit fly, can play opposing roles in the fly's response to infections. Sometimes eiger contributes to the disease induced by an infection, while at other times it is required to fight an infection. Commonly, the fly's immune response is described as dividing microbes into two groups with Gram-positive bacteria and fungi lying in one group and Gram-negative bacteria lying in the other. Pathogenic bacteria can also be divided into two groups based on their behavior in eiger mutant flies, but these two groups differ from past descriptions. eiger tends to be required for the innate immune response against extracellular pathogens but tends to cause pathology during an infection with an intracellular pathogen. We suggest that eiger is required for innate immune responses that are effective at fighting extracellular pathogens but are wasteful or simply ineffective when fighting intracellular pathogens. We show here that the fly immune response is more complex than previously recognized and suggest new directions for studying pathogenesis in addition to innate immunity in the fly.","DOI":"10.1371/journal.ppat.0030041","ISSN":"1553-7374","journalAbbreviation":"PLOS Pathogens","author":[{"family":"Schneider","given":"David S."},{"family":"Ayres","given":"Janelle S."},{"family":"Brandt","given":"Stephanie M."},{"family":"Costa","given":"Alexandre"},{"family":"Dionne","given":"Marc S."},{"family":"Gordon","given":"Michael D."},{"family":"Mabery","given":"Eric M."},{"family":"Moule","given":"Madeleine G."},{"family":"Pham","given":"Linh N."},{"family":"Shirasu-Hiza","given":"Mimi M."}],"issued":{"date-parts":[["2007",3,23]]}}}],"schema":"https://github.com/citation-style-language/schema/raw/master/csl-citation.json"} </w:instrText>
      </w:r>
      <w:r>
        <w:fldChar w:fldCharType="separate"/>
      </w:r>
      <w:r w:rsidR="003902A3" w:rsidRPr="003902A3">
        <w:rPr>
          <w:rFonts w:ascii="Calibri" w:hAnsi="Calibri"/>
        </w:rPr>
        <w:t>(447)</w:t>
      </w:r>
      <w:r>
        <w:fldChar w:fldCharType="end"/>
      </w:r>
      <w:r>
        <w:t xml:space="preserve">. This study demonstrated that </w:t>
      </w:r>
      <w:r w:rsidRPr="00FE7370">
        <w:rPr>
          <w:i/>
        </w:rPr>
        <w:t xml:space="preserve">eiger </w:t>
      </w:r>
      <w:r>
        <w:t xml:space="preserve">mutant hemocytes had deficient numbers or phagocytic ability. A separate study has shown that </w:t>
      </w:r>
      <w:r w:rsidRPr="00FE7370">
        <w:rPr>
          <w:i/>
        </w:rPr>
        <w:t xml:space="preserve">eiger </w:t>
      </w:r>
      <w:r>
        <w:t xml:space="preserve">expression in the fat body is essential for clearance of </w:t>
      </w:r>
      <w:r>
        <w:rPr>
          <w:rStyle w:val="Emphasis"/>
        </w:rPr>
        <w:t>S. typhimurium</w:t>
      </w:r>
      <w:r>
        <w:rPr>
          <w:rStyle w:val="Emphasis"/>
          <w:i w:val="0"/>
        </w:rPr>
        <w:t xml:space="preserve"> infections </w:t>
      </w:r>
      <w:r>
        <w:rPr>
          <w:rStyle w:val="Emphasis"/>
          <w:i w:val="0"/>
        </w:rPr>
        <w:fldChar w:fldCharType="begin"/>
      </w:r>
      <w:r w:rsidR="000A209C">
        <w:rPr>
          <w:rStyle w:val="Emphasis"/>
          <w:i w:val="0"/>
        </w:rPr>
        <w:instrText xml:space="preserve"> ADDIN ZOTERO_ITEM CSL_CITATION {"citationID":"40RCztJA","properties":{"formattedCitation":"(319)","plainCitation":"(319)","noteIndex":0},"citationItems":[{"id":1530,"uris":["http://zotero.org/users/952979/items/8B3FAE5K"],"uri":["http://zotero.org/users/952979/items/8B3FAE5K"],"itemData":{"id":1530,"type":"article-journal","title":"The Drosophila TNF Ortholog Eiger Is Required in the Fat Body for a Robust Immune Response","container-title":"Journal of Innate Immunity","page":"371-378","volume":"2","issue":"4","source":"PubMed Central","abstract":"Eiger is the sole TNF family member found in Drosophila melanogaster. This signaling molecule is induced during infection and is required for an appropriate immune response to many microbes; however, little is known about where eiger is produced. Here, we show that eiger is made in the fly's fat body during a Salmonella typhimurium infection. Using tissue-specific knockdown, we found that eiger expression in the fat body is required for all of the phenotypes we observed in eiger null mutant flies. This includes reduced melanization, altered antimicrobial peptide expression and reduced feeding rates. The effect of eiger on feeding rates alone may account for the entire phenotype seen in eiger mutants infected with S. typhimurium.","DOI":"10.1159/000315050","ISSN":"1662-811X","note":"PMID: 20505310\nPMCID: PMC2968759","journalAbbreviation":"J Innate Immun","author":[{"family":"Mabery","given":"Eric M."},{"family":"Schneider","given":"David S."}],"issued":{"date-parts":[["2010",6]]}}}],"schema":"https://github.com/citation-style-language/schema/raw/master/csl-citation.json"} </w:instrText>
      </w:r>
      <w:r>
        <w:rPr>
          <w:rStyle w:val="Emphasis"/>
          <w:i w:val="0"/>
        </w:rPr>
        <w:fldChar w:fldCharType="separate"/>
      </w:r>
      <w:r w:rsidR="004A1963" w:rsidRPr="004A1963">
        <w:rPr>
          <w:rFonts w:ascii="Calibri" w:hAnsi="Calibri"/>
        </w:rPr>
        <w:t>(319)</w:t>
      </w:r>
      <w:r>
        <w:rPr>
          <w:rStyle w:val="Emphasis"/>
          <w:i w:val="0"/>
        </w:rPr>
        <w:fldChar w:fldCharType="end"/>
      </w:r>
      <w:r>
        <w:rPr>
          <w:rStyle w:val="Emphasis"/>
          <w:i w:val="0"/>
        </w:rPr>
        <w:t xml:space="preserve">. This shows that </w:t>
      </w:r>
      <w:r>
        <w:rPr>
          <w:rStyle w:val="Emphasis"/>
        </w:rPr>
        <w:t>pdk</w:t>
      </w:r>
      <w:r>
        <w:rPr>
          <w:rStyle w:val="Emphasis"/>
          <w:i w:val="0"/>
        </w:rPr>
        <w:t xml:space="preserve"> manipulation, and therefore increased rates of glycolysis, within hemocytes induces genetic alterations consistent with a pro-inflammatory phenotype. </w:t>
      </w:r>
    </w:p>
    <w:p w14:paraId="394E8713" w14:textId="77777777" w:rsidR="004275D8" w:rsidRDefault="004275D8" w:rsidP="004275D8">
      <w:pPr>
        <w:pStyle w:val="Thesisnormal"/>
      </w:pPr>
    </w:p>
    <w:p w14:paraId="14A0ACF6" w14:textId="74DC8DE6" w:rsidR="004275D8" w:rsidRDefault="004275D8" w:rsidP="004275D8">
      <w:pPr>
        <w:pStyle w:val="Thesisnormal"/>
      </w:pPr>
      <w:r w:rsidRPr="00AA4F35">
        <w:t xml:space="preserve">We also investigated </w:t>
      </w:r>
      <w:r>
        <w:t xml:space="preserve">expression of </w:t>
      </w:r>
      <w:r w:rsidRPr="00AA4F35">
        <w:t xml:space="preserve">two anti-microbial peptides, </w:t>
      </w:r>
      <w:r w:rsidRPr="00FE7370">
        <w:rPr>
          <w:i/>
        </w:rPr>
        <w:t xml:space="preserve">drosomycin </w:t>
      </w:r>
      <w:r w:rsidRPr="00AA4F35">
        <w:t xml:space="preserve">and </w:t>
      </w:r>
      <w:r w:rsidRPr="00FE7370">
        <w:rPr>
          <w:i/>
        </w:rPr>
        <w:t>attacin-A</w:t>
      </w:r>
      <w:r w:rsidRPr="00FE7370">
        <w:t>,</w:t>
      </w:r>
      <w:r w:rsidRPr="00AA4F35">
        <w:t xml:space="preserve"> which are </w:t>
      </w:r>
      <w:r>
        <w:t xml:space="preserve">part of the systemic immune response in </w:t>
      </w:r>
      <w:r w:rsidRPr="00C71E1B">
        <w:rPr>
          <w:i/>
        </w:rPr>
        <w:t>Drosophila</w:t>
      </w:r>
      <w:r w:rsidRPr="00C71E1B">
        <w:t xml:space="preserve"> </w:t>
      </w:r>
      <w:r w:rsidRPr="00CD507B">
        <w:fldChar w:fldCharType="begin"/>
      </w:r>
      <w:r w:rsidR="000A209C">
        <w:instrText xml:space="preserve"> ADDIN ZOTERO_ITEM CSL_CITATION {"citationID":"saIfIML2","properties":{"formattedCitation":"(159,164)","plainCitation":"(159,164)","noteIndex":0},"citationItems":[{"id":1380,"uris":["http://zotero.org/users/952979/items/G5G2EZRZ"],"uri":["http://zotero.org/users/952979/items/G5G2EZRZ"],"itemData":{"id":1380,"type":"article-journal","title":"The host defense of Drosophila melanogaster","container-title":"Annual Review of Immunology","page":"697-743","volume":"25","source":"PubMed","abstract":"To combat infection, the fruit fly Drosophila melanogaster relies on multiple innate defense reactions, many of which are shared with higher organisms. These reactions include the use of physical barriers together with local and systemic immune responses. First, epithelia, such as those beneath the cuticle, in the alimentary tract, and in tracheae, act both as a physical barrier and local defense against pathogens by producing antimicrobial peptides and reactive oxygen species. Second, specialized hemocytes participate in phagocytosis and encapsulation of foreign intruders in the hemolymph. Finally, the fat body, a functional equivalent of the mammalian liver, produces humoral response molecules including antimicrobial peptides. Here we review our current knowledge of the molecular mechanisms underlying Drosophila defense reactions together with strategies evolved by pathogens to evade them.","DOI":"10.1146/annurev.immunol.25.022106.141615","ISSN":"0732-0582","note":"PMID: 17201680","journalAbbreviation":"Annu. Rev. Immunol.","language":"eng","author":[{"family":"Lemaitre","given":"Bruno"},{"family":"Hoffmann","given":"Jules"}],"issued":{"date-parts":[["2007"]]}}},{"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S."},{"family":"Brückner","given":"Katja"}],"issued":{"date-parts":[["2016",4,22]]}}}],"schema":"https://github.com/citation-style-language/schema/raw/master/csl-citation.json"} </w:instrText>
      </w:r>
      <w:r w:rsidRPr="00CD507B">
        <w:fldChar w:fldCharType="separate"/>
      </w:r>
      <w:r w:rsidR="004A1963" w:rsidRPr="004A1963">
        <w:rPr>
          <w:rFonts w:ascii="Calibri" w:hAnsi="Calibri"/>
        </w:rPr>
        <w:t>(159,164)</w:t>
      </w:r>
      <w:r w:rsidRPr="00CD507B">
        <w:fldChar w:fldCharType="end"/>
      </w:r>
      <w:r w:rsidRPr="00CD507B">
        <w:t xml:space="preserve">.  Although we did not see a difference in </w:t>
      </w:r>
      <w:r w:rsidRPr="00FE7370">
        <w:rPr>
          <w:i/>
        </w:rPr>
        <w:t>attacin-A</w:t>
      </w:r>
      <w:r w:rsidRPr="00CD507B">
        <w:t xml:space="preserve"> expression, we did find that </w:t>
      </w:r>
      <w:r w:rsidRPr="00FE7370">
        <w:rPr>
          <w:i/>
        </w:rPr>
        <w:t xml:space="preserve">drosomycin </w:t>
      </w:r>
      <w:r w:rsidRPr="00CD507B">
        <w:t xml:space="preserve">was upregulated in </w:t>
      </w:r>
      <w:r>
        <w:rPr>
          <w:i/>
        </w:rPr>
        <w:t xml:space="preserve">pdk </w:t>
      </w:r>
      <w:r>
        <w:t>overexpressing</w:t>
      </w:r>
      <w:r w:rsidRPr="00CD507B">
        <w:t xml:space="preserve"> hemocytes. </w:t>
      </w:r>
      <w:r>
        <w:t xml:space="preserve">This shows that metabolism is involved in </w:t>
      </w:r>
      <w:r>
        <w:rPr>
          <w:i/>
        </w:rPr>
        <w:t>Drosophila</w:t>
      </w:r>
      <w:r>
        <w:t>-specific pro-inflammatory immune responses. Our data t</w:t>
      </w:r>
      <w:r w:rsidRPr="00CD507B">
        <w:rPr>
          <w:rStyle w:val="Emphasis"/>
          <w:i w:val="0"/>
        </w:rPr>
        <w:t xml:space="preserve">ogether with </w:t>
      </w:r>
      <w:r>
        <w:rPr>
          <w:rStyle w:val="Emphasis"/>
          <w:i w:val="0"/>
        </w:rPr>
        <w:t>the literature</w:t>
      </w:r>
      <w:r w:rsidRPr="00CD507B">
        <w:rPr>
          <w:rStyle w:val="Emphasis"/>
          <w:i w:val="0"/>
        </w:rPr>
        <w:t>, suggests that altering metabolism within hemocytes can modulate hemocyte function</w:t>
      </w:r>
      <w:r>
        <w:rPr>
          <w:rStyle w:val="Emphasis"/>
          <w:i w:val="0"/>
        </w:rPr>
        <w:t>s</w:t>
      </w:r>
      <w:r w:rsidRPr="00CD507B">
        <w:rPr>
          <w:rStyle w:val="Emphasis"/>
          <w:i w:val="0"/>
        </w:rPr>
        <w:t>.</w:t>
      </w:r>
      <w:r>
        <w:rPr>
          <w:rStyle w:val="Emphasis"/>
          <w:i w:val="0"/>
        </w:rPr>
        <w:t xml:space="preserve"> One outstanding experiment is to challenge embryos containing </w:t>
      </w:r>
      <w:r>
        <w:rPr>
          <w:rStyle w:val="Emphasis"/>
        </w:rPr>
        <w:t>pdk</w:t>
      </w:r>
      <w:r>
        <w:rPr>
          <w:rStyle w:val="Emphasis"/>
          <w:i w:val="0"/>
        </w:rPr>
        <w:t xml:space="preserve"> overexpressing in hemocytes with bacteria, for example pHRodo </w:t>
      </w:r>
      <w:r w:rsidRPr="00E46169">
        <w:rPr>
          <w:rStyle w:val="Emphasis"/>
        </w:rPr>
        <w:t>E. coli</w:t>
      </w:r>
      <w:r>
        <w:rPr>
          <w:rStyle w:val="Emphasis"/>
          <w:i w:val="0"/>
        </w:rPr>
        <w:t xml:space="preserve">. </w:t>
      </w:r>
      <w:r w:rsidR="008623B9">
        <w:rPr>
          <w:rStyle w:val="Emphasis"/>
          <w:i w:val="0"/>
        </w:rPr>
        <w:t>Indeed, m</w:t>
      </w:r>
      <w:r w:rsidR="008623B9">
        <w:t xml:space="preserve">icroarray analysis of hemocytes following larval exposure to </w:t>
      </w:r>
      <w:r w:rsidR="008623B9" w:rsidRPr="00F81561">
        <w:t>wasp parasites or</w:t>
      </w:r>
      <w:r w:rsidR="008623B9">
        <w:rPr>
          <w:i/>
        </w:rPr>
        <w:t xml:space="preserve"> </w:t>
      </w:r>
      <w:r w:rsidR="008623B9">
        <w:t xml:space="preserve">lipopolysaccharide (LPS) reveals that genes involved in glycolysis are up-regulated </w:t>
      </w:r>
      <w:r w:rsidR="008623B9">
        <w:fldChar w:fldCharType="begin"/>
      </w:r>
      <w:r w:rsidR="000A209C">
        <w:instrText xml:space="preserve"> ADDIN ZOTERO_ITEM CSL_CITATION {"citationID":"8GCMSsSl","properties":{"formattedCitation":"(372,373)","plainCitation":"(372,373)","noteIndex":0},"citationItems":[{"id":1657,"uris":["http://zotero.org/users/952979/items/25LJ5ILV"],"uri":["http://zotero.org/users/952979/items/25LJ5ILV"],"itemData":{"id":1657,"type":"article-journal","title":"Microarray analysis of immune challenged Drosophila hemocytes","container-title":"Experimental Cell Research","page":"145-155","volume":"305","issue":"1","source":"PubMed","abstract":"Insect hemocytes play multiple roles in immunity and carry out cellular responses like phagocytosis, encapsulation and melanization as well as producing humoral effector proteins in the first line of defense after injury and invasion of microorganisms. In this work, we used the Drosophila melanogaster hemocyte-like cell line mbn-2 and Affymetrix Drosophila GeneChips to investigate the transcriptome of a single type of immune competent tissue exposed to Gram-negative cell wall components (crude LPS) or high dose infection with live Escherichia coli. We found that gene expression profiles of both treatments overlap but show important differences in expression levels of several genes involved in immunity. In addition, cell morphology during infection was monitored and revealed distinct alterations in cell shape and adhesion. Presence of large numbers of bacteria also increased the number of cells taking on crystal cell fate. Taken together, our results indicate that hemocytes sense and respond differently to purified bacterial surface molecules and infection with live and actively growing bacteria both at the level of gene expression and in cell behavior.","DOI":"10.1016/j.yexcr.2004.12.018","ISSN":"0014-4827","note":"PMID: 15777795","journalAbbreviation":"Exp. Cell Res.","language":"eng","author":[{"family":"Johansson","given":"Karin C."},{"family":"Metzendorf","given":"Christoph"},{"family":"Söderhäll","given":"Kenneth"}],"issued":{"date-parts":[["2005",4,15]]}}},{"id":1656,"uris":["http://zotero.org/users/952979/items/YYKCEQJQ"],"uri":["http://zotero.org/users/952979/items/YYKCEQJQ"],"itemData":{"id":1656,"type":"article-journal","title":"Contrasting Infection Strategies in Generalist and Specialist Wasp Parasitoids of Drosophila melanogaster","container-title":"PLOS Pathogens","page":"e158","volume":"3","issue":"10","source":"PLoS Journals","abstract":"Although host–parasitoid interactions are becoming well characterized at the organismal and cellular levels, much remains to be understood of the molecular bases for the host immune response and the parasitoids' ability to defeat this immune response. Leptopilina boulardi and L. heterotoma, two closely related, highly infectious natural parasitoids of Drosophila melanogaster, appear to use very different infection strategies at the cellular level. Here, we further characterize cellular level differences in the infection characteristics of these two wasp species using newly derived, virulent inbred strains, and then use whole genome microarrays to compare the transcriptional response of Drosophila to each. While flies attacked by the melanogaster group specialist L. boulardi (strain Lb17) up-regulate numerous genes encoding proteolytic enzymes, components of the Toll and JAK/STAT pathways, and the melanization cascade as part of a combined cellular and humoral innate immune response, flies attacked by the generalist L. heterotoma (strain Lh14) do not appear to initiate an immune transcriptional response at the time points post-infection we assayed, perhaps due to the rapid venom-mediated lysis of host hemocytes (blood cells). Thus, the specialist parasitoid appears to invoke a full-blown immune response in the host, but suppresses and/or evades downstream components of this response. Given that activation of the host immune response likely depletes the energetic resources of the host, the specialist's infection strategy seems relatively disadvantageous. However, we uncover the mechanism for one potentially important fitness tradeoff of the generalist's highly immune suppressive infection strategy.","DOI":"10.1371/journal.ppat.0030158","ISSN":"1553-7374","journalAbbreviation":"PLOS Pathogens","language":"en","author":[{"family":"Schlenke","given":"Todd A."},{"family":"Morales","given":"Jorge"},{"family":"Govind","given":"Shubha"},{"family":"Clark","given":"Andrew G."}],"issued":{"date-parts":[["2007",10,26]]}}}],"schema":"https://github.com/citation-style-language/schema/raw/master/csl-citation.json"} </w:instrText>
      </w:r>
      <w:r w:rsidR="008623B9">
        <w:fldChar w:fldCharType="separate"/>
      </w:r>
      <w:r w:rsidR="00A53A6B" w:rsidRPr="00A53A6B">
        <w:rPr>
          <w:rFonts w:ascii="Calibri" w:hAnsi="Calibri"/>
        </w:rPr>
        <w:t>(372,373)</w:t>
      </w:r>
      <w:r w:rsidR="008623B9">
        <w:fldChar w:fldCharType="end"/>
      </w:r>
      <w:r w:rsidR="008623B9">
        <w:t>.</w:t>
      </w:r>
    </w:p>
    <w:p w14:paraId="731810A9" w14:textId="77777777" w:rsidR="004275D8" w:rsidRDefault="004275D8" w:rsidP="004275D8">
      <w:pPr>
        <w:pStyle w:val="Thesisnormal"/>
      </w:pPr>
    </w:p>
    <w:p w14:paraId="7D44258B" w14:textId="50D9D164" w:rsidR="004275D8" w:rsidRPr="00A14003" w:rsidRDefault="004275D8" w:rsidP="004275D8">
      <w:pPr>
        <w:pStyle w:val="Thesisnormal"/>
      </w:pPr>
      <w:r>
        <w:t xml:space="preserve">Further evidence that glycolysis may be involved in macrophage polarisation has been generated from RNAseq data in our laboratory. Repo is a transcription factor involved in specifying microglia. In embryos which are mutant for </w:t>
      </w:r>
      <w:r w:rsidRPr="00365EBC">
        <w:rPr>
          <w:i/>
        </w:rPr>
        <w:t>repo</w:t>
      </w:r>
      <w:r>
        <w:t xml:space="preserve">, there is a higher volume of undigested apoptotic cells which must be cleared by hemocytes </w:t>
      </w:r>
      <w:r>
        <w:fldChar w:fldCharType="begin"/>
      </w:r>
      <w:r w:rsidR="000A209C">
        <w:instrText xml:space="preserve"> ADDIN ZOTERO_ITEM CSL_CITATION {"citationID":"fWI7tqZV","properties":{"formattedCitation":"(448)","plainCitation":"(448)","noteIndex":0},"citationItems":[{"id":85,"uris":["http://zotero.org/users/952979/items/QBBIUJRG"],"uri":["http://zotero.org/users/952979/items/QBBIUJRG"],"itemData":{"id":85,"type":"article-journal","title":"Developmental regulation of glial cell phagocytic function during Drosophila embryogenesis","container-title":"Developmental Biology","page":"255-269","volume":"393","issue":"2","source":"ScienceDirect","abstract":"The proper removal of superfluous neurons through apoptosis and subsequent phagocytosis is essential for normal development of the central nervous system (CNS). During Drosophila embryogenesis, a large number of apoptotic neurons are efficiently engulfed and degraded by phagocytic glia. Here we demonstrate that glial proficiency to phagocytose relies on expression of phagocytic receptors for apoptotic cells, SIMU and DRPR. Moreover, we reveal that the phagocytic ability of embryonic glia is established as part of a developmental program responsible for glial cell fate determination and is not triggered by apoptosis per se. Explicitly, we provide evidence for a critical role of the major regulators of glial identity, gcm and repo, in controlling glial phagocytic function through regulation of SIMU and DRPR specific expression. Taken together, our study uncovers molecular mechanisms essential for establishment of embryonic glia as primary phagocytes during CNS development.","DOI":"10.1016/j.ydbio.2014.07.005","ISSN":"0012-1606","journalAbbreviation":"Developmental Biology","author":[{"family":"Shklyar","given":"Boris"},{"family":"Sellman","given":"Yael"},{"family":"Shklover","given":"Jeny"},{"family":"Mishnaevski","given":"Ketty"},{"family":"Levy-Adam","given":"Flonia"},{"family":"Kurant","given":"Estee"}],"issued":{"date-parts":[["2014",9,15]]}}}],"schema":"https://github.com/citation-style-language/schema/raw/master/csl-citation.json"} </w:instrText>
      </w:r>
      <w:r>
        <w:fldChar w:fldCharType="separate"/>
      </w:r>
      <w:r w:rsidR="003902A3" w:rsidRPr="003902A3">
        <w:rPr>
          <w:rFonts w:ascii="Calibri" w:hAnsi="Calibri"/>
        </w:rPr>
        <w:t>(448)</w:t>
      </w:r>
      <w:r>
        <w:fldChar w:fldCharType="end"/>
      </w:r>
      <w:r>
        <w:t xml:space="preserve">. As apoptotic cells represent a potential M2 stimulus, these hemocytes could be polarised towards an anti-inflammatory state; additional data demonstrates that hemocytes within </w:t>
      </w:r>
      <w:r w:rsidRPr="00FE7370">
        <w:rPr>
          <w:i/>
        </w:rPr>
        <w:t xml:space="preserve">repo </w:t>
      </w:r>
      <w:r>
        <w:t xml:space="preserve">mutants display reduced </w:t>
      </w:r>
      <w:r w:rsidR="00126602">
        <w:t>recruitment to wounds</w:t>
      </w:r>
      <w:r>
        <w:t xml:space="preserve"> (</w:t>
      </w:r>
      <w:r w:rsidRPr="00C95FB5">
        <w:t xml:space="preserve">Roddie </w:t>
      </w:r>
      <w:r w:rsidRPr="00C95FB5">
        <w:rPr>
          <w:i/>
        </w:rPr>
        <w:t>et al</w:t>
      </w:r>
      <w:r w:rsidRPr="00C95FB5">
        <w:t xml:space="preserve"> unpublished</w:t>
      </w:r>
      <w:r>
        <w:t xml:space="preserve">). RNAseq analysis revealed that </w:t>
      </w:r>
      <w:r w:rsidRPr="00FE7370">
        <w:rPr>
          <w:i/>
        </w:rPr>
        <w:t>PDP</w:t>
      </w:r>
      <w:r>
        <w:t xml:space="preserve"> is significantly downregulated in hemocytes from </w:t>
      </w:r>
      <w:r w:rsidRPr="00FE7370">
        <w:rPr>
          <w:i/>
        </w:rPr>
        <w:t xml:space="preserve">repo </w:t>
      </w:r>
      <w:r>
        <w:t>mutant embryos (</w:t>
      </w:r>
      <w:r w:rsidRPr="00771702">
        <w:t>Data not published</w:t>
      </w:r>
      <w:r>
        <w:t xml:space="preserve">). Combined with our data demonstrating that increased activation of </w:t>
      </w:r>
      <w:r w:rsidRPr="00DF1C76">
        <w:rPr>
          <w:i/>
        </w:rPr>
        <w:t>pdk</w:t>
      </w:r>
      <w:r>
        <w:t xml:space="preserve"> and overexpression of </w:t>
      </w:r>
      <w:r w:rsidRPr="00DF1C76">
        <w:rPr>
          <w:i/>
        </w:rPr>
        <w:t>Sdh</w:t>
      </w:r>
      <w:r>
        <w:t xml:space="preserve"> are pro-inflammatory and other data from infection studies in the literature </w:t>
      </w:r>
      <w:r>
        <w:fldChar w:fldCharType="begin"/>
      </w:r>
      <w:r w:rsidR="000A209C">
        <w:instrText xml:space="preserve"> ADDIN ZOTERO_ITEM CSL_CITATION {"citationID":"DtFXdGH4","properties":{"formattedCitation":"(401)","plainCitation":"(401)","noteIndex":0},"citationItems":[{"id":1645,"uris":["http://zotero.org/users/952979/items/82R4W8RU"],"uri":["http://zotero.org/users/952979/items/82R4W8RU"],"itemData":{"id":1645,"type":"article-journal","title":"Extracellular adenosine mediates a systemic metabolic switch during immune response","container-title":"PLoS biology","page":"e1002135","volume":"13","issue":"4","source":"PubMed","abstract":"Immune defense is energetically costly, and thus an effective response requires metabolic adaptation of the organism to reallocate energy from storage, growth, and development towards the immune system. We employ the natural infection of Drosophila with a parasitoid wasp to study energy regulation during immune response. To combat the invasion, the host must produce specialized immune cells (lamellocytes) that destroy the parasitoid egg. We show that a significant portion of nutrients are allocated to differentiating lamellocytes when they would otherwise be used for development. This systemic metabolic switch is mediated by extracellular adenosine released from immune cells. The switch is crucial for an effective immune response. Preventing adenosine transport from immune cells or blocking adenosine receptor precludes the metabolic switch and the deceleration of development, dramatically reducing host resistance. Adenosine thus serves as a signal that the \"selfish\" immune cells send during infection to secure more energy at the expense of other tissues.","DOI":"10.1371/journal.pbio.1002135","ISSN":"1545-7885","note":"PMID: 25915062\nPMCID: PMC4411001","journalAbbreviation":"PLoS Biol.","language":"eng","author":[{"family":"Bajgar","given":"Adam"},{"family":"Kucerova","given":"Katerina"},{"family":"Jonatova","given":"Lucie"},{"family":"Tomcala","given":"Ales"},{"family":"Schneedorferova","given":"Ivana"},{"family":"Okrouhlik","given":"Jan"},{"family":"Dolezal","given":"Tomas"}],"issued":{"date-parts":[["2015",4]]}}}],"schema":"https://github.com/citation-style-language/schema/raw/master/csl-citation.json"} </w:instrText>
      </w:r>
      <w:r>
        <w:fldChar w:fldCharType="separate"/>
      </w:r>
      <w:r w:rsidR="00A53A6B" w:rsidRPr="00A53A6B">
        <w:rPr>
          <w:rFonts w:ascii="Calibri" w:hAnsi="Calibri"/>
        </w:rPr>
        <w:t>(401)</w:t>
      </w:r>
      <w:r>
        <w:fldChar w:fldCharType="end"/>
      </w:r>
      <w:r>
        <w:t xml:space="preserve">, this suggests that metabolism is critical in hemocyte polarisation towards both pro- and anti-inflammatory phenotypes, consistent with mammalian literature </w:t>
      </w:r>
      <w:r>
        <w:fldChar w:fldCharType="begin"/>
      </w:r>
      <w:r w:rsidR="000A209C">
        <w:instrText xml:space="preserve"> ADDIN ZOTERO_ITEM CSL_CITATION {"citationID":"6TzEeEeo","properties":{"formattedCitation":"(31,33,391)","plainCitation":"(31,33,391)","noteIndex":0},"citationItems":[{"id":1549,"uris":["http://zotero.org/users/952979/items/RIKJ5WC7"],"uri":["http://zotero.org/users/952979/items/RIKJ5WC7"],"itemData":{"id":1549,"type":"article-journal","title":"Metabolic reprogramming in macrophages and dendritic cells in innate immunity","container-title":"Cell Research","page":"771-784","volume":"25","issue":"7","source":"PubMed","abstract":"Activation of macrophages and dendritic cells (DCs) by pro-inflammatory stimuli causes them to undergo a metabolic switch towards glycolysis and away from oxidative phosphorylation (OXPHOS), similar to the Warburg effect in tumors. However, it is only recently that the mechanisms responsible for this metabolic reprogramming have been elucidated in more detail. The transcription factor hypoxia-inducible factor-1α (HIF-1α) plays an important role under conditions of both hypoxia and normoxia. The withdrawal of citrate from the tricarboxylic acid (TCA) cycle has been shown to be critical for lipid biosynthesis in both macrophages and DCs. Interference with this process actually abolishes the ability of DCs to activate T cells. Another TCA cycle intermediate, succinate, activates HIF-1α and promotes inflammatory gene expression. These new insights are providing us with a deeper understanding of the role of metabolic reprogramming in innate immunity.","DOI":"10.1038/cr.2015.68","ISSN":"1748-7838","note":"PMID: 26045163\nPMCID: PMC4493277","journalAbbreviation":"Cell Res.","language":"eng","author":[{"family":"Kelly","given":"Beth"},{"family":"O'Neill","given":"Luke A. J."}],"issued":{"date-parts":[["2015",7]]}}},{"id":1661,"uris":["http://zotero.org/users/952979/items/I6CH7N6U"],"uri":["http://zotero.org/users/952979/items/I6CH7N6U"],"itemData":{"id":1661,"type":"article-journal","title":"Immunometabolism governs dendritic cell and macrophage function","container-title":"The Journal of Experimental Medicine","page":"15-23","volume":"213","issue":"1","source":"PubMed","abstract":"Recent studies on intracellular metabolism in dendritic cells (DCs) and macrophages provide new insights on the functioning of these critical controllers of innate and adaptive immunity. Both cell types undergo profound metabolic reprogramming in response to environmental cues, such as hypoxia or nutrient alterations, but importantly also in response to danger signals and cytokines. Metabolites such as succinate and citrate have a direct impact on the functioning of macrophages. Immunogenicity and tolerogenicity of DCs is also determined by anabolic and catabolic processes, respectively. These findings provide new prospects for therapeutic manipulation in inflammatory diseases and cancer.","DOI":"10.1084/jem.20151570","ISSN":"1540-9538","note":"PMID: 26694970\nPMCID: PMC4710204","journalAbbreviation":"J. Exp. Med.","language":"eng","author":[{"family":"O'Neill","given":"Luke A. J."},{"family":"Pearce","given":"Edward J."}],"issued":{"date-parts":[["2016",1,11]]}}},{"id":1547,"uris":["http://zotero.org/users/952979/items/JJB2QZZK"],"uri":["http://zotero.org/users/952979/items/JJB2QZZK"],"itemData":{"id":1547,"type":"article-journal","title":"Mitochondria are the powerhouses of immunity","container-title":"Nature Immunology","page":"488-498","volume":"18","issue":"5","source":"www.nature.com","abstract":"Recent evidence indicates that mitochondria lie at the heart of immunity. Mitochondrial DNA acts as a danger-associated molecular pattern (DAMP), and the mitochondrial outer membrane is a platform for signaling molecules such as MAVS in RIG-I signaling, and for the NLRP3 inflammasome. Mitochondrial biogenesis, fusion and fission have roles in aspects of immune-cell activation. Most important, Krebs cycle intermediates such as succinate, fumarate and citrate engage in processes related to immunity and inflammation, in both innate and adaptive immune cells. These discoveries are revealing mitochondrial targets that could potentially be exploited for therapeutic gain in inflammation and cancer.\nView full text","DOI":"10.1038/ni.3704","ISSN":"1529-2908","journalAbbreviation":"Nat Immunol","language":"en","author":[{"family":"Mills","given":"Evanna L."},{"family":"Kelly","given":"Beth"},{"family":"O'Neill","given":"Luke A. J."}],"issued":{"date-parts":[["2017",5]]}}}],"schema":"https://github.com/citation-style-language/schema/raw/master/csl-citation.json"} </w:instrText>
      </w:r>
      <w:r>
        <w:fldChar w:fldCharType="separate"/>
      </w:r>
      <w:r w:rsidR="004A1963" w:rsidRPr="004A1963">
        <w:rPr>
          <w:rFonts w:ascii="Calibri" w:hAnsi="Calibri"/>
        </w:rPr>
        <w:t>(31,33,391)</w:t>
      </w:r>
      <w:r>
        <w:fldChar w:fldCharType="end"/>
      </w:r>
      <w:r>
        <w:t xml:space="preserve">.  </w:t>
      </w:r>
    </w:p>
    <w:p w14:paraId="3A6132F8" w14:textId="77777777" w:rsidR="004275D8" w:rsidRDefault="004275D8" w:rsidP="004275D8">
      <w:pPr>
        <w:pStyle w:val="Thesisnormal"/>
      </w:pPr>
    </w:p>
    <w:p w14:paraId="3DED161B" w14:textId="77777777" w:rsidR="004275D8" w:rsidRDefault="004275D8" w:rsidP="004275D8">
      <w:pPr>
        <w:pStyle w:val="Heading2"/>
      </w:pPr>
      <w:bookmarkStart w:id="197" w:name="_Toc4589365"/>
      <w:r>
        <w:lastRenderedPageBreak/>
        <w:t>4.4 Conclusion</w:t>
      </w:r>
      <w:bookmarkEnd w:id="197"/>
    </w:p>
    <w:p w14:paraId="4B75E49F" w14:textId="77777777" w:rsidR="004275D8" w:rsidRDefault="004275D8" w:rsidP="004275D8">
      <w:pPr>
        <w:pStyle w:val="Thesisnormal"/>
      </w:pPr>
    </w:p>
    <w:p w14:paraId="04D0874D" w14:textId="5F7E6493" w:rsidR="004275D8" w:rsidRDefault="004275D8" w:rsidP="004275D8">
      <w:pPr>
        <w:pStyle w:val="Thesisnormal"/>
      </w:pPr>
      <w:r>
        <w:t xml:space="preserve">In screening pathways associated with macrophage polarisation using candidate genes taken from the vertebrate literature </w:t>
      </w:r>
      <w:r>
        <w:fldChar w:fldCharType="begin"/>
      </w:r>
      <w:r w:rsidR="000A209C">
        <w:instrText xml:space="preserve"> ADDIN ZOTERO_ITEM CSL_CITATION {"citationID":"ArRxFABp","properties":{"formattedCitation":"(27,124)","plainCitation":"(27,124)","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J."}],"issued":{"date-parts":[["2017"]]}}},{"id":1284,"uris":["http://zotero.org/users/952979/items/N38NZG8H"],"uri":["http://zotero.org/users/952979/items/N38NZG8H"],"itemData":{"id":1284,"type":"article-journal","title":"Polarization of immune responses in fish: The ‘macrophages first’ point of view","container-title":"Molecular Immunology","source":"ScienceDirect","abstract":"In this review, we support taking polarized immune responses in teleost fish from a ‘macrophage first’ point of view, a hypothesis that reverts the dichotomous T helper (TH)1 and TH2 driving forces by building on the idea of conservation of innate immune responses in lower vertebrates. It is plausible that the initial trigger for macrophage polarization into M1 (inflammation) or M2 (healing) could rely only on sensing microbial/parasite infection or other innate danger signals, without the influence of adaptive immunity. Given the long and ongoing debate on the presence/absence of a typical TH1 cytokine environment and, in particular, TH2 cytokine environment in fish immune responses, it stands out that the presence of macrophages with polarized phenotypes, alike M1 and M2, have been relatively easy to demonstrate for fish. We summarize in short present knowledge in teleost fish on those cytokines considered most critical to the dichotomous development of TH1/M1 and TH2/M2 polarization, in particular, but not exclusively, interferon-γ and interleukin (IL)-4/IL-13. We review, in more detail, polarization of fish immune responses taken from the macrophage point of view for which we adopted the simple nomenclature of M1 and M2. We discuss inducible nitric oxide synthase, or NOS-2, as a reliable M1 marker and arginase-2 as a reliable M2 marker for teleost fish and discuss the value of these macrophage markers for the generation of zebrafish reporter lines to study M1/M2 polarization in vivo.","URL":"http://www.sciencedirect.com/science/article/pii/S0161589015300894","DOI":"10.1016/j.molimm.2015.09.026","ISSN":"0161-5890","shortTitle":"Polarization of immune responses in fish","journalAbbreviation":"Molecular Immunology","author":[{"family":"Wiegertjes","given":"Geert F."},{"family":"Wentzel","given":"Annelieke S."},{"family":"Spaink","given":"Herman P."},{"family":"Elks","given":"Philip M."},{"family":"Fink","given":"Inge R."}],"issued":{"date-parts":[["2015"]]},"accessed":{"date-parts":[["2015",11,11]]}}}],"schema":"https://github.com/citation-style-language/schema/raw/master/csl-citation.json"} </w:instrText>
      </w:r>
      <w:r>
        <w:fldChar w:fldCharType="separate"/>
      </w:r>
      <w:r w:rsidR="004A1963" w:rsidRPr="004A1963">
        <w:rPr>
          <w:rFonts w:ascii="Calibri" w:hAnsi="Calibri"/>
        </w:rPr>
        <w:t>(27,124)</w:t>
      </w:r>
      <w:r>
        <w:fldChar w:fldCharType="end"/>
      </w:r>
      <w:r>
        <w:t xml:space="preserve">, we demonstrated </w:t>
      </w:r>
      <w:r w:rsidRPr="00414031">
        <w:t>that</w:t>
      </w:r>
      <w:r>
        <w:t xml:space="preserve">, when normal oxidative phosphorylation is limited within hemocytes, hemocytes display reduced levels of efferocytosis with enhanced responses to wounding and upregulation of pro-inflammatory genes. This demonstrates that these hemocytes are potentially displaying a pro-inflammatory phenotype, supporting the role of metabolism in promoting or suppressing inflammatory phenotypes in immune cells. Furthermore, we demonstrated that reducing ROS levels within hemocytes can limit responses to sites of injury. Together, this data suggest that </w:t>
      </w:r>
      <w:r>
        <w:rPr>
          <w:i/>
        </w:rPr>
        <w:t>Drosophila</w:t>
      </w:r>
      <w:r>
        <w:t xml:space="preserve"> hemocytes are controlled by similar processes to those that govern macrophage polarisation in mammalian macrophages. </w:t>
      </w:r>
    </w:p>
    <w:p w14:paraId="5B485938" w14:textId="77777777" w:rsidR="00BB4847" w:rsidRDefault="00BB4847" w:rsidP="001D1AB8"/>
    <w:p w14:paraId="72373174" w14:textId="77777777" w:rsidR="00A13915" w:rsidRDefault="00A13915"/>
    <w:p w14:paraId="7185C80F" w14:textId="77777777" w:rsidR="00A13915" w:rsidRDefault="00A13915">
      <w:r>
        <w:br w:type="page"/>
      </w:r>
    </w:p>
    <w:p w14:paraId="583329B8" w14:textId="77777777" w:rsidR="00A13915" w:rsidRDefault="00A13915">
      <w:r>
        <w:rPr>
          <w:noProof/>
          <w:lang w:eastAsia="en-GB"/>
        </w:rPr>
        <w:lastRenderedPageBreak/>
        <w:drawing>
          <wp:inline distT="0" distB="0" distL="0" distR="0" wp14:anchorId="3302FAEF" wp14:editId="3A281848">
            <wp:extent cx="4189228" cy="5704777"/>
            <wp:effectExtent l="0" t="0" r="1905" b="0"/>
            <wp:docPr id="9" name="Picture 9" descr="D:\Dropbox\PhD\Writing\Thesis\Chapter 4 Targetting M1 and M2 pathways\Final summary figure - Chapte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4 Targetting M1 and M2 pathways\Final summary figure - Chapter 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3491" cy="5710582"/>
                    </a:xfrm>
                    <a:prstGeom prst="rect">
                      <a:avLst/>
                    </a:prstGeom>
                    <a:noFill/>
                    <a:ln>
                      <a:noFill/>
                    </a:ln>
                  </pic:spPr>
                </pic:pic>
              </a:graphicData>
            </a:graphic>
          </wp:inline>
        </w:drawing>
      </w:r>
    </w:p>
    <w:p w14:paraId="40AE8073" w14:textId="3B2D4C4D" w:rsidR="00A13915" w:rsidRPr="00206EC1" w:rsidRDefault="00A13915" w:rsidP="00A13915">
      <w:pPr>
        <w:pStyle w:val="NoSpacing"/>
        <w:rPr>
          <w:b/>
        </w:rPr>
      </w:pPr>
      <w:r w:rsidRPr="00206EC1">
        <w:rPr>
          <w:b/>
        </w:rPr>
        <w:t xml:space="preserve">Figure </w:t>
      </w:r>
      <w:r>
        <w:rPr>
          <w:b/>
        </w:rPr>
        <w:t>4</w:t>
      </w:r>
      <w:r w:rsidRPr="00206EC1">
        <w:rPr>
          <w:b/>
        </w:rPr>
        <w:t>.</w:t>
      </w:r>
      <w:r>
        <w:rPr>
          <w:b/>
        </w:rPr>
        <w:t>22</w:t>
      </w:r>
      <w:r w:rsidRPr="00206EC1">
        <w:rPr>
          <w:b/>
        </w:rPr>
        <w:t xml:space="preserve"> </w:t>
      </w:r>
      <w:r>
        <w:rPr>
          <w:b/>
        </w:rPr>
        <w:t>Summary of chapter 4 findings</w:t>
      </w:r>
    </w:p>
    <w:p w14:paraId="4EA4D2BF" w14:textId="1384D9FF" w:rsidR="004275D8" w:rsidRDefault="00A13915" w:rsidP="00A13915">
      <w:r>
        <w:t xml:space="preserve">We identified roles for ROS and glycolysis in the polarisation of </w:t>
      </w:r>
      <w:r>
        <w:rPr>
          <w:i/>
        </w:rPr>
        <w:t>Drosophila</w:t>
      </w:r>
      <w:r>
        <w:t xml:space="preserve"> hemocytes towards pro-inflammatory functions including increased recruitment to wounds and decreased efferocytosis. However, the response to different stimuli is still an outstanding question and we have not yet investigated discrete signalling pathways in detail</w:t>
      </w:r>
      <w:r w:rsidR="004275D8">
        <w:br w:type="page"/>
      </w:r>
    </w:p>
    <w:p w14:paraId="760B8E7A" w14:textId="77777777" w:rsidR="00A92BC4" w:rsidRDefault="00A92BC4" w:rsidP="00A92BC4">
      <w:pPr>
        <w:pStyle w:val="Heading1"/>
      </w:pPr>
      <w:bookmarkStart w:id="198" w:name="_Toc515560579"/>
      <w:bookmarkStart w:id="199" w:name="_Toc4589366"/>
      <w:r>
        <w:lastRenderedPageBreak/>
        <w:t xml:space="preserve">Chapter 5. JAK/STAT signalling in </w:t>
      </w:r>
      <w:r w:rsidRPr="00CE4778">
        <w:rPr>
          <w:i/>
        </w:rPr>
        <w:t>Drosophila</w:t>
      </w:r>
      <w:r>
        <w:t xml:space="preserve"> embryonic hemocytes</w:t>
      </w:r>
      <w:bookmarkEnd w:id="198"/>
      <w:r>
        <w:t xml:space="preserve"> is required for limiting responses to pro-inflammatory wounding</w:t>
      </w:r>
      <w:bookmarkEnd w:id="199"/>
    </w:p>
    <w:p w14:paraId="3465D7DB" w14:textId="77777777" w:rsidR="00A92BC4" w:rsidRDefault="00A92BC4" w:rsidP="00A92BC4">
      <w:pPr>
        <w:pStyle w:val="Thesisnormal"/>
      </w:pPr>
    </w:p>
    <w:p w14:paraId="4216B803" w14:textId="77777777" w:rsidR="00A92BC4" w:rsidRDefault="00A92BC4" w:rsidP="00A92BC4">
      <w:pPr>
        <w:pStyle w:val="Heading2"/>
      </w:pPr>
      <w:bookmarkStart w:id="200" w:name="_Toc515560580"/>
      <w:bookmarkStart w:id="201" w:name="_Toc4589367"/>
      <w:r>
        <w:t>5.1 Introduction</w:t>
      </w:r>
      <w:bookmarkEnd w:id="200"/>
      <w:bookmarkEnd w:id="201"/>
    </w:p>
    <w:p w14:paraId="7C9E218E" w14:textId="77777777" w:rsidR="00A92BC4" w:rsidRPr="00AC5611" w:rsidRDefault="00A92BC4" w:rsidP="00A92BC4"/>
    <w:p w14:paraId="597A35F4" w14:textId="77777777" w:rsidR="00A92BC4" w:rsidRDefault="00A92BC4" w:rsidP="00A92BC4">
      <w:pPr>
        <w:pStyle w:val="Heading3"/>
      </w:pPr>
      <w:bookmarkStart w:id="202" w:name="_Toc515560582"/>
      <w:bookmarkStart w:id="203" w:name="_Toc4589368"/>
      <w:r>
        <w:t xml:space="preserve">5.1.1 JAK/STAT signalling in </w:t>
      </w:r>
      <w:r>
        <w:rPr>
          <w:i/>
        </w:rPr>
        <w:t>Drosophila</w:t>
      </w:r>
      <w:bookmarkEnd w:id="202"/>
      <w:bookmarkEnd w:id="203"/>
    </w:p>
    <w:p w14:paraId="4074A4BD" w14:textId="77777777" w:rsidR="00A92BC4" w:rsidRDefault="00A92BC4" w:rsidP="00A92BC4">
      <w:pPr>
        <w:pStyle w:val="Thesisnormal"/>
      </w:pPr>
    </w:p>
    <w:p w14:paraId="55E0AAFE" w14:textId="69E286B2" w:rsidR="00A92BC4" w:rsidRPr="00671A5A" w:rsidRDefault="00A92BC4" w:rsidP="00A92BC4">
      <w:pPr>
        <w:pStyle w:val="Thesisnormal"/>
      </w:pPr>
      <w:r>
        <w:t xml:space="preserve">One of the major benefits to </w:t>
      </w:r>
      <w:r>
        <w:rPr>
          <w:i/>
        </w:rPr>
        <w:t>Drosophila</w:t>
      </w:r>
      <w:r>
        <w:t xml:space="preserve"> as a model organism is the lack of redundancy in signalling pathways </w:t>
      </w:r>
      <w:r>
        <w:fldChar w:fldCharType="begin"/>
      </w:r>
      <w:r w:rsidR="000A209C">
        <w:instrText xml:space="preserve"> ADDIN ZOTERO_ITEM CSL_CITATION {"citationID":"VwyGvm2k","properties":{"formattedCitation":"(157)","plainCitation":"(157)","noteIndex":0},"citationItems":[{"id":1283,"uris":["http://zotero.org/users/952979/items/48UM4EDN"],"uri":["http://zotero.org/users/952979/items/48UM4EDN"],"itemData":{"id":1283,"type":"article-journal","title":"Genetics on the Fly: A Primer on the Drosophila Model System","container-title":"Genetics","page":"815-842","volume":"201","issue":"3","source":"PubMed","abstract":"Fruit flies of the genus Drosophila have been an attractive and effective genetic model organism since Thomas Hunt Morgan and colleagues made seminal discoveries with them a century ago. Work with Drosophila has enabled dramatic advances in cell and developmental biology, neurobiology and behavior, molecular biology, evolutionary and population genetics, and other fields. With more tissue types and observable behaviors than in other short-generation model organisms, and with vast genome data available for many species within the genus, the fly's tractable complexity will continue to enable exciting opportunities to explore mechanisms of complex developmental programs, behaviors, and broader evolutionary questions. This primer describes the organism's natural history, the features of sequenced genomes within the genus, the wide range of available genetic tools and online resources, the types of biological questions Drosophila can help address, and historical milestones.","DOI":"10.1534/genetics.115.183392","ISSN":"1943-2631","note":"PMID: 26564900","shortTitle":"Genetics on the Fly","journalAbbreviation":"Genetics","language":"eng","author":[{"family":"Hales","given":"Karen G."},{"family":"Korey","given":"Christopher A."},{"family":"Larracuente","given":"Amanda M."},{"family":"Roberts","given":"David M."}],"issued":{"date-parts":[["2015",11]]}}}],"schema":"https://github.com/citation-style-language/schema/raw/master/csl-citation.json"} </w:instrText>
      </w:r>
      <w:r>
        <w:fldChar w:fldCharType="separate"/>
      </w:r>
      <w:r w:rsidR="004A1963" w:rsidRPr="004A1963">
        <w:rPr>
          <w:rFonts w:ascii="Calibri" w:hAnsi="Calibri"/>
        </w:rPr>
        <w:t>(157)</w:t>
      </w:r>
      <w:r>
        <w:fldChar w:fldCharType="end"/>
      </w:r>
      <w:r>
        <w:t xml:space="preserve">. The JAK/STAT pathway in </w:t>
      </w:r>
      <w:r>
        <w:rPr>
          <w:i/>
        </w:rPr>
        <w:t>Drosophila</w:t>
      </w:r>
      <w:r>
        <w:t xml:space="preserve"> is simpler than in mammalian systems, consisting of three ligands (</w:t>
      </w:r>
      <w:r>
        <w:rPr>
          <w:i/>
        </w:rPr>
        <w:t>unpaired1-3</w:t>
      </w:r>
      <w:r w:rsidRPr="00766A3D">
        <w:t>/</w:t>
      </w:r>
      <w:r w:rsidRPr="00F807F1">
        <w:rPr>
          <w:i/>
        </w:rPr>
        <w:t>Upd1-3</w:t>
      </w:r>
      <w:r>
        <w:t>)</w:t>
      </w:r>
      <w:r w:rsidRPr="003953CA">
        <w:t>)</w:t>
      </w:r>
      <w:r>
        <w:t xml:space="preserve"> </w:t>
      </w:r>
      <w:r>
        <w:fldChar w:fldCharType="begin"/>
      </w:r>
      <w:r w:rsidR="000A209C">
        <w:instrText xml:space="preserve"> ADDIN ZOTERO_ITEM CSL_CITATION {"citationID":"n3bnJcuC","properties":{"formattedCitation":"(449,450)","plainCitation":"(449,450)","noteIndex":0},"citationItems":[{"id":84,"uris":["http://zotero.org/users/952979/items/ZNQAREYB"],"uri":["http://zotero.org/users/952979/items/ZNQAREYB"],"itemData":{"id":84,"type":"article-journal","title":"Drosophila unpaired encodes a secreted protein that activates the JAK signaling pathway","container-title":"Genes &amp; Development","page":"3252-3263","volume":"12","issue":"20","source":"PubMed Central","abstract":"In vertebrates, many cytokines and growth factors have been identified as activators of the JAK/STAT signaling pathway. In Drosophila, JAK and STAT molecules have been isolated, but no ligands or receptors capable of activating the pathway have been described. We have characterized the unpaired (upd) gene, which displays the same distinctive embryonic mutant defects as mutations in the Drosophila JAK (hopscotch) and STAT (stat92E) genes. Upd is a secreted protein, associated with the extracellular matrix, that activates the JAK pathway. We propose that Upd is a ligand that relies on JAK signaling to stimulate transcription of pair-rule genes in a segmentally restricted manner in the early Drosophila embryo.","ISSN":"0890-9369","note":"PMID: 9784499\nPMCID: PMC317220","journalAbbreviation":"Genes Dev","author":[{"family":"Harrison","given":"Douglas A."},{"family":"McCoon","given":"Patricia E."},{"family":"Binari","given":"Richard"},{"family":"Gilman","given":"Michael"},{"family":"Perrimon","given":"Norbert"}],"issued":{"date-parts":[["1998",10,15]]}}},{"id":79,"uris":["http://zotero.org/users/952979/items/K3II3B8M"],"uri":["http://zotero.org/users/952979/items/K3II3B8M"],"itemData":{"id":79,"type":"article-journal","title":"Characterisation of Upd2, a Drosophila JAK/STAT pathway ligand","container-title":"Developmental Biology","page":"420-433","volume":"288","issue":"2","source":"PubMed","abstract":"The characterisation of ligands that activate the JAK/STAT pathway has the potential to throw light onto a comparatively poorly understood aspect of this important signal transduction cascade. Here, we describe our analysis of the only invertebrate JAK/STAT pathway ligands identified to date, the Drosophila unpaired-like family. We show that upd2 is expressed in a pattern essentially identical to that of upd and demonstrate that the proteins encoded by this region activate JAK/STAT pathway signalling. Mutational analysis demonstrates a mutual semi-redundancy that can be visualised in multiple tissues known to require JAK/STAT signalling. In order to better characterise the in vivo function of these ligands, we developed a reporter based on a natural JAK/STAT pathway responsive enhancer and show that ectopic upd2 expression can effectively activate the JAK/STAT pathway. While both Upd and Upd2 are secreted JAK/STAT pathway agonists, tissue culture assays show that the signal-sequences of Upd and Upd2 confer distinct properties, with Upd associated primarily with the extracellular matrix and Upd2 secreted into the media. The differing biophysical characteristics identified for Upd-like molecules have implications for their function in vivo and adds another aspect to our understanding of cytokine signalling in Drosophila.","DOI":"10.1016/j.ydbio.2005.09.040","ISSN":"0012-1606","note":"PMID: 16277982","journalAbbreviation":"Dev. Biol.","language":"eng","author":[{"family":"Hombría","given":"James Castelli-Gair"},{"family":"Brown","given":"Stephen"},{"family":"Häder","given":"Sabine"},{"family":"Zeidler","given":"Martin P."}],"issued":{"date-parts":[["2005",12,15]]}}}],"schema":"https://github.com/citation-style-language/schema/raw/master/csl-citation.json"} </w:instrText>
      </w:r>
      <w:r>
        <w:fldChar w:fldCharType="separate"/>
      </w:r>
      <w:r w:rsidR="003902A3" w:rsidRPr="003902A3">
        <w:rPr>
          <w:rFonts w:ascii="Calibri" w:hAnsi="Calibri"/>
        </w:rPr>
        <w:t>(449,450)</w:t>
      </w:r>
      <w:r>
        <w:fldChar w:fldCharType="end"/>
      </w:r>
      <w:r>
        <w:t>, a single receptor (</w:t>
      </w:r>
      <w:r w:rsidRPr="00A333D6">
        <w:rPr>
          <w:i/>
        </w:rPr>
        <w:t>Domeless</w:t>
      </w:r>
      <w:r>
        <w:t>/</w:t>
      </w:r>
      <w:r w:rsidRPr="00F807F1">
        <w:rPr>
          <w:i/>
        </w:rPr>
        <w:t>Dome</w:t>
      </w:r>
      <w:r>
        <w:t xml:space="preserve">) </w:t>
      </w:r>
      <w:r>
        <w:fldChar w:fldCharType="begin"/>
      </w:r>
      <w:r w:rsidR="000A209C">
        <w:instrText xml:space="preserve"> ADDIN ZOTERO_ITEM CSL_CITATION {"citationID":"2PhtcPrw","properties":{"formattedCitation":"(312)","plainCitation":"(312)","noteIndex":0},"citationItems":[{"id":1624,"uris":["http://zotero.org/users/952979/items/GVTM8UAU"],"uri":["http://zotero.org/users/952979/items/GVTM8UAU"],"itemData":{"id":1624,"type":"article-journal","title":"Identification of the first invertebrate interleukin JAK/STAT receptor, the Drosophila gene domeless","container-title":"Current biology: CB","page":"1700-1705","volume":"11","issue":"21","source":"PubMed","abstract":"The JAK/STAT signaling pathway plays important roles in vertebrate development and the regulation of complex cellular processes. Components of the pathway are conserved in Dictyostelium, Caenorhabditis, and Drosophila, yet the complete sequencing and annotation of the D. melanogaster and C. elegans genomes has failed to identify a receptor, raising the possibility that an alternative type of receptor exists for the invertebrate JAK/STAT pathway. Here we show that domeless (dome) codes for a transmembrane protein required for all JAK/STAT functions in the Drosophila embryo. This includes its known requirement for embryonic segmentation and a newly discovered function in trachea specification. The DOME protein has a similar extracellular structure to the vertebrate cytokine class I receptors, although its sequence has greatly diverged. Like many interleukin receptors, DOME has a cytokine binding homology module (CBM) and three extracellular fibronectin-type-III domains (FnIII). Despite its low degree of overall similarity, key amino acids required for signaling in the vertebrate cytokine class I receptors [3] are conserved in the CBM region. DOME is a signal-transducing receptor with most similarities to the IL-6 receptor family, but it also has characteristics found in the IL-3 receptor family. This suggests that the vertebrate families evolved from a single ancestral receptor that also gave rise to dome.","ISSN":"0960-9822","note":"PMID: 11696329","journalAbbreviation":"Curr. Biol.","language":"eng","author":[{"family":"Brown","given":"S."},{"family":"Hu","given":"N."},{"family":"Hombría","given":"J. C."}],"issued":{"date-parts":[["2001",10,30]]}}}],"schema":"https://github.com/citation-style-language/schema/raw/master/csl-citation.json"} </w:instrText>
      </w:r>
      <w:r>
        <w:fldChar w:fldCharType="separate"/>
      </w:r>
      <w:r w:rsidR="004A1963" w:rsidRPr="004A1963">
        <w:rPr>
          <w:rFonts w:ascii="Calibri" w:hAnsi="Calibri"/>
        </w:rPr>
        <w:t>(312)</w:t>
      </w:r>
      <w:r>
        <w:fldChar w:fldCharType="end"/>
      </w:r>
      <w:r>
        <w:t>, a single JAK (</w:t>
      </w:r>
      <w:r w:rsidRPr="003953CA">
        <w:rPr>
          <w:i/>
        </w:rPr>
        <w:t>Hopscotch</w:t>
      </w:r>
      <w:r w:rsidRPr="00F807F1">
        <w:t>/</w:t>
      </w:r>
      <w:r w:rsidRPr="00F807F1">
        <w:rPr>
          <w:i/>
        </w:rPr>
        <w:t>Hop</w:t>
      </w:r>
      <w:r>
        <w:t xml:space="preserve">) </w:t>
      </w:r>
      <w:r>
        <w:fldChar w:fldCharType="begin"/>
      </w:r>
      <w:r w:rsidR="000A209C">
        <w:instrText xml:space="preserve"> ADDIN ZOTERO_ITEM CSL_CITATION {"citationID":"Ao2vwUMB","properties":{"formattedCitation":"(451)","plainCitation":"(451)","noteIndex":0},"citationItems":[{"id":82,"uris":["http://zotero.org/users/952979/items/GA23J6QF"],"uri":["http://zotero.org/users/952979/items/GA23J6QF"],"itemData":{"id":82,"type":"article-journal","title":"Stripe-specific regulation of pair-rule genes by hopscotch, a putative Jak family tyrosine kinase in Drosophila","container-title":"Genes &amp; Development","page":"300-312","volume":"8","issue":"3","source":"PubMed","abstract":"We describe the characterization of the Drosophila gene, hopscotch (hop), which is required maternally for the establishment of the normal array of embryonic segments. In hop embryos, although expression of the gap genes appears normal, there are defects in the expression patterns of the pair-rule genes even-skipped, runt, and fushi tarazu, as well as the segment-polarity genes engrailed and wingless. We demonstrate that the effect of hop on the expression of these genes is stripe-specific. The hop gene encodes a putative nonreceptor tyrosine kinase of the Janus kinase family, based on an internal duplication of the catalytic domain. We present a model in which the Hop tyrosine kinase is involved in the control of pair-rule gene transcription in a stripe-specific manner. Our results provide the first evidence for stripe-specific regulation of pair-rule genes by a tyrosine kinase.","ISSN":"0890-9369","note":"PMID: 8314084","journalAbbreviation":"Genes Dev.","language":"eng","author":[{"family":"Binari","given":"R."},{"family":"Perrimon","given":"N."}],"issued":{"date-parts":[["1994",2,1]]}}}],"schema":"https://github.com/citation-style-language/schema/raw/master/csl-citation.json"} </w:instrText>
      </w:r>
      <w:r>
        <w:fldChar w:fldCharType="separate"/>
      </w:r>
      <w:r w:rsidR="003902A3" w:rsidRPr="003902A3">
        <w:rPr>
          <w:rFonts w:ascii="Calibri" w:hAnsi="Calibri"/>
        </w:rPr>
        <w:t>(451)</w:t>
      </w:r>
      <w:r>
        <w:fldChar w:fldCharType="end"/>
      </w:r>
      <w:r>
        <w:t xml:space="preserve"> and a single STAT transcription factor (</w:t>
      </w:r>
      <w:r w:rsidRPr="00BF48E3">
        <w:rPr>
          <w:i/>
        </w:rPr>
        <w:t>STAT92</w:t>
      </w:r>
      <w:r>
        <w:rPr>
          <w:i/>
        </w:rPr>
        <w:t>E</w:t>
      </w:r>
      <w:r>
        <w:t xml:space="preserve">) </w:t>
      </w:r>
      <w:r>
        <w:fldChar w:fldCharType="begin"/>
      </w:r>
      <w:r w:rsidR="000A209C">
        <w:instrText xml:space="preserve"> ADDIN ZOTERO_ITEM CSL_CITATION {"citationID":"deaXYlQl","properties":{"formattedCitation":"(452,453)","plainCitation":"(452,453)","noteIndex":0},"citationItems":[{"id":81,"uris":["http://zotero.org/users/952979/items/39DJSI8B"],"uri":["http://zotero.org/users/952979/items/39DJSI8B"],"itemData":{"id":81,"type":"article-journal","title":"Identification of a Stat gene that functions in Drosophila development","container-title":"Cell","page":"421-430","volume":"84","issue":"3","source":"PubMed","abstract":"A Drosophila Stat gene (D-Stat) with a zygotic segmental expression pattern was identified. This protein becomes phosphorylated on Tyr-704 when coexpressed in Schneider cells with a Drosophila janus kinase (JAK), Hopscotch (HOP). The phosphorylated protein binds specifically to the consensus sequence TTCCCGGAA. Suppressor mutations of hopTum-I, a dominant hyperactive allele of hop whose phenotype is hematocyte overproduction and tumor formation, were selected. One of these mutants, statHJ, mapped to the same chromosomal region (92E) as does D-Stat, had an incompletely penetrant pair rule phenotype, and exhibited aberrant expression of the pair rule gene even skipped (eve) at the cellular blastoderm stage. Two D-STAT-binding sites were identified within the eve stripe 3 enhancer region. Mutations in either of the STAT-binding sites greatly decreased the stripe 3 expression in transgenic flies. Clearly, the JAK-STAT pathway is connected to Drosophila early development.","ISSN":"0092-8674","note":"PMID: 8608596","journalAbbreviation":"Cell","language":"eng","author":[{"family":"Yan","given":"R."},{"family":"Small","given":"S."},{"family":"Desplan","given":"C."},{"family":"Dearolf","given":"C. R."},{"family":"Darnell","given":"J. E."}],"issued":{"date-parts":[["1996",2,9]]}}},{"id":80,"uris":["http://zotero.org/users/952979/items/K6RACW9P"],"uri":["http://zotero.org/users/952979/items/K6RACW9P"],"itemData":{"id":80,"type":"article-journal","title":"Marelle acts downstream of the Drosophila HOP/JAK kinase and encodes a protein similar to the mammalian STATs","container-title":"Cell","page":"411-419","volume":"84","issue":"3","source":"PubMed","abstract":"We have identified a putative Drosophila STAT protein named Marelle that exhibits mutant phenotypes identical to mutations in the Hopscotch/JAK kinase. We show that a reduction in the amount of marelle gene activity suppresses the phenotype associated with a gain-of-function mutation in hopscotch and enhances the phenotype associated with a weak hopscotch mutation. We propose that Hopscotch activates Marelle to regulate transcription of target genes such as the pair rule gene even-skipped. Our results demonstrate the existence of an invertebrate JAK/STAT system.","ISSN":"0092-8674","note":"PMID: 8608595","journalAbbreviation":"Cell","language":"eng","author":[{"family":"Hou","given":"X. S."},{"family":"Melnick","given":"M. B."},{"family":"Perrimon","given":"N."}],"issued":{"date-parts":[["1996",2,9]]}}}],"schema":"https://github.com/citation-style-language/schema/raw/master/csl-citation.json"} </w:instrText>
      </w:r>
      <w:r>
        <w:fldChar w:fldCharType="separate"/>
      </w:r>
      <w:r w:rsidR="003902A3" w:rsidRPr="003902A3">
        <w:rPr>
          <w:rFonts w:ascii="Calibri" w:hAnsi="Calibri"/>
        </w:rPr>
        <w:t>(452,453)</w:t>
      </w:r>
      <w:r>
        <w:fldChar w:fldCharType="end"/>
      </w:r>
      <w:r>
        <w:t xml:space="preserve">. Additionally, there are limited known regulators of this pathway in </w:t>
      </w:r>
      <w:r>
        <w:rPr>
          <w:i/>
        </w:rPr>
        <w:t>Drosophila</w:t>
      </w:r>
      <w:r>
        <w:t xml:space="preserve"> </w:t>
      </w:r>
      <w:r>
        <w:fldChar w:fldCharType="begin"/>
      </w:r>
      <w:r w:rsidR="000A209C">
        <w:instrText xml:space="preserve"> ADDIN ZOTERO_ITEM CSL_CITATION {"citationID":"pfX5IKbG","properties":{"formattedCitation":"(454)","plainCitation":"(454)","noteIndex":0},"citationItems":[{"id":1377,"uris":["http://zotero.org/users/952979/items/AE2CIZD2"],"uri":["http://zotero.org/users/952979/items/AE2CIZD2"],"itemData":{"id":1377,"type":"article-journal","title":"Drosophila SOCS Proteins","container-title":"Journal of Signal Transduction","page":"894510","volume":"2011","source":"PubMed","abstract":"The importance of signal transduction cascades such as the EGFR and JAK/STAT pathways for development and homeostasis is highlighted by the high levels of molecular conservation maintained between organisms as evolutionary diverged as fruit flies and humans. This conservation is also mirrored in many of the regulatory mechanisms that control the extent and duration of signalling in vivo. One group of proteins that represent important physiological regulators of both EGFR and JAK/STAT signalling is the members of the SOCS family. Only 3 SOCS-like proteins are encoded by the Drosophila genome, and despite this low complexity, Drosophila SOCS proteins share many similarities to their human homologues. SOCS36E is both a target gene and negative regulator of JAK/STAT signalling while SOCS44A and SOCS36E represent positive and negative regulators of EGFR signalling. Here we review our current understanding of Drosophila SOCS proteins, their roles in vivo, and future approaches to elucidating their functions.","DOI":"10.1155/2011/894510","ISSN":"2090-1747","note":"PMID: 22203896\nPMCID: PMC3238392","journalAbbreviation":"J Signal Transduct","language":"eng","author":[{"family":"Stec","given":"Wojciech J."},{"family":"Zeidler","given":"Martin P."}],"issued":{"date-parts":[["2011"]]}}}],"schema":"https://github.com/citation-style-language/schema/raw/master/csl-citation.json"} </w:instrText>
      </w:r>
      <w:r>
        <w:fldChar w:fldCharType="separate"/>
      </w:r>
      <w:r w:rsidR="003902A3" w:rsidRPr="003902A3">
        <w:rPr>
          <w:rFonts w:ascii="Calibri" w:hAnsi="Calibri"/>
        </w:rPr>
        <w:t>(454)</w:t>
      </w:r>
      <w:r>
        <w:fldChar w:fldCharType="end"/>
      </w:r>
      <w:r>
        <w:t xml:space="preserve">. Upon binding of a ligand to pre-dimerised Dome, Hop is phosphorylated, which in turn phosphorylates tyrosine residues on Dome to provide docking sites for STAT92E. STAT92E is then phosphorylated which causes dimerization and translocation to the nucleus where it binds target DNA to activate transcription </w:t>
      </w:r>
      <w:r>
        <w:fldChar w:fldCharType="begin"/>
      </w:r>
      <w:r w:rsidR="000A209C">
        <w:instrText xml:space="preserve"> ADDIN ZOTERO_ITEM CSL_CITATION {"citationID":"FstozA5E","properties":{"formattedCitation":"(455,456)","plainCitation":"(455,456)","noteIndex":0},"citationItems":[{"id":1089,"uris":["http://zotero.org/users/952979/items/7WXU9KKH"],"uri":["http://zotero.org/users/952979/items/7WXU9KKH"],"itemData":{"id":1089,"type":"article-journal","title":"The Drosophila JAK-STAT pathway","container-title":"JAK-STAT","page":"e25353","volume":"2","issue":"3","source":"PubMed","abstract":"The conservation of signaling cascades between humans and Drosophila, over more than 500 million years of evolutionary time, means that the genetic tractability of the fly can be used to its full advantage to understand the functional requirements for JAK-STAT pathway signaling across species. Here we review the background to how the pathway was first identified and the first characterization of JAK-STAT pathway phenotypes in the Drosophila system, highlighting the molecular, functional, and disease-related conservation of the pathway.","DOI":"10.4161/jkst.25353","ISSN":"2162-3988","note":"PMID: 24069564\nPMCID: PMC3772116","journalAbbreviation":"JAKSTAT","language":"eng","author":[{"family":"Zeidler","given":"Martin P."},{"family":"Bausek","given":"Nina"}],"issued":{"date-parts":[["2013",7,1]]}}},{"id":1374,"uris":["http://zotero.org/users/952979/items/U52XSVKF"],"uri":["http://zotero.org/users/952979/items/U52XSVKF"],"itemData":{"id":1374,"type":"article-journal","title":"JAK/STAT signalling in Drosophila: insights into conserved regulatory and cellular functions","container-title":"Development (Cambridge, England)","page":"2605-2616","volume":"133","issue":"14","source":"PubMed","abstract":"High levels of interspecies conservation characterise all signal transduction cascades and demonstrate the significance of these pathways over evolutionary time. Here, we review advances in the field of JAK/STAT signalling, focusing on recent developments in Drosophila. In particular, recent results from genetic and genome-wide RNAi screens, as well as studies into the developmental roles played by this pathway, highlight striking levels of physical and functional conservation in processes such as cellular proliferation, immune responses and stem cell maintenance. These insights underscore the value of model organisms for improving our understanding of this human disease-relevant pathway.","DOI":"10.1242/dev.02411","ISSN":"0950-1991","note":"PMID: 16794031","shortTitle":"JAK/STAT signalling in Drosophila","journalAbbreviation":"Development","language":"eng","author":[{"family":"Arbouzova","given":"Natalia I."},{"family":"Zeidler","given":"Martin P."}],"issued":{"date-parts":[["2006",7]]}}}],"schema":"https://github.com/citation-style-language/schema/raw/master/csl-citation.json"} </w:instrText>
      </w:r>
      <w:r>
        <w:fldChar w:fldCharType="separate"/>
      </w:r>
      <w:r w:rsidR="003902A3" w:rsidRPr="003902A3">
        <w:rPr>
          <w:rFonts w:ascii="Calibri" w:hAnsi="Calibri"/>
        </w:rPr>
        <w:t>(455,456)</w:t>
      </w:r>
      <w:r>
        <w:fldChar w:fldCharType="end"/>
      </w:r>
      <w:r>
        <w:t xml:space="preserve"> (F</w:t>
      </w:r>
      <w:r w:rsidRPr="005C51D2">
        <w:t>ig 5.1</w:t>
      </w:r>
      <w:r>
        <w:t>).</w:t>
      </w:r>
    </w:p>
    <w:p w14:paraId="270CC54A" w14:textId="77777777" w:rsidR="00A92BC4" w:rsidRDefault="00A92BC4" w:rsidP="00A92BC4">
      <w:pPr>
        <w:pStyle w:val="Thesisnormal"/>
      </w:pPr>
    </w:p>
    <w:p w14:paraId="2FF97AC1" w14:textId="111F2A36" w:rsidR="00A92BC4" w:rsidRPr="00BA453D" w:rsidRDefault="00A92BC4" w:rsidP="00A92BC4">
      <w:pPr>
        <w:pStyle w:val="Thesisnormal"/>
      </w:pPr>
      <w:r>
        <w:t xml:space="preserve">JAK/STAT signalling also has negative regulators that share similarity to regulators found in mammalian cells. The suppressor of cytokine signalling (SOCS) family of proteins, represents the best characterised regulators </w:t>
      </w:r>
      <w:r>
        <w:fldChar w:fldCharType="begin"/>
      </w:r>
      <w:r w:rsidR="000A209C">
        <w:instrText xml:space="preserve"> ADDIN ZOTERO_ITEM CSL_CITATION {"citationID":"NCemrexW","properties":{"formattedCitation":"(454,457)","plainCitation":"(454,457)","noteIndex":0},"citationItems":[{"id":1377,"uris":["http://zotero.org/users/952979/items/AE2CIZD2"],"uri":["http://zotero.org/users/952979/items/AE2CIZD2"],"itemData":{"id":1377,"type":"article-journal","title":"Drosophila SOCS Proteins","container-title":"Journal of Signal Transduction","page":"894510","volume":"2011","source":"PubMed","abstract":"The importance of signal transduction cascades such as the EGFR and JAK/STAT pathways for development and homeostasis is highlighted by the high levels of molecular conservation maintained between organisms as evolutionary diverged as fruit flies and humans. This conservation is also mirrored in many of the regulatory mechanisms that control the extent and duration of signalling in vivo. One group of proteins that represent important physiological regulators of both EGFR and JAK/STAT signalling is the members of the SOCS family. Only 3 SOCS-like proteins are encoded by the Drosophila genome, and despite this low complexity, Drosophila SOCS proteins share many similarities to their human homologues. SOCS36E is both a target gene and negative regulator of JAK/STAT signalling while SOCS44A and SOCS36E represent positive and negative regulators of EGFR signalling. Here we review our current understanding of Drosophila SOCS proteins, their roles in vivo, and future approaches to elucidating their functions.","DOI":"10.1155/2011/894510","ISSN":"2090-1747","note":"PMID: 22203896\nPMCID: PMC3238392","journalAbbreviation":"J Signal Transduct","language":"eng","author":[{"family":"Stec","given":"Wojciech J."},{"family":"Zeidler","given":"Martin P."}],"issued":{"date-parts":[["2011"]]}}},{"id":1375,"uris":["http://zotero.org/users/952979/items/G2XGF6IM"],"uri":["http://zotero.org/users/952979/items/G2XGF6IM"],"itemData":{"id":1375,"type":"article-journal","title":"Drosophila SOCS36E negatively regulates JAK/STAT pathway signaling via two separable mechanisms","container-title":"Molecular Biology of the Cell","page":"3000-3009","volume":"24","issue":"18","source":"PubMed","abstract":"Conserved from humans to Drosophila, the Janus kinase/signal transducer and activators of transcription (JAK/STAT) signaling cascade is essential for multiple developmental and homeostatic processes, with regulatory molecules controlling pathway activity also highly conserved. We characterize the Drosophila JAK/STAT pathway regulator SOCS36E and show that it functions via two independent mechanisms. First, we show that Drosophila Elongin B/C and Cullin-5 act via the SOCS-box of SOCS36E to reduce pathway activity specifically in response to ligand stimulation--a process that involves endocytic trafficking and lysosomal degradation of the Domeless (Dome) receptor. Second, SOCS36E also suppresses both stimulated and basal pathway activity via an Elongin/Cullin-independent mechanism that is mediated by the N-terminus of SOCS36E, which is required for the physical interaction of SOCS36E with Dome. Although some human SOCS proteins contain N-terminal kinase-inhibitory domains, we do not identify such a region in SOCS36E and propose a model wherein the N-terminal of SOCS36E blocks access to tyrosine residues in Dome. Our biochemical analysis of a SOCS-family regulator from a lower organism highlights the fundamental conserved roles played by regulatory mechanisms in signal transduction.","DOI":"10.1091/mbc.E13-05-0275","ISSN":"1939-4586","note":"PMID: 23885117\nPMCID: PMC3771960","journalAbbreviation":"Mol. Biol. Cell","language":"eng","author":[{"family":"Stec","given":"Wojciech"},{"family":"Vidal","given":"Oscar"},{"family":"Zeidler","given":"Martin P."}],"issued":{"date-parts":[["2013",9]]}}}],"schema":"https://github.com/citation-style-language/schema/raw/master/csl-citation.json"} </w:instrText>
      </w:r>
      <w:r>
        <w:fldChar w:fldCharType="separate"/>
      </w:r>
      <w:r w:rsidR="003902A3" w:rsidRPr="003902A3">
        <w:rPr>
          <w:rFonts w:ascii="Calibri" w:hAnsi="Calibri"/>
        </w:rPr>
        <w:t>(454,457)</w:t>
      </w:r>
      <w:r>
        <w:fldChar w:fldCharType="end"/>
      </w:r>
      <w:r>
        <w:t xml:space="preserve">. There are three members of the SOCS family in </w:t>
      </w:r>
      <w:r>
        <w:rPr>
          <w:i/>
        </w:rPr>
        <w:t>Drosophila</w:t>
      </w:r>
      <w:r>
        <w:t xml:space="preserve">; SOCS16D, SOCS44A and SOCS36E </w:t>
      </w:r>
      <w:r>
        <w:fldChar w:fldCharType="begin"/>
      </w:r>
      <w:r w:rsidR="000A209C">
        <w:instrText xml:space="preserve"> ADDIN ZOTERO_ITEM CSL_CITATION {"citationID":"Hog6fsau","properties":{"formattedCitation":"(458)","plainCitation":"(458)","noteIndex":0},"citationItems":[{"id":77,"uris":["http://zotero.org/users/952979/items/65YSQATK"],"uri":["http://zotero.org/users/952979/items/65YSQATK"],"itemData":{"id":77,"type":"article-journal","title":"SOCS36E, a novel Drosophila SOCS protein, suppresses JAK/STAT and EGF-R signalling in the imaginal wing disc","container-title":"Oncogene","page":"4812-4821","volume":"21","issue":"31","source":"PubMed","abstract":"We have cloned a novel SOCS gene from Drosophila, socs36E, which is most homologous to the mammalian socs-5 gene. Socs36E is expressed zygotically, predominantly during embryogenesis, in a highly dynamic pattern. In vivo expression of SOCS36E in transgenic flies results in several adult phenotypes. Engrailed-GAL4 directed expression causes loss of the wing anterior cross vein, humeral outgrowths, absence of halteres and eye pigmentation defects. Expression of SOCS36E under apterous-GAL4 control resulted in outstretched wings. Full penetrance of these phenotypes required the presence of the SH2 and SOCS-box domains of SOCS36E. The observed phenotypes were consistent with defects in JAK/STAT or EGF-R signalling and were exacerbated in flies heterozygous for either the d-jak (hopscotch), d-stat (stat92E) or d-egf-r (der) genes. Conversely, inactivating one copy of the d-cbl gene, a negative regulator of the d-EGF-R, partially rescued the wing phenotypes. These genetic interactions imply that SOCS36E can suppress activities of the JAK/STAT and EGF-R signalling pathways in the wing disc and suggest that SOCS36E interacts with multiple pathways in vivo.","DOI":"10.1038/sj.onc.1205618","ISSN":"0950-9232","note":"PMID: 12101419","journalAbbreviation":"Oncogene","language":"eng","author":[{"family":"Callus","given":"Bernard A."},{"family":"Mathey-Prevot","given":"Bernard"}],"issued":{"date-parts":[["2002",7,18]]}}}],"schema":"https://github.com/citation-style-language/schema/raw/master/csl-citation.json"} </w:instrText>
      </w:r>
      <w:r>
        <w:fldChar w:fldCharType="separate"/>
      </w:r>
      <w:r w:rsidR="003902A3" w:rsidRPr="003902A3">
        <w:rPr>
          <w:rFonts w:ascii="Calibri" w:hAnsi="Calibri"/>
        </w:rPr>
        <w:t>(458)</w:t>
      </w:r>
      <w:r>
        <w:fldChar w:fldCharType="end"/>
      </w:r>
      <w:r>
        <w:t xml:space="preserve">. The different SOCS members share varying homology to human SOCS (reviewed in </w:t>
      </w:r>
      <w:r>
        <w:fldChar w:fldCharType="begin"/>
      </w:r>
      <w:r w:rsidR="000A209C">
        <w:instrText xml:space="preserve"> ADDIN ZOTERO_ITEM CSL_CITATION {"citationID":"ZkEnby4W","properties":{"formattedCitation":"(454)","plainCitation":"(454)","noteIndex":0},"citationItems":[{"id":1377,"uris":["http://zotero.org/users/952979/items/AE2CIZD2"],"uri":["http://zotero.org/users/952979/items/AE2CIZD2"],"itemData":{"id":1377,"type":"article-journal","title":"Drosophila SOCS Proteins","container-title":"Journal of Signal Transduction","page":"894510","volume":"2011","source":"PubMed","abstract":"The importance of signal transduction cascades such as the EGFR and JAK/STAT pathways for development and homeostasis is highlighted by the high levels of molecular conservation maintained between organisms as evolutionary diverged as fruit flies and humans. This conservation is also mirrored in many of the regulatory mechanisms that control the extent and duration of signalling in vivo. One group of proteins that represent important physiological regulators of both EGFR and JAK/STAT signalling is the members of the SOCS family. Only 3 SOCS-like proteins are encoded by the Drosophila genome, and despite this low complexity, Drosophila SOCS proteins share many similarities to their human homologues. SOCS36E is both a target gene and negative regulator of JAK/STAT signalling while SOCS44A and SOCS36E represent positive and negative regulators of EGFR signalling. Here we review our current understanding of Drosophila SOCS proteins, their roles in vivo, and future approaches to elucidating their functions.","DOI":"10.1155/2011/894510","ISSN":"2090-1747","note":"PMID: 22203896\nPMCID: PMC3238392","journalAbbreviation":"J Signal Transduct","language":"eng","author":[{"family":"Stec","given":"Wojciech J."},{"family":"Zeidler","given":"Martin P."}],"issued":{"date-parts":[["2011"]]}}}],"schema":"https://github.com/citation-style-language/schema/raw/master/csl-citation.json"} </w:instrText>
      </w:r>
      <w:r>
        <w:fldChar w:fldCharType="separate"/>
      </w:r>
      <w:r w:rsidR="003902A3" w:rsidRPr="003902A3">
        <w:rPr>
          <w:rFonts w:ascii="Calibri" w:hAnsi="Calibri"/>
        </w:rPr>
        <w:t>(454)</w:t>
      </w:r>
      <w:r>
        <w:fldChar w:fldCharType="end"/>
      </w:r>
      <w:r>
        <w:t xml:space="preserve">). SOCS proteins bind to phosphorylated tyrosine residues on active JAKs, acting as competitive inhibitors for the STAT binding sites </w:t>
      </w:r>
      <w:r>
        <w:fldChar w:fldCharType="begin"/>
      </w:r>
      <w:r w:rsidR="000A209C">
        <w:instrText xml:space="preserve"> ADDIN ZOTERO_ITEM CSL_CITATION {"citationID":"w0ygvSvG","properties":{"formattedCitation":"(459)","plainCitation":"(459)","noteIndex":0},"citationItems":[{"id":1378,"uris":["http://zotero.org/users/952979/items/FIU8UK9C"],"uri":["http://zotero.org/users/952979/items/FIU8UK9C"],"itemData":{"id":1378,"type":"article-journal","title":"The JAK/STAT signaling pathway","container-title":"Journal of Cell Science","page":"1281-1283","volume":"117","issue":"8","source":"jcs.biologists.org","DOI":"10.1242/jcs.00963","ISSN":"0021-9533, 1477-9137","note":"PMID: 15020666","journalAbbreviation":"J Cell Sci","language":"en","author":[{"family":"Rawlings","given":"Jason S."},{"family":"Rosler","given":"Kristin M."},{"family":"Harrison","given":"Douglas A."}],"issued":{"date-parts":[["2004",3,15]]}}}],"schema":"https://github.com/citation-style-language/schema/raw/master/csl-citation.json"} </w:instrText>
      </w:r>
      <w:r>
        <w:fldChar w:fldCharType="separate"/>
      </w:r>
      <w:r w:rsidR="003902A3" w:rsidRPr="003902A3">
        <w:rPr>
          <w:rFonts w:ascii="Calibri" w:hAnsi="Calibri"/>
        </w:rPr>
        <w:t>(459)</w:t>
      </w:r>
      <w:r>
        <w:fldChar w:fldCharType="end"/>
      </w:r>
      <w:r>
        <w:t xml:space="preserve">. SOCS44A and SOCS36E both regulate JAK/STAT signalling, although SOCS44A is not a JAK target; SOCS16D does not appear to regulate JAK/STAT signalling </w:t>
      </w:r>
      <w:r>
        <w:fldChar w:fldCharType="begin"/>
      </w:r>
      <w:r w:rsidR="000A209C">
        <w:instrText xml:space="preserve"> ADDIN ZOTERO_ITEM CSL_CITATION {"citationID":"6k57vpOj","properties":{"formattedCitation":"(460)","plainCitation":"(460)","noteIndex":0},"citationItems":[{"id":76,"uris":["http://zotero.org/users/952979/items/DW8W49C4"],"uri":["http://zotero.org/users/952979/items/DW8W49C4"],"itemData":{"id":76,"type":"article-journal","title":"Two Drosophila suppressors of cytokine signaling (SOCS) differentially regulate JAK and EGFR pathway activities","container-title":"BMC cell biology","page":"38","volume":"5","issue":"1","source":"PubMed","abstract":"BACKGROUND: The Janus kinase (JAK) cascade is an essential and well-conserved pathway required to transduce signals for a variety of ligands in both vertebrates and invertebrates. While activation of the pathway is essential to many processes, mutations from mammals and Drosophila demonstrate that regulation is also critical. The SOCS (Suppressor Of Cytokine Signaling) proteins in mammals are regulators of the JAK pathway that participate in a negative feedback loop, as they are transcriptionally activated by JAK signaling. Examination of one Drosophila SOCS homologue, Socs36E, demonstrated that its expression is responsive to JAK pathway activity and it is capable of downregulating JAK signaling, similar to the well characterized mammalian SOCS.\nRESULTS: Based on sequence analysis of the Drosophila genome, there are three identifiable SOCS homologues in flies. All three are most similar to mammalian SOCS that have not been extensively characterized: Socs36E is most similar to mammalian SOCS5, while Socs44A and Socs16D are most similar to mammalian SOCS6 and 7. Although Socs44A is capable of repressing JAK activity in some tissues, its expression is not regulated by the pathway. Furthermore, Socs44A can enhance the activity of the EGFR/MAPK signaling cascade, in contrast to Socs36E.\nCONCLUSIONS: Two Drosophila SOCS proteins have some overlapping and some distinct capabilities. While Socs36E behaves similarly to the canonical vertebrate SOCS, Socs44A is not part of a JAK pathway negative feedback loop. Nonetheless, both SOCS regulate JAK and EGFR signaling pathways, albeit differently. The non-canonical properties of Socs44A may be representative of the class of less characterized vertebrate SOCS with which it shares greatest similarity.","DOI":"10.1186/1471-2121-5-38","ISSN":"1471-2121","note":"PMID: 15488148\nPMCID: PMC526380","journalAbbreviation":"BMC Cell Biol.","language":"eng","author":[{"family":"Rawlings","given":"Jason S."},{"family":"Rennebeck","given":"Gabriela"},{"family":"Harrison","given":"Susan M. W."},{"family":"Xi","given":"Rongwen"},{"family":"Harrison","given":"Douglas A."}],"issued":{"date-parts":[["2004",10,15]]}}}],"schema":"https://github.com/citation-style-language/schema/raw/master/csl-citation.json"} </w:instrText>
      </w:r>
      <w:r>
        <w:fldChar w:fldCharType="separate"/>
      </w:r>
      <w:r w:rsidR="003902A3" w:rsidRPr="003902A3">
        <w:rPr>
          <w:rFonts w:ascii="Calibri" w:hAnsi="Calibri"/>
        </w:rPr>
        <w:t>(460)</w:t>
      </w:r>
      <w:r>
        <w:fldChar w:fldCharType="end"/>
      </w:r>
      <w:r>
        <w:t xml:space="preserve">. </w:t>
      </w:r>
    </w:p>
    <w:p w14:paraId="10E713E9" w14:textId="77777777" w:rsidR="00A92BC4" w:rsidRDefault="00A92BC4" w:rsidP="00A92BC4">
      <w:pPr>
        <w:pStyle w:val="Thesisnormal"/>
      </w:pPr>
    </w:p>
    <w:p w14:paraId="0BF3844D" w14:textId="51B18DAC" w:rsidR="00A92BC4" w:rsidRDefault="00A92BC4" w:rsidP="00A92BC4">
      <w:pPr>
        <w:pStyle w:val="Thesisnormal"/>
      </w:pPr>
      <w:r>
        <w:t xml:space="preserve">Additional negative regulators are the protein inhibitors of activated STAT (PIAS) that bind to STAT, targeting them for SUMOlation </w:t>
      </w:r>
      <w:r>
        <w:fldChar w:fldCharType="begin"/>
      </w:r>
      <w:r w:rsidR="000A209C">
        <w:instrText xml:space="preserve"> ADDIN ZOTERO_ITEM CSL_CITATION {"citationID":"0lVjuKF0","properties":{"formattedCitation":"(461,462)","plainCitation":"(461,462)","noteIndex":0},"citationItems":[{"id":1411,"uris":["http://zotero.org/users/952979/items/562FGV8Z"],"uri":["http://zotero.org/users/952979/items/562FGV8Z"],"itemData":{"id":1411,"type":"article-journal","title":"PIAS proteins modulate transcription factors by functioning as SUMO-1 ligases","container-title":"Molecular and Cellular Biology","page":"5222-5234","volume":"22","issue":"14","source":"PubMed","abstract":"PIAS (protein inhibitor of activated STAT) proteins interact with and modulate the activities of various transcription factors. In this work, we demonstrate that PIAS proteins xalpha, xbeta, 1, and 3 interact with the small ubiquitin-related modifier SUMO-1 and its E2 conjugase, Ubc9, and that PIAS proteins themselves are covalently modified by SUMO-1 (sumoylated). PIAS proteins also tether other sumoylated proteins in a noncovalent fashion. Furthermore, recombinant PIASxalpha enhances Ubc9-mediated sumoylation of the androgen receptor and c-Jun in vitro. Importantly, PIAS proteins differ in their abilities to promote sumoylation in intact cells. The ability to stimulate protein sumoylation and the interaction with sumoylated proteins are dependent on the conserved PIAS RING finger-like domain. These functions are linked to the activity of PIASxalpha on androgen receptor-dependent transcription. Collectively, our results imply that PIAS proteins function as SUMO-1-tethering proteins and zinc finger-dependent E3 SUMO protein ligases, and these properties are likely to explain their ability to modulate the activities of various transcription factors.","ISSN":"0270-7306","note":"PMID: 12077349\nPMCID: PMC139781","journalAbbreviation":"Mol. Cell. Biol.","language":"eng","author":[{"family":"Kotaja","given":"Noora"},{"family":"Karvonen","given":"Ulla"},{"family":"Jänne","given":"Olli A."},{"family":"Palvimo","given":"Jorma J."}],"issued":{"date-parts":[["2002",7]]}}},{"id":1410,"uris":["http://zotero.org/users/952979/items/XFA6FVV4"],"uri":["http://zotero.org/users/952979/items/XFA6FVV4"],"itemData":{"id":1410,"type":"article-journal","title":"PIAS proteins promote SUMO-1 conjugation to STAT1","container-title":"Blood","page":"3311-3313","volume":"102","issue":"9","source":"www.bloodjournal.org","abstract":"Signal transducer and activator of transcription 1 (STAT1) is a critical mediator of interferon-γ (IFN-γ)–induced transcription that is regulated through posttranslational modifications and through transacting proteins such as protein inhibitor of activated STAT1 (PIAS1). PIAS proteins have been shown to function as E3-type small ubiquitin-like modifier (SUMO) ligases, and sumoylation has been identified as a modulatory mechanism for several transcription factors. Here we show that STAT1 is subject to SUMO-1 modification, and sumoylation occurs in vivo and in vitro at a single, evolutionary conserved amino acid residue Lys703. Members of the PIAS family of proteins were found to strongly stimulate sumoylation of STAT1. Furthermore, activation of STAT1 by IFN-γ or pervanadate induced SUMO-1 conjugation. Mutation of Lys703 in STAT1 resulted in increased IFN-γ–mediated transactivation, suggesting a negative regulatory function for sumoylation. These results indicate that STAT1 is covalently modified by SUMO-1 in cytokine signaling and that PIAS proteins promote SUMO-1 conjugation to STAT1.","DOI":"10.1182/blood-2002-12-3816","ISSN":"0006-4971, 1528-0020","note":"PMID: 12855578","language":"en","author":[{"family":"Ungureanu","given":"Daniela"},{"family":"Vanhatupa","given":"Sari"},{"family":"Kotaja","given":"Noora"},{"family":"Yang","given":"Jie"},{"family":"Aittomäki","given":"Saara"},{"family":"Jänne","given":"Olli A."},{"family":"Palvimo","given":"Jorma J."},{"family":"Silvennoinen","given":"Olli"}],"issued":{"date-parts":[["2003",11,1]]}}}],"schema":"https://github.com/citation-style-language/schema/raw/master/csl-citation.json"} </w:instrText>
      </w:r>
      <w:r>
        <w:fldChar w:fldCharType="separate"/>
      </w:r>
      <w:r w:rsidR="003902A3" w:rsidRPr="003902A3">
        <w:rPr>
          <w:rFonts w:ascii="Calibri" w:hAnsi="Calibri"/>
        </w:rPr>
        <w:t>(461,462)</w:t>
      </w:r>
      <w:r>
        <w:fldChar w:fldCharType="end"/>
      </w:r>
      <w:r>
        <w:t xml:space="preserve">. There is one known PIAS-like protein in </w:t>
      </w:r>
      <w:r>
        <w:rPr>
          <w:i/>
        </w:rPr>
        <w:t>Drosophila</w:t>
      </w:r>
      <w:r>
        <w:t xml:space="preserve"> that has been shown to prevent the formation of hematopoietic tumours caused by overexpression of JAK/STAT signalling </w:t>
      </w:r>
      <w:r>
        <w:fldChar w:fldCharType="begin"/>
      </w:r>
      <w:r w:rsidR="000A209C">
        <w:instrText xml:space="preserve"> ADDIN ZOTERO_ITEM CSL_CITATION {"citationID":"iJNcZypu","properties":{"formattedCitation":"(463)","plainCitation":"(463)","noteIndex":0},"citationItems":[{"id":75,"uris":["http://zotero.org/users/952979/items/K2VL83PC"],"uri":["http://zotero.org/users/952979/items/K2VL83PC"],"itemData":{"id":75,"type":"article-journal","title":"A Drosophila PIAS homologue negatively  regulates stat92E","container-title":"Proceedings of the National Academy of Sciences of the United States of America","page":"9563-9568","volume":"98","issue":"17","source":"PubMed Central","abstract":"Transcriptional activation by, and therefore the physiologic\n impact of, activated tyrosine-phosphorylated STATs\n (signal transducers and\n activators of transcription) may be\n negatively regulated by proteins termed PIAS (protein\n inhibitors of activated\n stats), as shown by previous experiments with mammalian\n cells in culture. Here, by using the genetic modifications in\n Drosophila, we demonstrate the in vivo\n functional interaction of the Drosophila homologues\n stat92E and a Drosophila PIAS gene\n (dpias). To this end we use a LOF allele and\n conditionally overexpressed dpias in JAK-STAT pathway\n mutant backgrounds. We conclude that the correct\n dpias/stat92E ratio is crucial for\n blood cell and eye development.","DOI":"10.1073/pnas.171302098","ISSN":"0027-8424","note":"PMID: 11504941\nPMCID: PMC55492","journalAbbreviation":"Proc Natl Acad Sci U S A","author":[{"family":"Betz","given":"Aurel"},{"family":"Lampen","given":"Nina"},{"family":"Martinek","given":"Sebastian"},{"family":"Young","given":"Michael W."},{"family":"Darnell","given":"James E."}],"issued":{"date-parts":[["2001",8,14]]}}}],"schema":"https://github.com/citation-style-language/schema/raw/master/csl-citation.json"} </w:instrText>
      </w:r>
      <w:r>
        <w:fldChar w:fldCharType="separate"/>
      </w:r>
      <w:r w:rsidR="003902A3" w:rsidRPr="003902A3">
        <w:rPr>
          <w:rFonts w:ascii="Calibri" w:hAnsi="Calibri"/>
        </w:rPr>
        <w:t>(463)</w:t>
      </w:r>
      <w:r>
        <w:fldChar w:fldCharType="end"/>
      </w:r>
      <w:r>
        <w:t>.</w:t>
      </w:r>
    </w:p>
    <w:p w14:paraId="1827295C" w14:textId="77777777" w:rsidR="00A92BC4" w:rsidRDefault="00A92BC4" w:rsidP="00A92BC4">
      <w:pPr>
        <w:spacing w:after="200" w:line="276" w:lineRule="auto"/>
      </w:pPr>
      <w:r>
        <w:br w:type="page"/>
      </w:r>
    </w:p>
    <w:p w14:paraId="316A686B" w14:textId="77777777" w:rsidR="00A92BC4" w:rsidRDefault="00A92BC4" w:rsidP="00A92BC4">
      <w:pPr>
        <w:pStyle w:val="Thesisnormal"/>
      </w:pPr>
    </w:p>
    <w:p w14:paraId="5A349AF9" w14:textId="77777777" w:rsidR="00A92BC4" w:rsidRDefault="00A92BC4" w:rsidP="00A92BC4">
      <w:pPr>
        <w:pStyle w:val="Thesisnormal"/>
      </w:pPr>
      <w:r>
        <w:rPr>
          <w:noProof/>
          <w:lang w:eastAsia="en-GB"/>
        </w:rPr>
        <w:drawing>
          <wp:anchor distT="0" distB="0" distL="114300" distR="114300" simplePos="0" relativeHeight="251668480" behindDoc="0" locked="0" layoutInCell="1" allowOverlap="1" wp14:anchorId="5262E8C3" wp14:editId="378852BD">
            <wp:simplePos x="0" y="0"/>
            <wp:positionH relativeFrom="column">
              <wp:posOffset>622300</wp:posOffset>
            </wp:positionH>
            <wp:positionV relativeFrom="paragraph">
              <wp:posOffset>-342900</wp:posOffset>
            </wp:positionV>
            <wp:extent cx="4304137" cy="5031740"/>
            <wp:effectExtent l="0" t="0" r="0" b="0"/>
            <wp:wrapNone/>
            <wp:docPr id="44" name="Picture 44" descr="Figures/JAK%20STAT%20fig%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JAK%20STAT%20fig%202.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7479"/>
                    <a:stretch/>
                  </pic:blipFill>
                  <pic:spPr bwMode="auto">
                    <a:xfrm>
                      <a:off x="0" y="0"/>
                      <a:ext cx="4344971" cy="507947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A34F3" w14:textId="77777777" w:rsidR="00A92BC4" w:rsidRDefault="00A92BC4" w:rsidP="00A92BC4">
      <w:pPr>
        <w:pStyle w:val="Thesisnormal"/>
      </w:pPr>
    </w:p>
    <w:p w14:paraId="013E16BD" w14:textId="77777777" w:rsidR="00A92BC4" w:rsidRDefault="00A92BC4" w:rsidP="00A92BC4">
      <w:pPr>
        <w:pStyle w:val="Thesisnormal"/>
      </w:pPr>
    </w:p>
    <w:p w14:paraId="45FAF693" w14:textId="77777777" w:rsidR="00A92BC4" w:rsidRDefault="00A92BC4" w:rsidP="00A92BC4">
      <w:pPr>
        <w:pStyle w:val="Thesisnormal"/>
      </w:pPr>
    </w:p>
    <w:p w14:paraId="47D23BCC" w14:textId="77777777" w:rsidR="00A92BC4" w:rsidRDefault="00A92BC4" w:rsidP="00A92BC4">
      <w:pPr>
        <w:pStyle w:val="Thesisnormal"/>
      </w:pPr>
    </w:p>
    <w:p w14:paraId="674CD09B" w14:textId="77777777" w:rsidR="00A92BC4" w:rsidRDefault="00A92BC4" w:rsidP="00A92BC4">
      <w:pPr>
        <w:pStyle w:val="Thesisnormal"/>
      </w:pPr>
    </w:p>
    <w:p w14:paraId="08EBBFCD" w14:textId="77777777" w:rsidR="00A92BC4" w:rsidRDefault="00A92BC4" w:rsidP="00A92BC4">
      <w:pPr>
        <w:pStyle w:val="Thesisnormal"/>
      </w:pPr>
    </w:p>
    <w:p w14:paraId="5729C7C1" w14:textId="77777777" w:rsidR="00A92BC4" w:rsidRDefault="00A92BC4" w:rsidP="00A92BC4">
      <w:pPr>
        <w:pStyle w:val="Thesisnormal"/>
      </w:pPr>
    </w:p>
    <w:p w14:paraId="78E11E5C" w14:textId="77777777" w:rsidR="00A92BC4" w:rsidRDefault="00A92BC4" w:rsidP="00A92BC4">
      <w:pPr>
        <w:pStyle w:val="Thesisnormal"/>
      </w:pPr>
    </w:p>
    <w:p w14:paraId="6F56BB29" w14:textId="77777777" w:rsidR="00A92BC4" w:rsidRDefault="00A92BC4" w:rsidP="00A92BC4">
      <w:pPr>
        <w:pStyle w:val="Thesisnormal"/>
      </w:pPr>
    </w:p>
    <w:p w14:paraId="6D570AF4" w14:textId="77777777" w:rsidR="00A92BC4" w:rsidRDefault="00A92BC4" w:rsidP="00A92BC4">
      <w:pPr>
        <w:pStyle w:val="Thesisnormal"/>
      </w:pPr>
    </w:p>
    <w:p w14:paraId="3F4C249B" w14:textId="77777777" w:rsidR="00A92BC4" w:rsidRDefault="00A92BC4" w:rsidP="00A92BC4">
      <w:pPr>
        <w:pStyle w:val="Thesisnormal"/>
      </w:pPr>
    </w:p>
    <w:p w14:paraId="672532C9" w14:textId="77777777" w:rsidR="00A92BC4" w:rsidRDefault="00A92BC4" w:rsidP="00A92BC4">
      <w:pPr>
        <w:pStyle w:val="Thesisnormal"/>
      </w:pPr>
    </w:p>
    <w:p w14:paraId="191A391D" w14:textId="77777777" w:rsidR="00A92BC4" w:rsidRDefault="00A92BC4" w:rsidP="00A92BC4">
      <w:pPr>
        <w:pStyle w:val="Thesisnormal"/>
      </w:pPr>
    </w:p>
    <w:p w14:paraId="1E0DDD30" w14:textId="77777777" w:rsidR="00A92BC4" w:rsidRDefault="00A92BC4" w:rsidP="00A92BC4">
      <w:pPr>
        <w:pStyle w:val="Thesisnormal"/>
      </w:pPr>
    </w:p>
    <w:p w14:paraId="14EB3123" w14:textId="77777777" w:rsidR="00A92BC4" w:rsidRDefault="00A92BC4" w:rsidP="00A92BC4">
      <w:pPr>
        <w:pStyle w:val="Thesisnormal"/>
      </w:pPr>
    </w:p>
    <w:p w14:paraId="1DC8D61F" w14:textId="77777777" w:rsidR="00A92BC4" w:rsidRDefault="00A92BC4" w:rsidP="00A92BC4">
      <w:pPr>
        <w:pStyle w:val="Thesisnormal"/>
      </w:pPr>
    </w:p>
    <w:p w14:paraId="3CCB24E6" w14:textId="77777777" w:rsidR="00A92BC4" w:rsidRPr="00206EC1" w:rsidRDefault="00A92BC4" w:rsidP="00A92BC4">
      <w:pPr>
        <w:pStyle w:val="NoSpacing"/>
        <w:rPr>
          <w:b/>
        </w:rPr>
      </w:pPr>
      <w:r w:rsidRPr="00206EC1">
        <w:rPr>
          <w:b/>
        </w:rPr>
        <w:t xml:space="preserve">Figure 5.1 JAK/STAT signalling cascade in </w:t>
      </w:r>
      <w:r w:rsidRPr="00206EC1">
        <w:rPr>
          <w:b/>
          <w:i/>
        </w:rPr>
        <w:t>Drosophila</w:t>
      </w:r>
    </w:p>
    <w:p w14:paraId="585369E3" w14:textId="77777777" w:rsidR="00A92BC4" w:rsidRPr="00593C84" w:rsidRDefault="00A92BC4" w:rsidP="00A92BC4">
      <w:pPr>
        <w:pStyle w:val="NoSpacing"/>
      </w:pPr>
      <w:r>
        <w:t xml:space="preserve">JAK/STAT signalling in </w:t>
      </w:r>
      <w:r>
        <w:rPr>
          <w:i/>
        </w:rPr>
        <w:t>Drosophila</w:t>
      </w:r>
      <w:r>
        <w:t xml:space="preserve"> consists of three ligands (Upd, Upd2, Upd3), a receptor (Dome), a single JAK (Hop) and a single STAT (STAT92E). Binding of the ligand to the receptor results in the phosphorylation of Hop (1) which phosphorylates tyrosine residues on Dome, creating docking sites for cytosolic STAT92E (2). Phosphorylation of STAT92E causes dimerization (3) and then translocation to the nucleus (4) where it binds DNA and activates transcription.    </w:t>
      </w:r>
    </w:p>
    <w:p w14:paraId="13121D9B" w14:textId="77777777" w:rsidR="00A92BC4" w:rsidRDefault="00A92BC4" w:rsidP="00A92BC4">
      <w:pPr>
        <w:pStyle w:val="Thesisnormal"/>
      </w:pPr>
    </w:p>
    <w:p w14:paraId="39068B9D" w14:textId="77777777" w:rsidR="00A92BC4" w:rsidRPr="00EA1B14" w:rsidRDefault="00A92BC4" w:rsidP="00A92BC4">
      <w:pPr>
        <w:pStyle w:val="Heading3"/>
      </w:pPr>
      <w:bookmarkStart w:id="204" w:name="_Toc4589369"/>
      <w:r>
        <w:t xml:space="preserve">5.1.2 JAK/STAT signalling in the </w:t>
      </w:r>
      <w:r>
        <w:rPr>
          <w:i/>
        </w:rPr>
        <w:t>Drosophila</w:t>
      </w:r>
      <w:r>
        <w:t xml:space="preserve"> immune system</w:t>
      </w:r>
      <w:bookmarkEnd w:id="204"/>
    </w:p>
    <w:p w14:paraId="4B26EABD" w14:textId="77777777" w:rsidR="00A92BC4" w:rsidRDefault="00A92BC4" w:rsidP="00A92BC4">
      <w:pPr>
        <w:pStyle w:val="Thesisnormal"/>
      </w:pPr>
    </w:p>
    <w:p w14:paraId="2F08334C" w14:textId="78195E5C" w:rsidR="00A92BC4" w:rsidRDefault="00A92BC4" w:rsidP="00A92BC4">
      <w:pPr>
        <w:pStyle w:val="Thesisnormal"/>
      </w:pPr>
      <w:r>
        <w:t xml:space="preserve">There are numerous roles for JAK/STAT signalling in the </w:t>
      </w:r>
      <w:r>
        <w:rPr>
          <w:i/>
        </w:rPr>
        <w:t xml:space="preserve">Drosophila </w:t>
      </w:r>
      <w:r>
        <w:t xml:space="preserve">immune system (reviewed in </w:t>
      </w:r>
      <w:r>
        <w:fldChar w:fldCharType="begin"/>
      </w:r>
      <w:r w:rsidR="000A209C">
        <w:instrText xml:space="preserve"> ADDIN ZOTERO_ITEM CSL_CITATION {"citationID":"hB2eA7Rt","properties":{"formattedCitation":"(267,464,465)","plainCitation":"(267,464,465)","noteIndex":0},"citationItems":[{"id":1348,"uris":["http://zotero.org/users/952979/items/GRKTXBQW"],"uri":["http://zotero.org/users/952979/items/GRKTXBQW"],"itemData":{"id":1348,"type":"article-journal","title":"The roles of JAK/STAT signaling in Drosophila immune responses","container-title":"Immunological Reviews","page":"72-82","volume":"198","source":"PubMed","abstract":"Innate immune responses are mediated by the activation of various signaling processes. Here, we describe our current knowledge on Janus kinase (JAK)/signal transducers and activators of transcription (STAT) signaling in the Drosophila immune response. First, we briefly introduce the main effectors involved in the humoral and cellular responses, such as anti-bacterial peptides and hemocytes. Second, we describe the canonical JAK/STAT-signaling pathway, as established from extensive studies in mammalian systems, and we introduce the Drosophila components of the JAK/STAT pathway, as discovered from studies on embryonic development. Third, we describe the various roles of JAK/STAT signaling in both humoral and cellular responses. We present the JAK/STAT-dependent humoral factors, such as the thioester-containing proteins and the Tot peptides, produced by the fat body in response to septic injury. We also discuss the possible involvement of the JAK/STAT pathway in cellular responses, including hemocyte proliferation and differentiation. Finally, we present how cytokines, such as Upd3, might contribute to the integration of the immune responses at the organism level by orchestrating the response of various immune cells and organs, such as fat body, hemocytes, and lymph glands.","ISSN":"0105-2896","note":"PMID: 15199955","journalAbbreviation":"Immunol. Rev.","language":"eng","author":[{"family":"Agaisse","given":"Hervé"},{"family":"Perrimon","given":"Norbert"}],"issued":{"date-parts":[["2004",4]]}}},{"id":1343,"uris":["http://zotero.org/users/952979/items/QDFK2TFD"],"uri":["http://zotero.org/users/952979/items/QDFK2TFD"],"itemData":{"id":1343,"type":"article-journal","title":"JAK/STAT Pathway in Drosophila Immunity","container-title":"Scandinavian Journal of Immunology","page":"377-385","volume":"79","issue":"6","source":"Wiley Online Library","abstract":"The Janus kinase/signal transducer and activator of transcription (JAK/STAT) signalling pathway controls multiple biological processes in metazoan development and tissue homoeostasis. This creates a need for tight regulatory mechanisms to ensure proper responses. The core components of the pathway, as well as many of the regulatory molecules, are conserved in evolution and thus share similarities in organisms such as humans and fruit flies. Therefore, the fruit fly provides an amenable model system for elucidating the in vivo roles of the JAK/STAT pathway and its regulators, which are challenging to demonstrate in mammalian systems. This review will focus on describing recent advances in understanding the importance of JAK/STAT signalling in Drosophila immunity.","DOI":"10.1111/sji.12170","ISSN":"1365-3083","journalAbbreviation":"Scand J Immunol","language":"en","author":[{"family":"Myllymäki","given":"H."},{"family":"Rämet","given":"M."}],"issued":{"date-parts":[["2014",6,1]]}}},{"id":1356,"uris":["http://zotero.org/users/952979/items/84UZ4462"],"uri":["http://zotero.org/users/952979/items/84UZ4462"],"itemData":{"id":1356,"type":"article-journal","title":"The Drosophila JAK-STAT pathway in blood cell formation and immunity","container-title":"JAK-STAT","page":"e25700","volume":"2","issue":"3","source":"Taylor and Francis+NEJM","abstract":"Genetic alterations affecting the JAK-STAT signaling pathway are linked to several malignancies and hematological disorders in humans. Despite being one of the most extensively studied pathways, there remain many gaps to fill. JAK-STAT components are widely conserved during evolution. Here, we review the known roles of the JAK-STAT pathway in Drosophila immunity: controlling the different steps of hematopoiesis, both under physiological conditions and in response to immune challenge, and contributing to antiviral responses. We then summarize what is currently known about JAK-STAT signaling in renewal of the adult intestine, under physiological conditions or in response to ingestion of pathogenic bacteria.","DOI":"10.4161/jkst.25700","ISSN":"null","author":[{"family":"Morin-Poulard","given":"Ismaël"},{"family":"Vincent","given":"Alain"},{"family":"Crozatier","given":"Michèle"}],"issued":{"date-parts":[["2013",7,15]]}}}],"schema":"https://github.com/citation-style-language/schema/raw/master/csl-citation.json"} </w:instrText>
      </w:r>
      <w:r>
        <w:fldChar w:fldCharType="separate"/>
      </w:r>
      <w:r w:rsidR="004A1963" w:rsidRPr="004A1963">
        <w:rPr>
          <w:rFonts w:ascii="Calibri" w:hAnsi="Calibri"/>
        </w:rPr>
        <w:t>(267,464,465)</w:t>
      </w:r>
      <w:r>
        <w:fldChar w:fldCharType="end"/>
      </w:r>
      <w:r>
        <w:t xml:space="preserve">). One of the most studied is the role of this signalling pathway in larval hematopoiesis, first discovered with the </w:t>
      </w:r>
      <w:r w:rsidRPr="00F807F1">
        <w:rPr>
          <w:i/>
        </w:rPr>
        <w:t>Hop</w:t>
      </w:r>
      <w:r w:rsidRPr="00F807F1">
        <w:rPr>
          <w:i/>
          <w:vertAlign w:val="superscript"/>
        </w:rPr>
        <w:t>TUMl</w:t>
      </w:r>
      <w:r>
        <w:t xml:space="preserve"> mutation </w:t>
      </w:r>
      <w:r>
        <w:fldChar w:fldCharType="begin"/>
      </w:r>
      <w:r w:rsidR="000A209C">
        <w:instrText xml:space="preserve"> ADDIN ZOTERO_ITEM CSL_CITATION {"citationID":"d5tUYRLq","properties":{"formattedCitation":"(207)","plainCitation":"(207)","noteIndex":0},"citationItems":[{"id":1350,"uris":["http://zotero.org/users/952979/items/5Z9RHFIG"],"uri":["http://zotero.org/users/952979/items/5Z9RHFIG"],"itemData":{"id":1350,"type":"article-journal","title":"The Drosophila Tumorous-lethal hematopoietic oncogene is a dominant mutation in the hopscotch locus","container-title":"Molecular &amp; general genetics: MGG","page":"33-37","volume":"238","issue":"1-2","source":"PubMed","abstract":"The Drosophila Tumorous-lethal (Tum-l) mutation acts as an activated oncogene, causing hematopoietic neoplasms, overproliferation, and premature differentiation. Tum-l is a dominant mutation in the hopscotch (hop) locus, which is required for cell division and for proper embryonic segmentation. The Tum-l temperature-sensitive period for melanotic tumor formation includes most of larval and pupal development.","ISSN":"0026-8925","note":"PMID: 8479437","journalAbbreviation":"Mol. Gen. Genet.","language":"eng","author":[{"family":"Hanratty","given":"W. P."},{"family":"Dearolf","given":"C. R."}],"issued":{"date-parts":[["1993",4]]}}}],"schema":"https://github.com/citation-style-language/schema/raw/master/csl-citation.json"} </w:instrText>
      </w:r>
      <w:r>
        <w:fldChar w:fldCharType="separate"/>
      </w:r>
      <w:r w:rsidR="004A1963" w:rsidRPr="004A1963">
        <w:rPr>
          <w:rFonts w:ascii="Calibri" w:hAnsi="Calibri"/>
        </w:rPr>
        <w:t>(207)</w:t>
      </w:r>
      <w:r>
        <w:fldChar w:fldCharType="end"/>
      </w:r>
      <w:r>
        <w:t xml:space="preserve">. This mutation causes hyper-activation of the JAK/STAT pathway, resulting in hematopoietic neoplasia </w:t>
      </w:r>
      <w:r>
        <w:fldChar w:fldCharType="begin"/>
      </w:r>
      <w:r w:rsidR="000A209C">
        <w:instrText xml:space="preserve"> ADDIN ZOTERO_ITEM CSL_CITATION {"citationID":"WjHE51Hw","properties":{"formattedCitation":"(208,209)","plainCitation":"(208,209)","noteIndex":0},"citationItems":[{"id":1342,"uris":["http://zotero.org/users/952979/items/FQQCH7K7"],"uri":["http://zotero.org/users/952979/items/FQQCH7K7"],"itemData":{"id":1342,"type":"article-journal","title":"Activation of a Drosophila Janus kinase (JAK) causes hematopoietic neoplasia and developmental defects.","container-title":"The EMBO Journal","page":"2857-2865","volume":"14","issue":"12","source":"PubMed Central","abstract":"In mammals, many cytokines and growth factors stimulate members of the Janus kinase (JAK) family to transduce signals for the proliferation and differentiation of various cell types, particularly in hematopoietic lineages. Mutations in the Drosophila hopscotch (hop) gene, which encodes a JAK, also cause proliferative defects. Loss-of-function alleles result in lethality and underproliferation of diploid tissues of the larva. A dominant gain-of-function allele, Tumorous-lethal (hopTum-l), leads to formation of melanotic tumors and hypertrophy of the larval lymph glands, the hematopoietic organs. We show that a single amino acid change in Hop is associated with the hopTum-l mutation. Overexpression of either wild-type hop or hopTum-l in the larval lymph glands causes melanotic tumors and lymph gland hypertrophy indistinguishable from the original hopTum-l mutation. In addition, overexpression of Hop in other tissues of the larva leads to pattern defects in the adult or to lethality. Finally, overexpression of either hop or hopTum-l in Drosophila cell culture results in tyrosine phosphorylation of Hop protein. However, overexpression of hopTum-l results in greater phosphorylation than overexpression of the wild-type. We conclude that hopTum-l encodes a hyperactive Hop kinase and that overactivity of Hop in lymph glands causes malignant neoplasia of Drosophila blood cells.","ISSN":"0261-4189","note":"PMID: 7796812\nPMCID: PMC398404","journalAbbreviation":"EMBO J","author":[{"family":"Harrison","given":"D A"},{"family":"Binari","given":"R"},{"family":"Nahreini","given":"T S"},{"family":"Gilman","given":"M"},{"family":"Perrimon","given":"N"}],"issued":{"date-parts":[["1995",6,15]]}}},{"id":74,"uris":["http://zotero.org/users/952979/items/BTAQ8BDW"],"uri":["http://zotero.org/users/952979/items/BTAQ8BDW"],"itemData":{"id":74,"type":"article-journal","title":"An amino acid substitution in the Drosophila hopTum-l Jak kinase causes leukemia-like hematopoietic defects","container-title":"The EMBO journal","page":"1412-1420","volume":"14","issue":"7","source":"PubMed","abstract":"Proteins of the Jak family of non-receptor kinases play important roles in mammalian hematopoietic signal transduction. They mediate the cellular response to a wide range of cytokines and growth factors. A dominant mutation in a Drosophila Jak kinase, hopscotchTumorous-lethal (hopTum-l), causes hematopoietic defects. Here we conduct a molecular analysis of hopTum-l. We demonstrate that the hopTum-l hematopoietic phenotype is caused by a single amino acid substitution of glycine to glutamic acid at residue 341. We generate a true revertant of the hopTum-l mutation, in which both the molecular lesion and the mutant hematopoietic phenotype revert back to wild type. We also examine the effects of the G341E substitution in transgenic flies. The results indicate that a mutant Jak kinase can cause leukemia-like abnormalities.","ISSN":"0261-4189","note":"PMID: 7729418\nPMCID: PMC398227","journalAbbreviation":"EMBO J.","language":"eng","author":[{"family":"Luo","given":"H."},{"family":"Hanratty","given":"W. P."},{"family":"Dearolf","given":"C. R."}],"issued":{"date-parts":[["1995",4,3]]}}}],"schema":"https://github.com/citation-style-language/schema/raw/master/csl-citation.json"} </w:instrText>
      </w:r>
      <w:r>
        <w:fldChar w:fldCharType="separate"/>
      </w:r>
      <w:r w:rsidR="004A1963" w:rsidRPr="004A1963">
        <w:rPr>
          <w:rFonts w:ascii="Calibri" w:hAnsi="Calibri"/>
        </w:rPr>
        <w:t>(208,209)</w:t>
      </w:r>
      <w:r>
        <w:fldChar w:fldCharType="end"/>
      </w:r>
      <w:r>
        <w:t xml:space="preserve">. Furthermore, the authors demonstrated that there was lymph gland hypertrophy, with </w:t>
      </w:r>
      <w:r w:rsidRPr="00F807F1">
        <w:rPr>
          <w:i/>
        </w:rPr>
        <w:t>Hop</w:t>
      </w:r>
      <w:r w:rsidRPr="00F807F1">
        <w:rPr>
          <w:i/>
          <w:vertAlign w:val="superscript"/>
        </w:rPr>
        <w:t>Tuml</w:t>
      </w:r>
      <w:r>
        <w:t xml:space="preserve"> flies containing 5 to 20-fold more plasmatocytes. Loss of STAT92E prevents this </w:t>
      </w:r>
      <w:r>
        <w:lastRenderedPageBreak/>
        <w:t xml:space="preserve">neoplasia </w:t>
      </w:r>
      <w:r>
        <w:fldChar w:fldCharType="begin"/>
      </w:r>
      <w:r w:rsidR="000A209C">
        <w:instrText xml:space="preserve"> ADDIN ZOTERO_ITEM CSL_CITATION {"citationID":"Zg6iRo3e","properties":{"formattedCitation":"(453)","plainCitation":"(453)","noteIndex":0},"citationItems":[{"id":80,"uris":["http://zotero.org/users/952979/items/K6RACW9P"],"uri":["http://zotero.org/users/952979/items/K6RACW9P"],"itemData":{"id":80,"type":"article-journal","title":"Marelle acts downstream of the Drosophila HOP/JAK kinase and encodes a protein similar to the mammalian STATs","container-title":"Cell","page":"411-419","volume":"84","issue":"3","source":"PubMed","abstract":"We have identified a putative Drosophila STAT protein named Marelle that exhibits mutant phenotypes identical to mutations in the Hopscotch/JAK kinase. We show that a reduction in the amount of marelle gene activity suppresses the phenotype associated with a gain-of-function mutation in hopscotch and enhances the phenotype associated with a weak hopscotch mutation. We propose that Hopscotch activates Marelle to regulate transcription of target genes such as the pair rule gene even-skipped. Our results demonstrate the existence of an invertebrate JAK/STAT system.","ISSN":"0092-8674","note":"PMID: 8608595","journalAbbreviation":"Cell","language":"eng","author":[{"family":"Hou","given":"X. S."},{"family":"Melnick","given":"M. B."},{"family":"Perrimon","given":"N."}],"issued":{"date-parts":[["1996",2,9]]}}}],"schema":"https://github.com/citation-style-language/schema/raw/master/csl-citation.json"} </w:instrText>
      </w:r>
      <w:r>
        <w:fldChar w:fldCharType="separate"/>
      </w:r>
      <w:r w:rsidR="003902A3" w:rsidRPr="003902A3">
        <w:rPr>
          <w:rFonts w:ascii="Calibri" w:hAnsi="Calibri"/>
        </w:rPr>
        <w:t>(453)</w:t>
      </w:r>
      <w:r>
        <w:fldChar w:fldCharType="end"/>
      </w:r>
      <w:r>
        <w:t xml:space="preserve"> and prevents hemocyte differentiation into plasmatocytes </w:t>
      </w:r>
      <w:r>
        <w:fldChar w:fldCharType="begin"/>
      </w:r>
      <w:r w:rsidR="000A209C">
        <w:instrText xml:space="preserve"> ADDIN ZOTERO_ITEM CSL_CITATION {"citationID":"rIYJwsCz","properties":{"formattedCitation":"(210)","plainCitation":"(210)","noteIndex":0},"citationItems":[{"id":1329,"uris":["http://zotero.org/users/952979/items/GGGXTJ4D"],"uri":["http://zotero.org/users/952979/items/GGGXTJ4D"],"itemData":{"id":1329,"type":"article-journal","title":"JAK/STAT and the GATA factor Pannier control hemocyte maturation and differentiation in Drosophila","container-title":"Developmental biology","page":"308-316","volume":"352","issue":"2","source":"PubMed Central","abstract":"The lymph gland is the major site of hematopoiesis in Drosophila. During late larval stages three types of hemocytes are produced, plasmatocytes, crystal cells, and lamellocytes, and their differentiation is tightly controlled by conserved factors and signaling pathways. JAK/STAT is one of these pathways which have essential roles in vertebrate and fly hematopoiesis. We show that Stat has opposing cell-autonomous and non-autonomous functions in hemocyte differentiation. Using a clonal approach we established that loss of Stat in a set of prohemocytes in the cortical zone induces plasmatocyte maturation in adjacent hemocytes. Hemocytes lacking Stat fail to differentiate into plasmatocytes, indicating that Stat positively and cell-autonomously controls plasmatocyte differentiation. We also identified the GATA factor pannier (pnr) as a downstream target of Stat. By analyzing the phenotypes resulting from clonal loss and over-expression of pnr in lymph glands, we find that Pnr is positively regulated by Stat and specifically required for the differentiation of plasmatocytes. Stat and Pnr represent two essential factors controlling blood cell maturation in the developing lymph gland and exert their functions both in a cell-autonomous and non-cell-autonomous manner.","DOI":"10.1016/j.ydbio.2011.01.035","ISSN":"0012-1606","note":"PMID: 21295568\nPMCID: PMC3065540","journalAbbreviation":"Dev Biol","author":[{"family":"Minakhina","given":"Svetlana"},{"family":"Tan","given":"William"},{"family":"Steward","given":"Ruth"}],"issued":{"date-parts":[["2011",4,15]]}}}],"schema":"https://github.com/citation-style-language/schema/raw/master/csl-citation.json"} </w:instrText>
      </w:r>
      <w:r>
        <w:fldChar w:fldCharType="separate"/>
      </w:r>
      <w:r w:rsidR="004A1963" w:rsidRPr="004A1963">
        <w:rPr>
          <w:rFonts w:ascii="Calibri" w:hAnsi="Calibri"/>
        </w:rPr>
        <w:t>(210)</w:t>
      </w:r>
      <w:r>
        <w:fldChar w:fldCharType="end"/>
      </w:r>
      <w:r>
        <w:t xml:space="preserve">, confirming that JAK/STAT signalling is involved in hematopoiesis and the maintenance of lymph gland homeostasis. Constitutive Hop expression also results in lamellocyte differentiation </w:t>
      </w:r>
      <w:r>
        <w:fldChar w:fldCharType="begin"/>
      </w:r>
      <w:r w:rsidR="000A209C">
        <w:instrText xml:space="preserve"> ADDIN ZOTERO_ITEM CSL_CITATION {"citationID":"QszSmP48","properties":{"formattedCitation":"(208,209)","plainCitation":"(208,209)","noteIndex":0},"citationItems":[{"id":1342,"uris":["http://zotero.org/users/952979/items/FQQCH7K7"],"uri":["http://zotero.org/users/952979/items/FQQCH7K7"],"itemData":{"id":1342,"type":"article-journal","title":"Activation of a Drosophila Janus kinase (JAK) causes hematopoietic neoplasia and developmental defects.","container-title":"The EMBO Journal","page":"2857-2865","volume":"14","issue":"12","source":"PubMed Central","abstract":"In mammals, many cytokines and growth factors stimulate members of the Janus kinase (JAK) family to transduce signals for the proliferation and differentiation of various cell types, particularly in hematopoietic lineages. Mutations in the Drosophila hopscotch (hop) gene, which encodes a JAK, also cause proliferative defects. Loss-of-function alleles result in lethality and underproliferation of diploid tissues of the larva. A dominant gain-of-function allele, Tumorous-lethal (hopTum-l), leads to formation of melanotic tumors and hypertrophy of the larval lymph glands, the hematopoietic organs. We show that a single amino acid change in Hop is associated with the hopTum-l mutation. Overexpression of either wild-type hop or hopTum-l in the larval lymph glands causes melanotic tumors and lymph gland hypertrophy indistinguishable from the original hopTum-l mutation. In addition, overexpression of Hop in other tissues of the larva leads to pattern defects in the adult or to lethality. Finally, overexpression of either hop or hopTum-l in Drosophila cell culture results in tyrosine phosphorylation of Hop protein. However, overexpression of hopTum-l results in greater phosphorylation than overexpression of the wild-type. We conclude that hopTum-l encodes a hyperactive Hop kinase and that overactivity of Hop in lymph glands causes malignant neoplasia of Drosophila blood cells.","ISSN":"0261-4189","note":"PMID: 7796812\nPMCID: PMC398404","journalAbbreviation":"EMBO J","author":[{"family":"Harrison","given":"D A"},{"family":"Binari","given":"R"},{"family":"Nahreini","given":"T S"},{"family":"Gilman","given":"M"},{"family":"Perrimon","given":"N"}],"issued":{"date-parts":[["1995",6,15]]}}},{"id":74,"uris":["http://zotero.org/users/952979/items/BTAQ8BDW"],"uri":["http://zotero.org/users/952979/items/BTAQ8BDW"],"itemData":{"id":74,"type":"article-journal","title":"An amino acid substitution in the Drosophila hopTum-l Jak kinase causes leukemia-like hematopoietic defects","container-title":"The EMBO journal","page":"1412-1420","volume":"14","issue":"7","source":"PubMed","abstract":"Proteins of the Jak family of non-receptor kinases play important roles in mammalian hematopoietic signal transduction. They mediate the cellular response to a wide range of cytokines and growth factors. A dominant mutation in a Drosophila Jak kinase, hopscotchTumorous-lethal (hopTum-l), causes hematopoietic defects. Here we conduct a molecular analysis of hopTum-l. We demonstrate that the hopTum-l hematopoietic phenotype is caused by a single amino acid substitution of glycine to glutamic acid at residue 341. We generate a true revertant of the hopTum-l mutation, in which both the molecular lesion and the mutant hematopoietic phenotype revert back to wild type. We also examine the effects of the G341E substitution in transgenic flies. The results indicate that a mutant Jak kinase can cause leukemia-like abnormalities.","ISSN":"0261-4189","note":"PMID: 7729418\nPMCID: PMC398227","journalAbbreviation":"EMBO J.","language":"eng","author":[{"family":"Luo","given":"H."},{"family":"Hanratty","given":"W. P."},{"family":"Dearolf","given":"C. R."}],"issued":{"date-parts":[["1995",4,3]]}}}],"schema":"https://github.com/citation-style-language/schema/raw/master/csl-citation.json"} </w:instrText>
      </w:r>
      <w:r>
        <w:fldChar w:fldCharType="separate"/>
      </w:r>
      <w:r w:rsidR="004A1963" w:rsidRPr="004A1963">
        <w:rPr>
          <w:rFonts w:ascii="Calibri" w:hAnsi="Calibri"/>
        </w:rPr>
        <w:t>(208,209)</w:t>
      </w:r>
      <w:r>
        <w:fldChar w:fldCharType="end"/>
      </w:r>
      <w:r>
        <w:t xml:space="preserve">. Moreover, constitutively active STAT92E shows a similar hemocyte differentiation phenotype to constitutively active Hop </w:t>
      </w:r>
      <w:r>
        <w:fldChar w:fldCharType="begin"/>
      </w:r>
      <w:r w:rsidR="000A209C">
        <w:instrText xml:space="preserve"> ADDIN ZOTERO_ITEM CSL_CITATION {"citationID":"KkMV5O9Q","properties":{"formattedCitation":"(466)","plainCitation":"(466)","noteIndex":0},"citationItems":[{"id":72,"uris":["http://zotero.org/users/952979/items/W8CSBXSU"],"uri":["http://zotero.org/users/952979/items/W8CSBXSU"],"itemData":{"id":72,"type":"article-journal","title":"Characterization of a dominant-active STAT that promotes tumorigenesis in Drosophila","container-title":"Developmental Biology","page":"621-636","volume":"344","issue":"2","source":"PubMed","abstract":"Little is known about the molecular mechanisms by which STAT proteins promote tumorigenesis. Drosophila is an ideal system for investigating this issue, as there is a single STAT (Stat92E), and its hyperactivation causes overgrowths resembling human tumors. Here we report the first identification of a dominant-active Stat92E protein, Stat92E(DeltaNDeltaC), which lacks both N- and C-termini. Mis-expression of Stat92E(DeltaNDeltaC)in vivo causes melanotic tumors, while in vitro it transactivates a Stat92E-luciferase reporter in the absence of stimulation. These gain-of-function phenotypes require phosphorylation of Y(711) and dimer formation with full-length Stat92E. Furthermore, a single point mutation, an R(442P) substitution in the DNA-binding domain, abolishes Stat92E function. Recombinant Stat92E(R442P) translocates to the nucleus following activation but fails to function in all assays tested. Interestingly, R(442) is conserved in most STATs in higher organisms, suggesting conservation of function. Modeling of Stat92E indicates that R(442) may contact the minor groove of DNA via invariant TC bases in the consensus binding element bound by all STAT proteins. We conclude that the N- and C- termini function unexpectedly in negatively regulating Stat92E activity, possibly by decreasing dimer dephosphorylation or increasing stability of DNA interaction, and that Stat92E(R442) has a nuclear function by altering dimer:DNA binding.","DOI":"10.1016/j.ydbio.2010.05.497","ISSN":"1095-564X","note":"PMID: 20501334\nPMCID: PMC2914209","journalAbbreviation":"Dev. Biol.","language":"eng","author":[{"family":"Ekas","given":"Laura A."},{"family":"Cardozo","given":"Timothy J."},{"family":"Flaherty","given":"Maria Sol"},{"family":"McMillan","given":"Elizabeth A."},{"family":"Gonsalves","given":"Foster C."},{"family":"Bach","given":"Erika A."}],"issued":{"date-parts":[["2010",8,15]]}}}],"schema":"https://github.com/citation-style-language/schema/raw/master/csl-citation.json"} </w:instrText>
      </w:r>
      <w:r>
        <w:fldChar w:fldCharType="separate"/>
      </w:r>
      <w:r w:rsidR="003902A3" w:rsidRPr="003902A3">
        <w:rPr>
          <w:rFonts w:ascii="Calibri" w:hAnsi="Calibri"/>
        </w:rPr>
        <w:t>(466)</w:t>
      </w:r>
      <w:r>
        <w:fldChar w:fldCharType="end"/>
      </w:r>
      <w:r>
        <w:t xml:space="preserve">. Lamellocytes are key to the cellular response against parasitic wasp parasitisation </w:t>
      </w:r>
      <w:r>
        <w:fldChar w:fldCharType="begin"/>
      </w:r>
      <w:r w:rsidR="000A209C">
        <w:instrText xml:space="preserve"> ADDIN ZOTERO_ITEM CSL_CITATION {"citationID":"emQZ46ps","properties":{"formattedCitation":"(205)","plainCitation":"(205)","noteIndex":0},"citationItems":[{"id":73,"uris":["http://zotero.org/users/952979/items/RN3XW5WD"],"uri":["http://zotero.org/users/952979/items/RN3XW5WD"],"itemData":{"id":73,"type":"article-journal","title":"Lamellocyte differentiation in Drosophila larvae parasitized by Leptopilina","container-title":"Developmental and Comparative Immunology","page":"103-110","volume":"16","issue":"2-3","source":"PubMed","abstract":"The presence of Leptopilina heterotoma or Leptopilina boulardi eggs in the hemocoel of a Drosophila melanogaster larva induces the differentiation of lamellocytes, the blood cells that encapsulate foreign objects. L. boulardi eggs are encapsulated by the newly differentiated lamellocytes, but L. heterotoma eggs are not. The induced lamellocytes in host larvae with L. heterotoma eggs undergo the same destructive morphological changes as reported previously for lamellocytes present in melanotic tumor mutant larvae at the time of parasitization. Thus, the virus-like particles produced by the L. heterotoma female to protect its eggs from encapsulation do not block the differentiation of lamellocytes, but rather destroy lamellocytes whenever they are present in the hemocoel.","ISSN":"0145-305X","note":"PMID: 1499832","journalAbbreviation":"Dev. Comp. Immunol.","language":"eng","author":[{"family":"Rizki","given":"T. M."},{"family":"Rizki","given":"R. M."}],"issued":{"date-parts":[["1992",6]]}}}],"schema":"https://github.com/citation-style-language/schema/raw/master/csl-citation.json"} </w:instrText>
      </w:r>
      <w:r>
        <w:fldChar w:fldCharType="separate"/>
      </w:r>
      <w:r w:rsidR="004A1963" w:rsidRPr="004A1963">
        <w:rPr>
          <w:rFonts w:ascii="Calibri" w:hAnsi="Calibri"/>
        </w:rPr>
        <w:t>(205)</w:t>
      </w:r>
      <w:r>
        <w:fldChar w:fldCharType="end"/>
      </w:r>
      <w:r>
        <w:t xml:space="preserve">, indicating that JAK/STAT signalling has essential roles in the cellular immune response. </w:t>
      </w:r>
    </w:p>
    <w:p w14:paraId="68A4ADE5" w14:textId="77777777" w:rsidR="00A92BC4" w:rsidRDefault="00A92BC4" w:rsidP="00A92BC4">
      <w:pPr>
        <w:pStyle w:val="Thesisnormal"/>
      </w:pPr>
    </w:p>
    <w:p w14:paraId="10B00861" w14:textId="1053ED29" w:rsidR="00A92BC4" w:rsidRPr="00934589" w:rsidRDefault="00A92BC4" w:rsidP="00A92BC4">
      <w:pPr>
        <w:pStyle w:val="Thesisnormal"/>
      </w:pPr>
      <w:bookmarkStart w:id="205" w:name="_Hlk4587604"/>
      <w:r>
        <w:t xml:space="preserve">In circulating hemocytes, JAK/STAT signalling is important in wound responses. </w:t>
      </w:r>
      <w:bookmarkEnd w:id="205"/>
      <w:r>
        <w:t xml:space="preserve">Pastor-Pareja </w:t>
      </w:r>
      <w:r>
        <w:rPr>
          <w:i/>
        </w:rPr>
        <w:t xml:space="preserve">et al </w:t>
      </w:r>
      <w:r>
        <w:t xml:space="preserve">detected STAT signalling in circulating hemocytes in </w:t>
      </w:r>
      <w:r>
        <w:rPr>
          <w:i/>
        </w:rPr>
        <w:t>scrib</w:t>
      </w:r>
      <w:r>
        <w:t xml:space="preserve"> larvae (</w:t>
      </w:r>
      <w:r>
        <w:rPr>
          <w:i/>
        </w:rPr>
        <w:t xml:space="preserve">Drosophila </w:t>
      </w:r>
      <w:r>
        <w:t xml:space="preserve">tumour model when combined with an oncogenic form of </w:t>
      </w:r>
      <w:r>
        <w:rPr>
          <w:i/>
        </w:rPr>
        <w:t>Ras</w:t>
      </w:r>
      <w:r>
        <w:t xml:space="preserve">) </w:t>
      </w:r>
      <w:r>
        <w:fldChar w:fldCharType="begin"/>
      </w:r>
      <w:r w:rsidR="000A209C">
        <w:instrText xml:space="preserve"> ADDIN ZOTERO_ITEM CSL_CITATION {"citationID":"NqXl3ePU","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t xml:space="preserve">. They then wounded wing discs of wild-type larvae and found STAT-GFP reporter expression in circulating hemocytes. Moreover, Upd3 was found to be up-regulated in response to wounding and tumours. They demonstrated that tissue damage induced JNK signalling which resulted in expression of JAK/STAT activating genes </w:t>
      </w:r>
      <w:r>
        <w:fldChar w:fldCharType="begin"/>
      </w:r>
      <w:r w:rsidR="000A209C">
        <w:instrText xml:space="preserve"> ADDIN ZOTERO_ITEM CSL_CITATION {"citationID":"RADy86DZ","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t xml:space="preserve">. A separate group has further shown that Upd3 is expressed following septic injury and that this leads to JAK/STAT dependent expression of TotA in the fat body </w:t>
      </w:r>
      <w:r>
        <w:fldChar w:fldCharType="begin"/>
      </w:r>
      <w:r w:rsidR="000A209C">
        <w:instrText xml:space="preserve"> ADDIN ZOTERO_ITEM CSL_CITATION {"citationID":"HEgPQ71v","properties":{"formattedCitation":"(250)","plainCitation":"(250)","noteIndex":0},"citationItems":[{"id":1469,"uris":["http://zotero.org/users/952979/items/57JGAX4E"],"uri":["http://zotero.org/users/952979/items/57JGAX4E"],"itemData":{"id":1469,"type":"article-journal","title":"Signaling role of hemocytes in Drosophila JAK/STAT-dependent response to septic injury","container-title":"Developmental Cell","page":"441-450","volume":"5","issue":"3","source":"PubMed","abstract":"To characterize the features of JAK/STAT signaling in Drosophila immune response, we have identified totA as a gene that is regulated by the JAK/STAT pathway in response to septic injury. We show that septic injury triggers the hemocyte-specific expression of upd3, a gene encoding a novel Upd-like cytokine that is necessary for the JAK/STAT-dependent activation of totA in the Drosophila counterpart of the mammalian liver, the fat body. In addition, we demonstrate that totA activation also requires the NF-KB-like Relish pathway, indicating that fat body cells integrate the activity of NF-KB and JAK/STAT signaling pathways upon immune response. This study reveals that, in addition to the pattern recognition receptor-mediated NF-KB-dependent immune response, Drosophila undergoes a complex systemic response that is mediated by the production of cytokines in blood cells, a process that is similar to the acute phase response in mammals.","ISSN":"1534-5807","note":"PMID: 12967563","journalAbbreviation":"Dev. Cell","language":"eng","author":[{"family":"Agaisse","given":"Hervé"},{"family":"Petersen","given":"Ulla Maja"},{"family":"Boutros","given":"Michael"},{"family":"Mathey-Prevot","given":"Bernard"},{"family":"Perrimon","given":"Norbert"}],"issued":{"date-parts":[["2003",9]]}}}],"schema":"https://github.com/citation-style-language/schema/raw/master/csl-citation.json"} </w:instrText>
      </w:r>
      <w:r>
        <w:fldChar w:fldCharType="separate"/>
      </w:r>
      <w:r w:rsidR="004A1963" w:rsidRPr="004A1963">
        <w:rPr>
          <w:rFonts w:ascii="Calibri" w:hAnsi="Calibri"/>
        </w:rPr>
        <w:t>(250)</w:t>
      </w:r>
      <w:r>
        <w:fldChar w:fldCharType="end"/>
      </w:r>
      <w:r>
        <w:t xml:space="preserve">. More recently, a paper from the Hultmark group demonstrated that, following parasitoid wasp infection, hemocytes secrete Upd2 and Upd3, which signal to the muscles of larvae to activate JAK/STAT signalling </w:t>
      </w:r>
      <w:r>
        <w:fldChar w:fldCharType="begin"/>
      </w:r>
      <w:r w:rsidR="000A209C">
        <w:instrText xml:space="preserve"> ADDIN ZOTERO_ITEM CSL_CITATION {"citationID":"A9qtyimu","properties":{"formattedCitation":"(467,468)","plainCitation":"(467,468)","noteIndex":0},"citationItems":[{"id":1414,"uris":["http://zotero.org/users/952979/items/6KNZKQNJ"],"uri":["http://zotero.org/users/952979/items/6KNZKQNJ"],"itemData":{"id":1414,"type":"article-journal","title":"JAK/STAT signaling in Drosophila muscles controls the cellular immune response against parasitoid infection","container-title":"EMBO reports","page":"1664-1672","volume":"16","issue":"12","source":"PubMed","abstract":"The role of JAK/STAT signaling in the cellular immune response of Drosophila is not well understood. Here, we show that parasitoid wasp infection activates JAK/STAT signaling in somatic muscles of the Drosophila larva, triggered by secretion of the cytokines Upd2 and Upd3 from circulating hemocytes. Deletion of upd2 or upd3, but not the related os (upd1) gene, reduced the cellular immune response, and suppression of the JAK/STAT pathway in muscle cells reduced the encapsulation of wasp eggs and the number of circulating lamellocyte effector cells. These results suggest that JAK/STAT signaling in muscles participates in a systemic immune defense against wasp infection.","DOI":"10.15252/embr.201540277","ISSN":"1469-3178","note":"PMID: 26412855\nPMCID: PMC4687419","journalAbbreviation":"EMBO Rep.","language":"eng","author":[{"family":"Yang","given":"Hairu"},{"family":"Kronhamn","given":"Jesper"},{"family":"Ekström","given":"Jens-Ola"},{"family":"Korkut","given":"Gül Gizem"},{"family":"Hultmark","given":"Dan"}],"issued":{"date-parts":[["2015",12]]}}},{"id":1504,"uris":["http://zotero.org/users/952979/items/H94W4STU"],"uri":["http://zotero.org/users/952979/items/H94W4STU"],"itemData":{"id":1504,"type":"article-journal","title":"Drosophila muscles regulate the immune response against wasp infection via carbohydrate metabolism","container-title":"Scientific Reports","page":"15713","volume":"7","issue":"1","source":"PubMed","abstract":"We recently found that JAK/STAT signaling in skeletal muscles is important for the immune response of Drosophila larvae against wasp infection, but it was not clear how muscles could affect the immune response. Here we show that insulin signaling is required in muscles, but not in fat body or hemocytes, during larval development for an efficient encapsulation response and for the formation of lamellocytes. This effect requires TOR signaling. We show that muscle tissue affects the immune response by acting as a master regulator of carbohydrate metabolism in the infected animal, via JAK/STAT and insulin signaling in the muscles, and that there is indirect positive feedback between JAK/STAT and insulin signaling in the muscles. Specifically, stimulation of JAK/STAT signaling in the muscles can rescue the deficient immune response when insulin signaling is suppressed. Our results shed new light on the interaction between metabolism, immunity, and tissue communication.","DOI":"10.1038/s41598-017-15940-2","ISSN":"2045-2322","note":"PMID: 29146985","journalAbbreviation":"Sci Rep","language":"eng","author":[{"family":"Yang","given":"Hairu"},{"family":"Hultmark","given":"Dan"}],"issued":{"date-parts":[["2017",11,16]]}}}],"schema":"https://github.com/citation-style-language/schema/raw/master/csl-citation.json"} </w:instrText>
      </w:r>
      <w:r>
        <w:fldChar w:fldCharType="separate"/>
      </w:r>
      <w:r w:rsidR="003902A3" w:rsidRPr="003902A3">
        <w:rPr>
          <w:rFonts w:ascii="Calibri" w:hAnsi="Calibri"/>
        </w:rPr>
        <w:t>(467,468)</w:t>
      </w:r>
      <w:r>
        <w:fldChar w:fldCharType="end"/>
      </w:r>
      <w:r>
        <w:t xml:space="preserve">. Together, this shows that JAK/STAT signalling to and from hemocytes is an intrinsic part of the systemic immune response in </w:t>
      </w:r>
      <w:r>
        <w:rPr>
          <w:i/>
        </w:rPr>
        <w:t>Drosophila</w:t>
      </w:r>
      <w:r>
        <w:t xml:space="preserve">. However, there have been no direct studies investigating the role of JAK/STAT signalling in the </w:t>
      </w:r>
      <w:r w:rsidR="00A06D46">
        <w:t xml:space="preserve">recruitment of </w:t>
      </w:r>
      <w:r>
        <w:t xml:space="preserve">embryonic </w:t>
      </w:r>
      <w:r w:rsidR="00A06D46">
        <w:t>hemocytes to wounds</w:t>
      </w:r>
      <w:r>
        <w:t>.</w:t>
      </w:r>
    </w:p>
    <w:p w14:paraId="4C3E3114" w14:textId="77777777" w:rsidR="00A92BC4" w:rsidRDefault="00A92BC4" w:rsidP="00A92BC4">
      <w:pPr>
        <w:pStyle w:val="Thesisnormal"/>
      </w:pPr>
    </w:p>
    <w:p w14:paraId="08ED9CD1" w14:textId="77777777" w:rsidR="00A92BC4" w:rsidRDefault="00A92BC4" w:rsidP="00A92BC4">
      <w:pPr>
        <w:pStyle w:val="Heading3"/>
      </w:pPr>
      <w:bookmarkStart w:id="206" w:name="_Toc515560581"/>
      <w:bookmarkStart w:id="207" w:name="_Toc4589370"/>
      <w:r>
        <w:t>5.1.3 JAK/STAT signalling in macrophage polarisation</w:t>
      </w:r>
      <w:bookmarkEnd w:id="206"/>
      <w:bookmarkEnd w:id="207"/>
    </w:p>
    <w:p w14:paraId="1EA5BB85" w14:textId="77777777" w:rsidR="00A92BC4" w:rsidRDefault="00A92BC4" w:rsidP="00A92BC4">
      <w:pPr>
        <w:pStyle w:val="Thesisnormal"/>
      </w:pPr>
    </w:p>
    <w:p w14:paraId="57179CA1" w14:textId="34F180B7" w:rsidR="00A92BC4" w:rsidRPr="00197116" w:rsidRDefault="00A92BC4" w:rsidP="00A92BC4">
      <w:pPr>
        <w:pStyle w:val="Thesisnormal"/>
      </w:pPr>
      <w:r>
        <w:t xml:space="preserve">In contrast to </w:t>
      </w:r>
      <w:r>
        <w:rPr>
          <w:i/>
        </w:rPr>
        <w:t>Drosophila</w:t>
      </w:r>
      <w:r>
        <w:t xml:space="preserve">, vertebrate JAK/STAT signalling has more redundancy and more pathway components; there are 4 JAKs, 7 STATs and a variety of ligands and receptors </w:t>
      </w:r>
      <w:r>
        <w:fldChar w:fldCharType="begin"/>
      </w:r>
      <w:r w:rsidR="000A209C">
        <w:instrText xml:space="preserve"> ADDIN ZOTERO_ITEM CSL_CITATION {"citationID":"xznS3ROA","properties":{"formattedCitation":"(459,469)","plainCitation":"(459,469)","noteIndex":0},"citationItems":[{"id":1378,"uris":["http://zotero.org/users/952979/items/FIU8UK9C"],"uri":["http://zotero.org/users/952979/items/FIU8UK9C"],"itemData":{"id":1378,"type":"article-journal","title":"The JAK/STAT signaling pathway","container-title":"Journal of Cell Science","page":"1281-1283","volume":"117","issue":"8","source":"jcs.biologists.org","DOI":"10.1242/jcs.00963","ISSN":"0021-9533, 1477-9137","note":"PMID: 15020666","journalAbbreviation":"J Cell Sci","language":"en","author":[{"family":"Rawlings","given":"Jason S."},{"family":"Rosler","given":"Kristin M."},{"family":"Harrison","given":"Douglas A."}],"issued":{"date-parts":[["2004",3,15]]}}},{"id":71,"uris":["http://zotero.org/users/952979/items/LSEIG4UL"],"uri":["http://zotero.org/users/952979/items/LSEIG4UL"],"itemData":{"id":71,"type":"article-journal","title":"Macrophage polarization and function with emphasis on the evolving roles of coordinated regulation of cellular signaling pathways","container-title":"Cellular Signalling","page":"192-197","volume":"26","issue":"2","source":"PubMed","abstract":"Monocytes/macrophages are heterogeneous and versatile cells that could undergo their phenotypically/functionally dynamic switch in response to the microenvironment signals. Two major macrophage subpopulations with different functions which represent extreme of a continuum in a universe of activation states, including classically activated/inflammatory (M1) and alternatively activated/regenerative (M2) macrophages, have long been recognized. Emerging evidence through genetic or pharmacologic approaches has now been made in defining the actual fate in vivo and in vitro underlying M1 or M2-like polarized activation under physiological and pathological conditions. These cells are characterized by their expression of cell surface markers, secreted cytokines and chemokines, and transcription and epigenetic pathways. Here in this review, we shed new light on the contribution of several major signaling pathways and their modulators/targets involved in directing the macrophage plasticity and polarized function, assess the mechanisms of macrophage polarization by interacting endogenous cellular mechanisms and molecules associated with reciprocal skewing of macrophage polarization between the M1 and M2 states. The identification of mechanisms underlying functional polarization of macrophages into M1 or M2 cells might provide new insights into a basis for macrophage-centered diagnostic and therapeutic strategies for multiple diseases.","DOI":"10.1016/j.cellsig.2013.11.004","ISSN":"1873-3913","note":"PMID: 24219909","journalAbbreviation":"Cell. Signal.","language":"eng","author":[{"family":"Zhou","given":"Dexi"},{"family":"Huang","given":"Cheng"},{"family":"Lin","given":"Zhen"},{"family":"Zhan","given":"Shuxiang"},{"family":"Kong","given":"Lingna"},{"family":"Fang","given":"Chengbo"},{"family":"Li","given":"Jun"}],"issued":{"date-parts":[["2014",2]]}}}],"schema":"https://github.com/citation-style-language/schema/raw/master/csl-citation.json"} </w:instrText>
      </w:r>
      <w:r>
        <w:fldChar w:fldCharType="separate"/>
      </w:r>
      <w:r w:rsidR="003902A3" w:rsidRPr="003902A3">
        <w:rPr>
          <w:rFonts w:ascii="Calibri" w:hAnsi="Calibri"/>
        </w:rPr>
        <w:t>(459,469)</w:t>
      </w:r>
      <w:r>
        <w:fldChar w:fldCharType="end"/>
      </w:r>
      <w:r>
        <w:t xml:space="preserve">. This impacts macrophage signalling by increasing the possible outcomes of signalling through this pathway; both M1 and M2 type responses can be modulated with JAK/STAT signalling </w:t>
      </w:r>
      <w:r>
        <w:fldChar w:fldCharType="begin"/>
      </w:r>
      <w:r w:rsidR="000A209C">
        <w:instrText xml:space="preserve"> ADDIN ZOTERO_ITEM CSL_CITATION {"citationID":"ijuO7J99","properties":{"formattedCitation":"(381)","plainCitation":"(381)","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K."}],"issued":{"date-parts":[["2013",6,1]]}}}],"schema":"https://github.com/citation-style-language/schema/raw/master/csl-citation.json"} </w:instrText>
      </w:r>
      <w:r>
        <w:fldChar w:fldCharType="separate"/>
      </w:r>
      <w:r w:rsidR="00A53A6B" w:rsidRPr="00A53A6B">
        <w:rPr>
          <w:rFonts w:ascii="Calibri" w:hAnsi="Calibri"/>
        </w:rPr>
        <w:t>(381)</w:t>
      </w:r>
      <w:r>
        <w:fldChar w:fldCharType="end"/>
      </w:r>
      <w:r>
        <w:t xml:space="preserve">.  Broadly, JAK 1 and JAK2 signal to STAT1 and STAT2 to activate pro-inflammatory genes whilst JAK1 and JAK3 combine to signal to STAT3 and STAT6 to activate anti-inflammatory genes </w:t>
      </w:r>
      <w:r>
        <w:fldChar w:fldCharType="begin"/>
      </w:r>
      <w:r w:rsidR="000A209C">
        <w:instrText xml:space="preserve"> ADDIN ZOTERO_ITEM CSL_CITATION {"citationID":"CI1sTBAJ","properties":{"formattedCitation":"(381)","plainCitation":"(381)","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K."}],"issued":{"date-parts":[["2013",6,1]]}}}],"schema":"https://github.com/citation-style-language/schema/raw/master/csl-citation.json"} </w:instrText>
      </w:r>
      <w:r>
        <w:fldChar w:fldCharType="separate"/>
      </w:r>
      <w:r w:rsidR="00A53A6B" w:rsidRPr="00A53A6B">
        <w:rPr>
          <w:rFonts w:ascii="Calibri" w:hAnsi="Calibri"/>
        </w:rPr>
        <w:t>(381)</w:t>
      </w:r>
      <w:r>
        <w:fldChar w:fldCharType="end"/>
      </w:r>
      <w:r>
        <w:t xml:space="preserve"> (Fig 5.2). </w:t>
      </w:r>
    </w:p>
    <w:p w14:paraId="3FE0B8FC" w14:textId="0CF4CBD7" w:rsidR="00A92BC4" w:rsidRDefault="00A92BC4" w:rsidP="00A92BC4">
      <w:pPr>
        <w:pStyle w:val="Thesisnormal"/>
      </w:pPr>
    </w:p>
    <w:p w14:paraId="2B2575FD" w14:textId="5F9C9D54" w:rsidR="00A92BC4" w:rsidRDefault="00A92BC4" w:rsidP="00A92BC4">
      <w:pPr>
        <w:pStyle w:val="Thesisnormal"/>
      </w:pPr>
      <w:r>
        <w:t xml:space="preserve">Binding of IFN-γ, a potent M1 polarising agent, to its receptor phosphorylates JAK1/JAK2  and leads to the dimerization of STAT1 </w:t>
      </w:r>
      <w:r>
        <w:fldChar w:fldCharType="begin"/>
      </w:r>
      <w:r w:rsidR="000A209C">
        <w:instrText xml:space="preserve"> ADDIN ZOTERO_ITEM CSL_CITATION {"citationID":"27ScrXeX","properties":{"formattedCitation":"(470,471)","plainCitation":"(470,471)","noteIndex":0},"citationItems":[{"id":1424,"uris":["http://zotero.org/users/952979/items/GP4TCUIQ"],"uri":["http://zotero.org/users/952979/items/GP4TCUIQ"],"itemData":{"id":1424,"type":"article-journal","title":"A single phosphotyrosine residue of Stat91 required for gene activation by interferon-gamma","container-title":"Science (New York, N.Y.)","page":"1744-1746","volume":"261","issue":"5129","source":"PubMed","abstract":"Interferon-gamma (IFN-gamma) stimulates transcription of specific genes by inducing tyrosine phosphorylation of a 91-kilodalton cytoplasmic protein (termed STAT for signal transducer and activator of transcription). Stat91 was phosphorylated on a single site (Tyr701), and phosphorylation of this site was required for nuclear translocation, DNA binding, and gene activation. Stat84, a differentially spliced product of the same gene that lacks the 38 carboxyl-terminal amino acids of Stat91, did not activate transcription, although it was phosphorylated and translocated to the nucleus and bound DNA. Thus, Stat91 mediates activation of transcription in response to IFN-gamma.","ISSN":"0036-8075","note":"PMID: 7690989","journalAbbreviation":"Science","language":"eng","author":[{"family":"Shuai","given":"K."},{"family":"Stark","given":"G. R."},{"family":"Kerr","given":"I. M."},{"family":"Darnell","given":"J. E."}],"issued":{"date-parts":[["1993",9,24]]}}},{"id":62,"uris":["http://zotero.org/users/952979/items/S3J6DMPB"],"uri":["http://zotero.org/users/952979/items/S3J6DMPB"],"itemData":{"id":62,"type":"article-journal","title":"Interferons up-regulate STAT1, STAT2, and IRF family transcription factor gene expression in human peripheral blood mononuclear cells and macrophages","container-title":"Journal of Immunology (Baltimore, Md.: 1950)","page":"794-803","volume":"159","issue":"2","source":"PubMed","abstract":"IFN signaling is mediated by binding of IFNs to their receptors and subsequent activation of Janus tyrosine kinase (JAK)-STAT signaling pathway. Stimulation of cells with IFN-alpha leads to the assembly of IFN-stimulated gene factor 3 transcription factor complex formed by STAT1, STAT2, and p48 protein. IFN-gamma signaling is mediated by homodimeric STAT1 protein. Although these signaling molecules are expressed constitutively, there is also evidence of transcriptional regulation by IFNs. We have characterized the expression of STAT and IFN regulatory factor (IRF) family transcription factors in primary human blood mononuclear cells and macrophages in response to IFN-alpha and IFN-gamma stimulation. We show that IFN-alpha and IFN-gamma rapidly and efficiently enhanced STAT1, STAT2, p48, and IRF-1 gene expression. IFN-gamma induced IRF-1 gene expression more strongly than IFN-alpha. Stimulation experiments in the presence of protein synthesis inhibitor, cycloheximide, suggested that these genes were activated directly by IFNs. IRF-2 gene was apparently only weakly responsive to IFNs in these cells. When macrophages were pretreated with low doses of IFN-gamma and then stimulated with IFN-alpha, clearly enhanced formation of specific transcription factor complexes was detected. This suggests that higher intracellular levels of STAT1, STAT2, and p48 protein may result in enhanced signal transduction for cytokines utilizing these transcription factors.","ISSN":"0022-1767","note":"PMID: 9218597","journalAbbreviation":"J. Immunol.","language":"eng","author":[{"family":"Lehtonen","given":"A."},{"family":"Matikainen","given":"S."},{"family":"Julkunen","given":"I."}],"issued":{"date-parts":[["1997",7,15]]}}}],"schema":"https://github.com/citation-style-language/schema/raw/master/csl-citation.json"} </w:instrText>
      </w:r>
      <w:r>
        <w:fldChar w:fldCharType="separate"/>
      </w:r>
      <w:r w:rsidR="003902A3" w:rsidRPr="003902A3">
        <w:rPr>
          <w:rFonts w:ascii="Calibri" w:hAnsi="Calibri"/>
        </w:rPr>
        <w:t>(470,471)</w:t>
      </w:r>
      <w:r>
        <w:fldChar w:fldCharType="end"/>
      </w:r>
      <w:r>
        <w:t xml:space="preserve">, leading to transcription of pro-inflammatory genes, including iNOS and IL-12  </w:t>
      </w:r>
      <w:r>
        <w:fldChar w:fldCharType="begin"/>
      </w:r>
      <w:r w:rsidR="000A209C">
        <w:instrText xml:space="preserve"> ADDIN ZOTERO_ITEM CSL_CITATION {"citationID":"4nLIoL8S","properties":{"formattedCitation":"(29,472,473)","plainCitation":"(29,472,473)","noteIndex":0},"citationItems":[{"id":68,"uris":["http://zotero.org/users/952979/items/BM9QISAB"],"uri":["http://zotero.org/users/952979/items/BM9QISAB"],"itemData":{"id":68,"type":"article-journal","title":"Jak-STAT pathways and transcriptional activation in response to IFNs and other extracellular signaling proteins","container-title":"Science","page":"1415-1421","volume":"264","issue":"5164","source":"science.sciencemag.org.sheffield.idm.oclc.org","abstract":"Through the study of transcriptional activation in response to interferon alpha (IFN-alpha) and interferon gamma (IFN-gamma), a previously unrecognized direct signal transduction pathway to the nucleus has been uncovered: IFN-receptor interaction at the cell surface leads to the activation of kinases of the Jak family that then phosphorylate substrate proteins called STATs (signal transducers and activators of transcription). The phosphorylated STAT proteins move to the nucleus, bind specific DNA elements, and direct transcription. Recognition of the molecules involved in the IFN-alpha and IFN-gamma pathway has led to discoveries that a number of STAT family members exist and that other polypeptide ligands also use the Jak-STAT molecules in signal transduction.","DOI":"10.1126/science.8197455","ISSN":"0036-8075, 1095-9203","note":"PMID: 8197455","language":"en","author":[{"family":"Darnell","given":"J. E."},{"family":"Kerr","given":"I. M."},{"family":"Stark","given":"G. R."}],"issued":{"date-parts":[["1994",6,3]]}}},{"id":66,"uris":["http://zotero.org/users/952979/items/RIRLTLNX"],"uri":["http://zotero.org/users/952979/items/RIRLTLNX"],"itemData":{"id":66,"type":"article-journal","title":"Identification of interferon-gamma as the lymphokine that activates human macrophage oxidative metabolism and antimicrobial activity","container-title":"The Journal of Experimental Medicine","page":"670-689","volume":"158","issue":"3","source":"PubMed","abstract":"Human blood mononuclear leukocytes stimulated with toxoplasma antigen, concanavalin A, mezerein plus lentil lectin, or staphylococcal enterotoxin A secreted a factor (macrophage-activating factor, or MAF) that enhanced the capacity of human macrophages to release H2O2 and to kill toxoplasmas. The same lymphoid supernatants contained IFN gamma but not IFN alpha or IFN beta. The MAF activity of six of seven unfractionated supernatants was completely eliminated by a monoclonal antibody that neutralizes IFN gamma, and MAF in the remaining supernatant was almost completely neutralized. Native IFN gamma partially purified by two independent protocols to specific activities of 1 X 10(6) and 10(7) U/mg protein was enriched in MAF activity at least as much as in antiviral activity. The capacity of macrophages to secrete H2O2 after incubation in partially purified native IFN gamma (mean peak stimulation, 8.8-fold) was greater than with unpurified lymphokines (3.8-fold) and sometimes equaled or exceeded the capacity of freshly harvested monocytes. The MAF activity of the partially purified native IFN gamma preparations was abolished by monoclonal anti-IFN gamma. Finally, IFN gamma of greater than 99% estimated purity was isolated (at Genentech, Inc.) from bacteria transformed with the cloned human gene for this lymphokine. Recombinant IFN gamma had potent MAF activity, stimulating the peroxide-releasing capacity of macrophages an average of 19.8-fold at peak response and enhancing their ability to kill toxoplasmas from 2.6 +/- 1.3% for untreated cells to 54 +/- 0.4% for treated cells. Attainment of 50% of the maximal elevation in peroxide-releasing capacity required a geometric mean concentration of 0.1 antiviral U/ml of recombinant IFN gamma, which is estimated to be approximately 6 picomolar for this preparation. Peroxide secretory capacity and toxoplasmacidal activity of macrophages peaked 2-4 d after exposure to IFN gamma. Peroxide-secretory capacity remained elevated during at least 6 d of continuous exposure, but the effect of IFN gamma was reversed within about 3 d of its removal. Activation was usually but not invariably accompanied by characteristic changes in cell morphology. Thus, IFN gamma activates human macrophage oxidative metabolism and antimicrobial activity, and appeared to be the only factor consistently capable of doing so in the diverse LK preparations tested.","ISSN":"0022-1007","note":"PMID: 6411853\nPMCID: PMC2187114","journalAbbreviation":"J. Exp. Med.","language":"eng","author":[{"family":"Nathan","given":"C. F."},{"family":"Murray","given":"H. W."},{"family":"Wiebe","given":"M. E."},{"family":"Rubin","given":"B. Y."}],"issued":{"date-parts":[["1983",9,1]]}}},{"id":63,"uris":["http://zotero.org/users/952979/items/FBE4TCCK"],"uri":["http://zotero.org/users/952979/items/FBE4TCCK"],"itemData":{"id":63,"type":"article-journal","title":"IFN-gamma triggered STAT1-PKB/AKT signalling pathway influences the function of alloantigen reactive regulatory T cells","container-title":"American Journal of Transplantation: Official Journal of the American Society of Transplantation and the American Society of Transplant Surgeons","page":"69-80","volume":"10","issue":"1","source":"PubMed","abstract":"CD4+CD25+Foxp3+ regulatory T cells (Tregs) play a key role in the induction and maintenance of peripheral tolerance. Rapid and transient production of IFN-gamma by Tregs from mice tolerized to alloantigen in vivo has been shown to be critical for their regulatory function. This IFN-gamma has the potential to affect the function of cells present in the same local microenvironment as the Tregs, including the Tregs themselves. Here we investigated the mechanism by which IFN-gamma produced by Tregs triggered signaling pathways in alloantigen reactive Tregs themselves thereby influencing their function in vivo. We show that IFN-gamma production and STAT1 activation was increased, while STAT1-dependent PKB/AKT activation was downregulated in alloantigen reactive Tregs. Further, the activation of STAT1 was blocked in IFN-gamma receptor deficient as well as IFN-gamma-deficient Tregs, suggesting that IFN-gamma produced by the alloantigen reactive Tregs might act in an autocrine manner to induce STAT1 activation. Importantly, STAT1-deficient Tregs failed to control allograft rejection in vivo. Overall, these findings suggest that the IFN-gamma-induced STAT1-PKB/AKT signaling pathway plays a key role in upregulating the ability of alloantigen reactive Tregs to control graft rejection in vivo.","DOI":"10.1111/j.1600-6143.2009.02858.x","ISSN":"1600-6143","note":"PMID: 19889125\nPMCID: PMC3158990","journalAbbreviation":"Am. J. Transplant.","language":"eng","author":[{"family":"Wei","given":"B."},{"family":"Baker","given":"S."},{"family":"Wieckiewicz","given":"J."},{"family":"Wood","given":"K. J."}],"issued":{"date-parts":[["2010",1]]}}}],"schema":"https://github.com/citation-style-language/schema/raw/master/csl-citation.json"} </w:instrText>
      </w:r>
      <w:r>
        <w:fldChar w:fldCharType="separate"/>
      </w:r>
      <w:r w:rsidR="004A1963" w:rsidRPr="004A1963">
        <w:rPr>
          <w:rFonts w:ascii="Calibri" w:hAnsi="Calibri"/>
        </w:rPr>
        <w:t>(29,472,473)</w:t>
      </w:r>
      <w:r>
        <w:fldChar w:fldCharType="end"/>
      </w:r>
      <w:r>
        <w:t xml:space="preserve">. These effects come from a single tyrosine residue phosphorylation on STAT1 </w:t>
      </w:r>
      <w:r>
        <w:fldChar w:fldCharType="begin"/>
      </w:r>
      <w:r w:rsidR="000A209C">
        <w:instrText xml:space="preserve"> ADDIN ZOTERO_ITEM CSL_CITATION {"citationID":"4wuF7XPU","properties":{"formattedCitation":"(470)","plainCitation":"(470)","noteIndex":0},"citationItems":[{"id":1424,"uris":["http://zotero.org/users/952979/items/GP4TCUIQ"],"uri":["http://zotero.org/users/952979/items/GP4TCUIQ"],"itemData":{"id":1424,"type":"article-journal","title":"A single phosphotyrosine residue of Stat91 required for gene activation by interferon-gamma","container-title":"Science (New York, N.Y.)","page":"1744-1746","volume":"261","issue":"5129","source":"PubMed","abstract":"Interferon-gamma (IFN-gamma) stimulates transcription of specific genes by inducing tyrosine phosphorylation of a 91-kilodalton cytoplasmic protein (termed STAT for signal transducer and activator of transcription). Stat91 was phosphorylated on a single site (Tyr701), and phosphorylation of this site was required for nuclear translocation, DNA binding, and gene activation. Stat84, a differentially spliced product of the same gene that lacks the 38 carboxyl-terminal amino acids of Stat91, did not activate transcription, although it was phosphorylated and translocated to the nucleus and bound DNA. Thus, Stat91 mediates activation of transcription in response to IFN-gamma.","ISSN":"0036-8075","note":"PMID: 7690989","journalAbbreviation":"Science","language":"eng","author":[{"family":"Shuai","given":"K."},{"family":"Stark","given":"G. R."},{"family":"Kerr","given":"I. M."},{"family":"Darnell","given":"J. E."}],"issued":{"date-parts":[["1993",9,24]]}}}],"schema":"https://github.com/citation-style-language/schema/raw/master/csl-citation.json"} </w:instrText>
      </w:r>
      <w:r>
        <w:fldChar w:fldCharType="separate"/>
      </w:r>
      <w:r w:rsidR="003902A3" w:rsidRPr="003902A3">
        <w:rPr>
          <w:rFonts w:ascii="Calibri" w:hAnsi="Calibri"/>
        </w:rPr>
        <w:t>(470)</w:t>
      </w:r>
      <w:r>
        <w:fldChar w:fldCharType="end"/>
      </w:r>
      <w:r>
        <w:t xml:space="preserve">. </w:t>
      </w:r>
      <w:r w:rsidR="008A568B">
        <w:t>STAT1</w:t>
      </w:r>
      <w:r>
        <w:t xml:space="preserve"> induces pro-inflammatory genes directly or via binding to immune regulatory factors (IRF) </w:t>
      </w:r>
      <w:r>
        <w:fldChar w:fldCharType="begin"/>
      </w:r>
      <w:r w:rsidR="000A209C">
        <w:instrText xml:space="preserve"> ADDIN ZOTERO_ITEM CSL_CITATION {"citationID":"xttilDFy","properties":{"formattedCitation":"(472,474,475)","plainCitation":"(472,474,475)","noteIndex":0},"citationItems":[{"id":68,"uris":["http://zotero.org/users/952979/items/BM9QISAB"],"uri":["http://zotero.org/users/952979/items/BM9QISAB"],"itemData":{"id":68,"type":"article-journal","title":"Jak-STAT pathways and transcriptional activation in response to IFNs and other extracellular signaling proteins","container-title":"Science","page":"1415-1421","volume":"264","issue":"5164","source":"science.sciencemag.org.sheffield.idm.oclc.org","abstract":"Through the study of transcriptional activation in response to interferon alpha (IFN-alpha) and interferon gamma (IFN-gamma), a previously unrecognized direct signal transduction pathway to the nucleus has been uncovered: IFN-receptor interaction at the cell surface leads to the activation of kinases of the Jak family that then phosphorylate substrate proteins called STATs (signal transducers and activators of transcription). The phosphorylated STAT proteins move to the nucleus, bind specific DNA elements, and direct transcription. Recognition of the molecules involved in the IFN-alpha and IFN-gamma pathway has led to discoveries that a number of STAT family members exist and that other polypeptide ligands also use the Jak-STAT molecules in signal transduction.","DOI":"10.1126/science.8197455","ISSN":"0036-8075, 1095-9203","note":"PMID: 8197455","language":"en","author":[{"family":"Darnell","given":"J. E."},{"family":"Kerr","given":"I. M."},{"family":"Stark","given":"G. R."}],"issued":{"date-parts":[["1994",6,3]]}}},{"id":64,"uris":["http://zotero.org/users/952979/items/CJT7S924"],"uri":["http://zotero.org/users/952979/items/CJT7S924"],"itemData":{"id":64,"type":"article-journal","title":"STAT1-mediated signal integration between IFNγ and LPS leads to increased EC and SMC activation and monocyte adhesion","container-title":"American Journal of Physiology. Cell Physiology","page":"C1337-1344","volume":"300","issue":"6","source":"PubMed","abstract":"Inflammation plays an important role in host defenses against infectious agents and injury, but it also contributes to the pathophysiology of atherosclerosis. Signal transducer and activated transcription 1 (STAT1) has been identified as a point of convergence for the cross talk between the pro-inflammatory cytokine interferon γ (IFNγ) and the Toll-like receptor-4 (TLR4) ligand LPS in immune cells. However, there is no information available on the role of STAT1 in TLR4-mediated progression of atherosclerosis and on potential synergism between lipopolysaccharides (LPS) and IFNγ signaling in cells from the vasculature. Cultured human microvascular endothelial cells (HMECs) exposed to LPS activated STAT1 in a delayed manner that was inhibited by cycloheximide treatment. Pretreatment of HMECs as well as primary vascular smooth muscle cells (VSMCs) with IFNγ followed by LPS resulted in a significant increase in STAT1 phosphorylation compared with both factors alone. Increased STAT1 protein levels, strictly mediated by IFNγ, correlated with the augmented STAT1 phosphorylation that was absent in TLR4(-/-) cells. As assessed by PCR, Western analysis, and ELISA, this coincided with increased expression of the chemokine interferon gamma-induced protein 10 kDa (IP-10) and the adhesion molecule ICAM-1 in a TLR4-dependent manner.The STAT1-inhibitor fludarabine markedly reduced these effects as well as IFNγ and LPS-dependent adhesion of U937 cells to endothelial cells, emphasizing the potential importance of STAT1 in the integration of both signals. With the established roles of IFNγ and TLRs in atherosclerotic pathology, the STAT1-dependent signal integration between IFNγ and TLR in ECs and VSMCs in response to exogenous and endogenous atherogenic ligands could result in amplification of pro-inflammatory responses in the damaged vessel and be a novel mechanism involved in the initiation and progression of atherosclerosis.","DOI":"10.1152/ajpcell.00276.2010","ISSN":"1522-1563","note":"PMID: 21346151","journalAbbreviation":"Am. J. Physiol., Cell Physiol.","language":"eng","author":[{"family":"Sikorski","given":"Krzysztof"},{"family":"Chmielewski","given":"Stefan"},{"family":"Przybyl","given":"Lukasz"},{"family":"Heemann","given":"Uwe"},{"family":"Wesoly","given":"Joanna"},{"family":"Baumann","given":"Marcus"},{"family":"Bluyssen","given":"Hans A. R."}],"issued":{"date-parts":[["2011",6]]}}},{"id":61,"uris":["http://zotero.org/users/952979/items/ZNFGX8UK"],"uri":["http://zotero.org/users/952979/items/ZNFGX8UK"],"itemData":{"id":61,"type":"article-journal","title":"How cells respond to interferons revisited: From early history to current complexity","container-title":"Cytokine &amp; growth factor reviews","page":"419-423","volume":"18","issue":"5-6","source":"PubMed Central","abstract":"A brief account of how I became involved in interferon research is followed by recollections of key experiments that led to the discovery of the roles of the JAKs and STATs in interferon-dependent signaling. I then outline the complex responses of cells to interferons, including the roles of kinases other than JAKs and transcription factors other than STATs, differential responses to interferons α and β, modulation of response by prior exposure to other cytokines (“priming”), cytokine-dependent induction of high level expression of STATs 1 and 3 and the activation of a new set of genes by these unphosphorylated STATs, and diverse patterns of STAT activation in different cell types in response to a single interferon.","DOI":"10.1016/j.cytogfr.2007.06.013","ISSN":"1359-6101","note":"PMID: 17683974\nPMCID: PMC2081984","shortTitle":"How cells respond to interferons revisited","journalAbbreviation":"Cytokine Growth Factor Rev","author":[{"family":"Stark","given":"George R."}],"issued":{"date-parts":[["2007"]]}}}],"schema":"https://github.com/citation-style-language/schema/raw/master/csl-citation.json"} </w:instrText>
      </w:r>
      <w:r>
        <w:fldChar w:fldCharType="separate"/>
      </w:r>
      <w:r w:rsidR="003902A3" w:rsidRPr="003902A3">
        <w:rPr>
          <w:rFonts w:ascii="Calibri" w:hAnsi="Calibri"/>
        </w:rPr>
        <w:t>(472,474,475)</w:t>
      </w:r>
      <w:r>
        <w:fldChar w:fldCharType="end"/>
      </w:r>
      <w:r>
        <w:t xml:space="preserve">. Confirming the importance of these observations, mice with mutations in STAT1 exhibit impaired clearance of intracellular pathogens </w:t>
      </w:r>
      <w:r>
        <w:fldChar w:fldCharType="begin"/>
      </w:r>
      <w:r w:rsidR="000A209C">
        <w:instrText xml:space="preserve"> ADDIN ZOTERO_ITEM CSL_CITATION {"citationID":"JVznLM8D","properties":{"formattedCitation":"(476)","plainCitation":"(476)","noteIndex":0},"citationItems":[{"id":67,"uris":["http://zotero.org/users/952979/items/DQMW7RX6"],"uri":["http://zotero.org/users/952979/items/DQMW7RX6"],"itemData":{"id":67,"type":"article-journal","title":"Phosphorylation of the Stat1 transactivation domain is required for full-fledged IFN-gamma-dependent innate immunity","container-title":"Immunity","page":"793-802","volume":"19","issue":"6","source":"PubMed","abstract":"Stat1 is phosphorylated on serine 727 within its transactivating domain (TAD) in response to interferons or other immunological signals. We generated gene-targeted mutant mice expressing a serine727-alanine mutant of Stat1. These animals showed increased mortality upon infection with Listeria monocytogenes and impaired clearance of the bacteria from spleen and liver. The Stat1S727A mice were more resistant to the LPS-induced septic shock syndrome, suggesting that Stat1 serine phosphorylation promotes inflammatory responses. Expression of IFN-gamma-induced genes was strongly reduced in macrophages expressing Stat1(S727A). While mutation of Stat1 at S727 did not reduce its binding to chromatin, association with the coactivator CBP and histone acetylation at the interferon-responsive GBP promoter was strongly reduced, suggesting defective recruitment of histone acetylases as the mechanism underlying IFN-gamma hyporesponsiveness. Our data demonstrate that the increase in transcription factor activity caused by Stat serine phosphorylation contributes to macrophage activation and to IFN-gamma-dependent immune responses in vivo.","ISSN":"1074-7613","note":"PMID: 14670297","journalAbbreviation":"Immunity","language":"eng","author":[{"family":"Varinou","given":"Louisa"},{"family":"Ramsauer","given":"Katrin"},{"family":"Karaghiosoff","given":"Marina"},{"family":"Kolbe","given":"Thomas"},{"family":"Pfeffer","given":"Klaus"},{"family":"Müller","given":"Mathias"},{"family":"Decker","given":"Thomas"}],"issued":{"date-parts":[["2003",12]]}}}],"schema":"https://github.com/citation-style-language/schema/raw/master/csl-citation.json"} </w:instrText>
      </w:r>
      <w:r>
        <w:fldChar w:fldCharType="separate"/>
      </w:r>
      <w:r w:rsidR="003902A3" w:rsidRPr="003902A3">
        <w:rPr>
          <w:rFonts w:ascii="Calibri" w:hAnsi="Calibri"/>
        </w:rPr>
        <w:t>(476)</w:t>
      </w:r>
      <w:r>
        <w:fldChar w:fldCharType="end"/>
      </w:r>
      <w:r>
        <w:t xml:space="preserve">. Moreover, in mice containing STAT2-deficient macrophages there is an increased sensitivity to viral infections </w:t>
      </w:r>
      <w:r>
        <w:fldChar w:fldCharType="begin"/>
      </w:r>
      <w:r w:rsidR="000A209C">
        <w:instrText xml:space="preserve"> ADDIN ZOTERO_ITEM CSL_CITATION {"citationID":"5lZPZpNT","properties":{"formattedCitation":"(477)","plainCitation":"(477)","noteIndex":0},"citationItems":[{"id":60,"uris":["http://zotero.org/users/952979/items/UP96TZRL"],"uri":["http://zotero.org/users/952979/items/UP96TZRL"],"itemData":{"id":60,"type":"article-journal","title":"Immune response in Stat2 knockout mice","container-title":"Immunity","page":"795-804","volume":"13","issue":"6","source":"PubMed","abstract":"Type I IFNs induce gene expression through Stat1 and Stat2, which can in turn associate either to form Stat1 homodimers or the transcription factor ISGF-3. Stat1 homodimers also transduce signals for IFN-gamma. To explore the unique properties of Stat2 and ISGF-3 in type I IFN signaling, its gene was targeted for deletion. Stat2 null mice exhibit a number of defects in immune response. This includes an increased susceptibility to viral infection and the loss of a type I IFN autocrine/ paracrine loop, which in turn regulates several aspects of immune response. Intriguingly, Stat2-deficient fibroblasts exhibit a more significant defect in their response to type I IFNs than macrophages, highlighting tissue-specific differences in the response to this family of ligands.","ISSN":"1074-7613","note":"PMID: 11163195","journalAbbreviation":"Immunity","language":"eng","author":[{"family":"Park","given":"C."},{"family":"Li","given":"S."},{"family":"Cha","given":"E."},{"family":"Schindler","given":"C."}],"issued":{"date-parts":[["2000",12]]}}}],"schema":"https://github.com/citation-style-language/schema/raw/master/csl-citation.json"} </w:instrText>
      </w:r>
      <w:r>
        <w:fldChar w:fldCharType="separate"/>
      </w:r>
      <w:r w:rsidR="003902A3" w:rsidRPr="003902A3">
        <w:rPr>
          <w:rFonts w:ascii="Calibri" w:hAnsi="Calibri"/>
        </w:rPr>
        <w:t>(477)</w:t>
      </w:r>
      <w:r>
        <w:fldChar w:fldCharType="end"/>
      </w:r>
      <w:r>
        <w:t xml:space="preserve">. These results demonstrate the roles of STAT1 and STAT2 in promoting a pro-inflammatory, M1 macrophage, phenotype. </w:t>
      </w:r>
    </w:p>
    <w:p w14:paraId="572C279A" w14:textId="77777777" w:rsidR="00A92BC4" w:rsidRDefault="00A92BC4" w:rsidP="00A92BC4">
      <w:pPr>
        <w:pStyle w:val="Thesisnormal"/>
      </w:pPr>
    </w:p>
    <w:p w14:paraId="53F81DBB" w14:textId="0CF9F7A9" w:rsidR="00A92BC4" w:rsidRDefault="00A92BC4" w:rsidP="00A92BC4">
      <w:pPr>
        <w:pStyle w:val="Thesisnormal"/>
      </w:pPr>
      <w:r>
        <w:t xml:space="preserve">In contrast, STAT3 and STAT6 have been shown to be anti-inflammatory mediators </w:t>
      </w:r>
      <w:r>
        <w:fldChar w:fldCharType="begin"/>
      </w:r>
      <w:r w:rsidR="000A209C">
        <w:instrText xml:space="preserve"> ADDIN ZOTERO_ITEM CSL_CITATION {"citationID":"tlPvCICY","properties":{"formattedCitation":"(381,478)","plainCitation":"(381,478)","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K."}],"issued":{"date-parts":[["2013",6,1]]}}},{"id":57,"uris":["http://zotero.org/users/952979/items/NSDTF97T"],"uri":["http://zotero.org/users/952979/items/NSDTF97T"],"itemData":{"id":57,"type":"article-journal","title":"The macrophage response towards LPS and its control through the p38(MAPK)-STAT3 axis","container-title":"Cellular Signalling","page":"1185-1194","volume":"24","issue":"6","source":"PubMed","abstract":"In macrophages detection of gram-negative bacteria particularly involves binding of the outer-wall component lipopolysaccharide (LPS) to its cognate receptor complex, comprising Toll like receptor 4 (TLR4), CD14 and MD2. LPS-induced formation of the LPS receptor complex elicits a signaling network, including intra-cellular signal-transduction directly activated by the TLR4 receptor complex as well as successional induction of indirect autocrine and paracrine signaling events. All these different pathways are integrated into the macrophage response towards an inflammatory stimulus by a highly complex cross-talk of the pathways engaged. This also includes a tight control by several intra- and inter-cellular feedback loops warranting an inflammatory response sufficient to battle invading pathogens and to avoid non-essential tissue damage caused by an overwhelming inflammatory response. Several evidences indicate that the reciprocal cross-talk between the p38(MAPK)-pathway and signal transducer and activator of transcription (STAT)3-mediated signal-transduction forms a critical axis successively activated by LPS. The balanced activation of this axis is essential for both induction and propagation of the inflammatory macrophage response as well as for the control of the resolution phase, which is largely driven by IL-10 and sustained STAT3 activation. In this context regulation of suppressor of cytokine signaling (SOCS)3 expression and the recently described divergent regulatory roles of the two p38(MAPK)-activated protein kinases MK2 and MK3 for the regulation of LPS-induced NF-κB- and IRF3-mediated signal-transduction and gene expression, which includes the regulation of IFNβ, IL-10 and DUSP1, appears to play an important role.","DOI":"10.1016/j.cellsig.2012.01.018","ISSN":"1873-3913","note":"PMID: 22330073","journalAbbreviation":"Cell. Signal.","language":"eng","author":[{"family":"Bode","given":"Johannes G."},{"family":"Ehlting","given":"Christian"},{"family":"Häussinger","given":"Dieter"}],"issued":{"date-parts":[["2012",6]]}}}],"schema":"https://github.com/citation-style-language/schema/raw/master/csl-citation.json"} </w:instrText>
      </w:r>
      <w:r>
        <w:fldChar w:fldCharType="separate"/>
      </w:r>
      <w:r w:rsidR="003902A3" w:rsidRPr="003902A3">
        <w:rPr>
          <w:rFonts w:ascii="Calibri" w:hAnsi="Calibri"/>
        </w:rPr>
        <w:t>(381,478)</w:t>
      </w:r>
      <w:r>
        <w:fldChar w:fldCharType="end"/>
      </w:r>
      <w:r>
        <w:t xml:space="preserve">: knockout of STAT3 in macrophages causes enhanced production of the pro-inflammatory cytokines, IL-6, TNF-α, IFN-γ and IL-1β </w:t>
      </w:r>
      <w:r>
        <w:fldChar w:fldCharType="begin"/>
      </w:r>
      <w:r w:rsidR="000A209C">
        <w:instrText xml:space="preserve"> ADDIN ZOTERO_ITEM CSL_CITATION {"citationID":"269ZNmbc","properties":{"formattedCitation":"(479)","plainCitation":"(479)","noteIndex":0},"citationItems":[{"id":34,"uris":["http://zotero.org/users/952979/items/8RAXPB42"],"uri":["http://zotero.org/users/952979/items/8RAXPB42"],"itemData":{"id":34,"type":"article-journal","title":"Enhanced Th1 Activity and Development of Chronic Enterocolitis in Mice Devoid of Stat3 in Macrophages and Neutrophils","container-title":"Immunity","page":"39-49","volume":"10","issue":"1","source":"ScienceDirect","abstract":"We have generated mice with a cell type-specific disruption of the Stat3 gene in macrophages and neutrophils. The mutant mice are highly susceptible to endotoxin shock with increased production of inflammatory cytokines such as TNFα, IL-1, IFNγ, and IL-6. Endotoxin-induced production of inflammatory cytokines is augmented because the suppressive effects of IL-10 on inflammatory cytokine production from macrophages and neutrophils are completely abolished. The mice show a polarized immune response toward the Th1 type and develop chronic enterocolitis with age. Taken together, Stat3 plays a critical role in deactivation of macrophages and neutrophils mainly exerted by IL-10.","DOI":"10.1016/S1074-7613(00)80005-9","ISSN":"1074-7613","journalAbbreviation":"Immunity","author":[{"family":"Takeda","given":"Kiyoshi"},{"family":"Clausen","given":"Björn E"},{"family":"Kaisho","given":"Tsuneyasu"},{"family":"Tsujimura","given":"Tohru"},{"family":"Terada","given":"Nobuyuki"},{"family":"Förster","given":"Irmgard"},{"family":"Akira","given":"Shizuo"}],"issued":{"date-parts":[["1999",1,1]]}}}],"schema":"https://github.com/citation-style-language/schema/raw/master/csl-citation.json"} </w:instrText>
      </w:r>
      <w:r>
        <w:fldChar w:fldCharType="separate"/>
      </w:r>
      <w:r w:rsidR="003902A3" w:rsidRPr="003902A3">
        <w:rPr>
          <w:rFonts w:ascii="Calibri" w:hAnsi="Calibri"/>
        </w:rPr>
        <w:t>(479)</w:t>
      </w:r>
      <w:r>
        <w:fldChar w:fldCharType="end"/>
      </w:r>
      <w:r>
        <w:t>. This increase can also be observed when STAT3</w:t>
      </w:r>
      <w:r>
        <w:rPr>
          <w:vertAlign w:val="superscript"/>
        </w:rPr>
        <w:t>-/-</w:t>
      </w:r>
      <w:r>
        <w:t xml:space="preserve"> macrophages are transplanted into control mice </w:t>
      </w:r>
      <w:r>
        <w:fldChar w:fldCharType="begin"/>
      </w:r>
      <w:r w:rsidR="000A209C">
        <w:instrText xml:space="preserve"> ADDIN ZOTERO_ITEM CSL_CITATION {"citationID":"u8Rsl4jt","properties":{"formattedCitation":"(480)","plainCitation":"(480)","noteIndex":0},"citationItems":[{"id":58,"uris":["http://zotero.org/users/952979/items/DWQZLLJQ"],"uri":["http://zotero.org/users/952979/items/DWQZLLJQ"],"itemData":{"id":58,"type":"article-journal","title":"Stat3 in Resident Macrophages as a Repressor Protein of Inflammatory Response","container-title":"The Journal of Immunology","page":"3354-3359","volume":"175","issue":"5","source":"www.jimmunol.org","abstract":"Inflammation is counterbalanced by anti-inflammatory cytokines such as IL-10, in which Stat3 mediates the signaling pathway. In this study, we demonstrate that resident macrophages, but not other cell types, are important targets of IL-10 in a murine model of acute peritonitis. Injection of thioglycollate i.p. induced a considerable number of neutrophils and macrophages in the peritoneum, which was significantly augmented in mice with a cell-type specific disruption of the Stat3 gene in macrophages and neutrophils (LysMcre/Stat3flox/− mice). The augmented leukocyte infiltration was accompanied by increased peritoneal levels of TNF-α, MIP-2, KC chemokine (KC), and MCP-1/CCL2. Stat3 was tyrosine phosphorylated in peritoneal resident macrophages as well as infiltrating leukocytes in the littermate controls, suggesting that Stat3 in either or both of these cells might play a regulatory role in inflammation. The peritoneal levels of TNF-α, MIP-2, KC, and MCP-1 were similarly elevated in LysMcre/Stat3flox/− mice rendered leukopenic by cyclophosphamide treatment as compared with the controls. Adoptive transfer of resident macrophages from LysMcre/Stat3flox/− mice into the control littermates resulted in increases in the peritoneal level of TNF-α, MIP-2, KC, and MCP-1 after i.p. injection of thioglycollate. Under these conditions, control littermates harboring LysMcre/Stat3flox/− macrophages exhibited an augmented leukocyte infiltration relative to those received control macrophages. Taken together, these data provide evidence that resident macrophages, but not other cell types, play a regulatory role in inflammation through a Stat3 signaling pathway. Stat3 in resident macrophages appears to function as a repressor protein in this model of acute inflammation.","DOI":"10.4049/jimmunol.175.5.3354","ISSN":"0022-1767, 1550-6606","note":"PMID: 16116228","language":"en","author":[{"family":"Matsukawa","given":"Akihiro"},{"family":"Kudo","given":"Shinji"},{"family":"Maeda","given":"Takako"},{"family":"Numata","given":"Kousuke"},{"family":"Watanabe","given":"Hiroyuki"},{"family":"Takeda","given":"Kiyoshi"},{"family":"Akira","given":"Shizuo"},{"family":"Ito","given":"Takaaki"}],"issued":{"date-parts":[["2005",9,1]]}}}],"schema":"https://github.com/citation-style-language/schema/raw/master/csl-citation.json"} </w:instrText>
      </w:r>
      <w:r>
        <w:fldChar w:fldCharType="separate"/>
      </w:r>
      <w:r w:rsidR="003902A3" w:rsidRPr="003902A3">
        <w:rPr>
          <w:rFonts w:ascii="Calibri" w:hAnsi="Calibri"/>
        </w:rPr>
        <w:t>(480)</w:t>
      </w:r>
      <w:r>
        <w:fldChar w:fldCharType="end"/>
      </w:r>
      <w:r>
        <w:t xml:space="preserve">. An important anti-inflammatory mediator, IL-10, relies on JAK1-mediated phosphorylation of STAT3 as demonstrated with STAT3-deficient macrophages in </w:t>
      </w:r>
      <w:bookmarkStart w:id="208" w:name="_Hlk4571207"/>
      <w:r>
        <w:t xml:space="preserve">which IL-10 is unable </w:t>
      </w:r>
      <w:r w:rsidR="002354B9">
        <w:t xml:space="preserve">to </w:t>
      </w:r>
      <w:r>
        <w:t xml:space="preserve">exert any anti-inflammatory effect </w:t>
      </w:r>
      <w:bookmarkEnd w:id="208"/>
      <w:r>
        <w:fldChar w:fldCharType="begin"/>
      </w:r>
      <w:r w:rsidR="000A209C">
        <w:instrText xml:space="preserve"> ADDIN ZOTERO_ITEM CSL_CITATION {"citationID":"F9n8GGgr","properties":{"formattedCitation":"(481)","plainCitation":"(481)","noteIndex":0},"citationItems":[{"id":59,"uris":["http://zotero.org/users/952979/items/45IA9NDD"],"uri":["http://zotero.org/users/952979/items/45IA9NDD"],"itemData":{"id":59,"type":"article-journal","title":"Signal Transducer and Activator of Transcription 3 Is the Dominant Mediator of the Anti-Inflammatory Effects of IL-10 in Human Macrophages","container-title":"The Journal of Immunology","page":"567-576","volume":"172","issue":"1","source":"www.jimmunol.org","abstract":"The signaling mechanism by which the anti-inflammatory cytokine IL-10 mediates suppression of proinflammatory cytokine synthesis remains largely unknown. Macrophage-specific STAT3-null mice have demonstrated that STAT3 plays a critical role in the suppression of LPS-induced TNF-α release, although the mechanism by which STAT3 mediates this inhibition is still not clear. Using an adenoviral system, we have expressed a dominant negative (DN) STAT3 in human macrophages to broaden the investigation to determine the role of STAT3 in IL-10-mediated anti-inflammatory signaling and gene expression. Overexpression of STAT3 DN completely inhibited IL-10-induced suppressor of cytokine signaling 3, tissue inhibitor of MMP-1, TNF receptor expression, and the recently identified IL-10-inducible genes, T cell protein tyrosine phosphatase and signaling lymphocyte activation molecule. STAT3 DN also blocked IL-10-mediated inhibition of MHC class II and COX2 expression. In agreement with the studies in STAT3-null mice, overexpression of the STAT3 DN completely reversed the ability of IL-10 to inhibit LPS-mediated TNF-α and IL-6 production. However, real-time PCR analysis showed that STAT3 DN expression did not affect immediate suppression of TNF-α mRNA, but did reverse the suppression observed at later time points, suggesting a biphasic regulation of TNF-α mRNA levels by IL-10. In conclusion, although STAT3 does appear to be the dominant mediator of the majority of IL-10 functions, there are elements of its anti-inflammatory activity that are STAT3 independent.","DOI":"10.4049/jimmunol.172.1.567","ISSN":"0022-1767, 1550-6606","note":"PMID: 14688368","language":"en","author":[{"family":"Williams","given":"Lynn"},{"family":"Bradley","given":"Laura"},{"family":"Smith","given":"Alexandra"},{"family":"Foxwell","given":"Brian"}],"issued":{"date-parts":[["2004",1,1]]}}}],"schema":"https://github.com/citation-style-language/schema/raw/master/csl-citation.json"} </w:instrText>
      </w:r>
      <w:r>
        <w:fldChar w:fldCharType="separate"/>
      </w:r>
      <w:r w:rsidR="003902A3" w:rsidRPr="003902A3">
        <w:rPr>
          <w:rFonts w:ascii="Calibri" w:hAnsi="Calibri"/>
        </w:rPr>
        <w:t>(481)</w:t>
      </w:r>
      <w:r>
        <w:fldChar w:fldCharType="end"/>
      </w:r>
      <w:r>
        <w:t xml:space="preserve">. Activation of the IL-4 receptor by ligand binding triggers phosphorylation of STAT6 by JAK1/JAK3 </w:t>
      </w:r>
      <w:r>
        <w:fldChar w:fldCharType="begin"/>
      </w:r>
      <w:r w:rsidR="000A209C">
        <w:instrText xml:space="preserve"> ADDIN ZOTERO_ITEM CSL_CITATION {"citationID":"IVEoDqih","properties":{"formattedCitation":"(482)","plainCitation":"(482)","noteIndex":0},"citationItems":[{"id":1776,"uris":["http://zotero.org/users/952979/items/6SQWSSME"],"uri":["http://zotero.org/users/952979/items/6SQWSSME"],"itemData":{"id":1776,"type":"article-journal","title":"Kaempferol Inhibits IL-4-Induced STAT6 Activation by Specifically Targeting JAK3","container-title":"The Journal of Immunology","page":"3881-3887","volume":"179","issue":"6","source":"www.jimmunol.org","abstract":"IL-4 is involved in several human diseases including allergies, autoimmunity, and cancer. Its effects are mainly mediated through the transcription factor STAT6. Therefore, investigation of compounds that regulate STAT6 activation is of great interest for these diseases. Natural polyphenols are compounds reported to have therapeutic properties in diseases involving IL-4 and STAT6. The aim of this study was to investigate the effect of these compounds in the activation of this transcription factor. We found that in hemopoietic cells from human and mouse origin, some flavonoids were able to inhibit the activation of STAT6 by IL-4. To identify molecular mechanisms, we focused on kaempferol, the compound that showed the greatest inhibitory effect with the lowest cell toxicity. Treatment of cells with kaempferol did not affect activation of Src kinase by IL-4 but did prevent the phosphorylation of JAK1 and JAK3. Further enzymatic analysis demonstrated that kaempferol blocked the in vitro phosphorylation activity of JAK3 without affecting JAK1, suggesting that it specifically targeted JAK3 activity. Accordingly, kaempferol had no effect on STAT6 activation in nonhemopoietic cell lines lacking JAK3, supporting its selective inhibition of IL-4 responses through type I receptors expressing JAK3 but not type II lacking this kinase. The inhibitory effect of kaempferol was also observed in IL-2 but not IL-3-mediated responses and correlated with the inhibition of MLC proliferation. These findings reveal the potential use of kaempferol as a tool for selectively controlling cell responses to IL-4 and, in general, JAK3-dependent responses.","DOI":"10.4049/jimmunol.179.6.3881","ISSN":"0022-1767, 1550-6606","note":"PMID: 17785825","language":"en","author":[{"family":"Cortes","given":"Jose R."},{"family":"Perez-G","given":"Moises"},{"family":"Rivas","given":"Maria D."},{"family":"Zamorano","given":"Jose"}],"issued":{"date-parts":[["2007",9,15]]}}}],"schema":"https://github.com/citation-style-language/schema/raw/master/csl-citation.json"} </w:instrText>
      </w:r>
      <w:r>
        <w:fldChar w:fldCharType="separate"/>
      </w:r>
      <w:r w:rsidR="003902A3" w:rsidRPr="003902A3">
        <w:rPr>
          <w:rFonts w:ascii="Calibri" w:hAnsi="Calibri"/>
        </w:rPr>
        <w:t>(482)</w:t>
      </w:r>
      <w:r>
        <w:fldChar w:fldCharType="end"/>
      </w:r>
      <w:r>
        <w:t xml:space="preserve">. </w:t>
      </w:r>
      <w:bookmarkStart w:id="209" w:name="_Hlk4571187"/>
      <w:r>
        <w:t>IL</w:t>
      </w:r>
      <w:r w:rsidR="002354B9">
        <w:t>-</w:t>
      </w:r>
      <w:r>
        <w:t xml:space="preserve">4 is another important anti-inflammatory cytokine </w:t>
      </w:r>
      <w:bookmarkEnd w:id="209"/>
      <w:r>
        <w:t xml:space="preserve">and signalling via STAT6 is essential for such functions </w:t>
      </w:r>
      <w:r>
        <w:fldChar w:fldCharType="begin"/>
      </w:r>
      <w:r w:rsidR="000A209C">
        <w:instrText xml:space="preserve"> ADDIN ZOTERO_ITEM CSL_CITATION {"citationID":"bBeNtIeL","properties":{"formattedCitation":"(27,483)","plainCitation":"(27,483)","noteIndex":0},"citationItems":[{"id":1653,"uris":["http://zotero.org/users/952979/items/NRFG92XJ"],"uri":["http://zotero.org/users/952979/items/NRFG92XJ"],"itemData":{"id":1653,"type":"article-journal","title":"Macrophage Polarization","container-title":"Annual Review of Physiology","page":"541-566","volume":"79","issue":"1","source":"Annual Reviews","abstract":"Macrophage polarization refers to how macrophages have been activated at a given point in space and time. Polarization is not fixed, as macrophages are sufficiently plastic to integrate multiple signals, such as those from microbes, damaged tissues, and the normal tissue environment. Three broad pathways control polarization: epigenetic and cell survival pathways that prolong or shorten macrophage development and viability, the tissue microenvironment, and extrinsic factors, such as microbial products and cytokines released in inflammation. A plethora of advances have provided a framework for rationally purifying, describing, and manipulating macrophage polarization. Here, I assess the current state of knowledge about macrophage polarization and enumerate the major questions about how activated macrophages regulate the physiology of normal and damaged tissues.","DOI":"10.1146/annurev-physiol-022516-034339","note":"PMID: 27813830","author":[{"family":"Murray","given":"Peter J."}],"issued":{"date-parts":[["2017"]]}}},{"id":1418,"uris":["http://zotero.org/users/952979/items/A5FG75JA"],"uri":["http://zotero.org/users/952979/items/A5FG75JA"],"itemData":{"id":1418,"type":"article-journal","title":"Essential role of Stat6 in IL-4 signalling","container-title":"Nature","page":"627-630","volume":"380","issue":"6575","source":"PubMed","abstract":"Interleukin-4 (IL-4) is a pleiotropic lymphokine which plays an important role in the immune system. IL-4 activates two distinct signalling pathways through tyrosine phosphorylation of Stat6, a signal transducer and activator of transcription, and of a 170K protein called 4PS. To investigate the functional role of Stat6 in IL-4 signalling, we generated mice deficient in Stat6 by gene targeting. We report here that in the mutant mice, expression of CD23 and major histocompatibility complex (MHC) class II in resting B cells was not enhanced in response to IL-4. IL-4 induced B-cell proliferation costimulated by anti-IgM antibody was abolished. The T-cell proliferative response was also notably reduced. Furthermore, production of Th2 cytokines from T cells as well as IgE and IgG1 responses after nematode infection were profoundly reduced. These findings agreed with those obtained in IL-4 deficient mice or using antibodies to IL-4 and the IL-4 receptor. We conclude that Stat6 plays a central role in exerting IL-4 mediated biological responses.","DOI":"10.1038/380627a0","ISSN":"0028-0836","note":"PMID: 8602263","journalAbbreviation":"Nature","language":"eng","author":[{"family":"Takeda","given":"K."},{"family":"Tanaka","given":"T."},{"family":"Shi","given":"W."},{"family":"Matsumoto","given":"M."},{"family":"Minami","given":"M."},{"family":"Kashiwamura","given":"S."},{"family":"Nakanishi","given":"K."},{"family":"Yoshida","given":"N."},{"family":"Kishimoto","given":"T."},{"family":"Akira","given":"S."}],"issued":{"date-parts":[["1996",4,18]]}}}],"schema":"https://github.com/citation-style-language/schema/raw/master/csl-citation.json"} </w:instrText>
      </w:r>
      <w:r>
        <w:fldChar w:fldCharType="separate"/>
      </w:r>
      <w:r w:rsidR="004A1963" w:rsidRPr="004A1963">
        <w:rPr>
          <w:rFonts w:ascii="Calibri" w:hAnsi="Calibri"/>
        </w:rPr>
        <w:t>(27,483)</w:t>
      </w:r>
      <w:r>
        <w:fldChar w:fldCharType="end"/>
      </w:r>
      <w:r>
        <w:t xml:space="preserve">. STAT6 may exert such anti-inflammatory functions through direct competition with STAT1 for IFN-γ motifs </w:t>
      </w:r>
      <w:r>
        <w:fldChar w:fldCharType="begin"/>
      </w:r>
      <w:r w:rsidR="000A209C">
        <w:instrText xml:space="preserve"> ADDIN ZOTERO_ITEM CSL_CITATION {"citationID":"QwrUVlrp","properties":{"formattedCitation":"(484)","plainCitation":"(484)","noteIndex":0},"citationItems":[{"id":56,"uris":["http://zotero.org/users/952979/items/TL6PMFUR"],"uri":["http://zotero.org/users/952979/items/TL6PMFUR"],"itemData":{"id":56,"type":"article-journal","title":"STAT6 is required for the anti-inflammatory activity of interleukin-4 in mouse peritoneal macrophages","container-title":"The Journal of Biological Chemistry","page":"29202-29209","volume":"273","issue":"44","source":"PubMed","abstract":"Interleukin-4 (IL-4) is an anti-inflammatory cytokine which inhibits many inducible macrophage functions. The present study demonstrates that the ability of IL-4 to inhibit interferon gamma (IFNgamma)-dependent gene transcription is dependent upon STAT6. IL-4 suppressed IFNgamma-induced expression of the MIG (monokine induced by IFNgamma) gene, a C-X-C chemokine, in mouse macrophages. IFNgamma-induced expression of MIG mRNA was abolished in peritoneal macrophages from Stat1-/- mice, and the suppression of MIG mRNA by IL-4 was abolished in macrophages from Stat6-/- mice. Transient transfection assays using a reporter gene containing the MIG gene promoter or the IFNgamma-responsive element (gammaRE) from the MIG gene revealed that the IFNgamma-dependent transcription was suppressed by IL-4, although IL-4 alone had no transactivating function. IFNgamma and IL-4 activated STAT1 and STAT6, respectively, and both proteins were able to bind the gammaRE motif. Furthermore, STAT6 was associated with the co-activator CREB-binding protein in RAW264.7 cells. These observations indicate that STAT6 is necessary for the IL-4-mediated suppression of IFNgamma-induced, STAT1-dependent transcription and suggest that STAT6 may directly suppress the STAT1-dependent transcription by competing with STAT1 for occupancy of the gammaRE motif and/or by competing with limiting quantities of the transcriptional coactivator.","ISSN":"0021-9258","note":"PMID: 9786931","journalAbbreviation":"J. Biol. Chem.","language":"eng","author":[{"family":"Ohmori","given":"Y."},{"family":"Hamilton","given":"T. A."}],"issued":{"date-parts":[["1998",10,30]]}}}],"schema":"https://github.com/citation-style-language/schema/raw/master/csl-citation.json"} </w:instrText>
      </w:r>
      <w:r>
        <w:fldChar w:fldCharType="separate"/>
      </w:r>
      <w:r w:rsidR="003902A3" w:rsidRPr="003902A3">
        <w:rPr>
          <w:rFonts w:ascii="Calibri" w:hAnsi="Calibri"/>
        </w:rPr>
        <w:t>(484)</w:t>
      </w:r>
      <w:r>
        <w:fldChar w:fldCharType="end"/>
      </w:r>
      <w:r>
        <w:t xml:space="preserve">. </w:t>
      </w:r>
    </w:p>
    <w:p w14:paraId="70996027" w14:textId="77777777" w:rsidR="00A92BC4" w:rsidRDefault="00A92BC4" w:rsidP="00A92BC4">
      <w:pPr>
        <w:pStyle w:val="Thesisnormal"/>
      </w:pPr>
    </w:p>
    <w:p w14:paraId="470AB479" w14:textId="240CB4AA" w:rsidR="00A92BC4" w:rsidRDefault="00A92BC4" w:rsidP="00A92BC4">
      <w:pPr>
        <w:pStyle w:val="Thesisnormal"/>
      </w:pPr>
      <w:r w:rsidRPr="001E164B">
        <w:t>Just as with the STAT transcription factors, the SOCS proteins</w:t>
      </w:r>
      <w:r>
        <w:t xml:space="preserve"> also have roles in macrophage polarisation (reviewed in </w:t>
      </w:r>
      <w:r>
        <w:fldChar w:fldCharType="begin"/>
      </w:r>
      <w:r w:rsidR="000A209C">
        <w:instrText xml:space="preserve"> ADDIN ZOTERO_ITEM CSL_CITATION {"citationID":"N6AxRCHG","properties":{"formattedCitation":"(485)","plainCitation":"(485)","noteIndex":0},"citationItems":[{"id":1474,"uris":["http://zotero.org/users/952979/items/JWHW9PAW"],"uri":["http://zotero.org/users/952979/items/JWHW9PAW"],"itemData":{"id":1474,"type":"article-journal","title":"SOCS Proteins in Macrophage Polarization and Function","container-title":"Frontiers in Immunology","volume":"5","source":"PubMed Central","URL":"http://www.ncbi.nlm.nih.gov/pmc/articles/PMC4112788/","DOI":"10.3389/fimmu.2014.00357","ISSN":"1664-3224","note":"PMID: 25120543\nPMCID: PMC4112788","journalAbbreviation":"Front Immunol","author":[{"family":"Wilson","given":"Heather M."}],"issued":{"date-parts":[["2014",7,28]]},"accessed":{"date-parts":[["2015",11,22]]}}}],"schema":"https://github.com/citation-style-language/schema/raw/master/csl-citation.json"} </w:instrText>
      </w:r>
      <w:r>
        <w:fldChar w:fldCharType="separate"/>
      </w:r>
      <w:r w:rsidR="003902A3" w:rsidRPr="003902A3">
        <w:rPr>
          <w:rFonts w:ascii="Calibri" w:hAnsi="Calibri"/>
        </w:rPr>
        <w:t>(485)</w:t>
      </w:r>
      <w:r>
        <w:fldChar w:fldCharType="end"/>
      </w:r>
      <w:r>
        <w:t xml:space="preserve">). The evidence for this is largely derived from studies in macrophages that lack SOCS function via targeted deletions of these genes. For example, in SOCS2-deficient mice macrophages display increased levels of IFN-γ, TNF-α and IL-1β in response to LPS stimulation </w:t>
      </w:r>
      <w:r>
        <w:fldChar w:fldCharType="begin"/>
      </w:r>
      <w:r w:rsidR="000A209C">
        <w:instrText xml:space="preserve"> ADDIN ZOTERO_ITEM CSL_CITATION {"citationID":"wt41RGCf","properties":{"formattedCitation":"(486)","plainCitation":"(486)","noteIndex":0},"citationItems":[{"id":55,"uris":["http://zotero.org/users/952979/items/7JZSBQNN"],"uri":["http://zotero.org/users/952979/items/7JZSBQNN"],"itemData":{"id":55,"type":"article-journal","title":"SOCS2 deletion protects against hepatic steatosis but worsens insulin resistance in high-fat-diet-fed mice","container-title":"FASEB journal: official publication of the Federation of American Societies for Experimental Biology","page":"3282-3291","volume":"26","issue":"8","source":"PubMed","abstract":"Hepatic steatosis is a prominent feature in patients with growth hormone (GH) deficiency. The ubiquitin ligase SOCS2 attenuates hepatic GH signaling by inhibiting the Janus kinase 2 (JAK2)-signal transducer and activator of transcription 5b (STAT5b) axis. Here, we investigated the role of SOCS2 in the development of diet-induced hepatic steatosis and insulin resistance. SOCS2-knockout (SOCS2(-/-)) mice and wild-type littermates were fed for 4 mo with control or high-fat diet, followed by assessment of insulin sensitivity, hepatic lipid content, and expression of inflammatory cytokines. SOCS2(-/-) mice exhibited increased hepatic TG secretion by 77.6% (P&lt;0.001) as compared with wild-type control mice and were protected from high-fat-diet (HFD)-induced hepatic steatosis, showing 49.3% (P&lt;0.01) reduction in liver TG levels compared to HFD-fed wild-type littermates. In contrast, we found that HFD-triggered attenuation of systemic insulin sensitivity was more marked in SOCS2(-/-) mice. Livers from the HFD-fed SOCS2(-/-) mice showed increased NF-κB activity as well as elevated expression of genes for the inflammatory cytokines IFN-γ and IL-6. An inhibitory role of SOCS2 on Toll-like receptor 4 signaling was demonstrated in macrophages obtained from the SOCS2(-/-) and wild-type mice. This study identified SOCS2 as an important regulator of hepatic homeostasis under conditions of high-fat dietary stress.","DOI":"10.1096/fj.12-205583","ISSN":"1530-6860","note":"PMID: 22562833","journalAbbreviation":"FASEB J.","language":"eng","author":[{"family":"Zadjali","given":"Fahad"},{"family":"Santana-Farre","given":"Ruyman"},{"family":"Vesterlund","given":"Mattias"},{"family":"Carow","given":"Berit"},{"family":"Mirecki-Garrido","given":"Mercedes"},{"family":"Hernandez-Hernandez","given":"Irene"},{"family":"Flodström-Tullberg","given":"Malin"},{"family":"Parini","given":"Paolo"},{"family":"Rottenberg","given":"Martin"},{"family":"Norstedt","given":"Gunnar"},{"family":"Fernandez-Perez","given":"Leandro"},{"family":"Flores-Morales","given":"Amilcar"}],"issued":{"date-parts":[["2012",8]]}}}],"schema":"https://github.com/citation-style-language/schema/raw/master/csl-citation.json"} </w:instrText>
      </w:r>
      <w:r>
        <w:fldChar w:fldCharType="separate"/>
      </w:r>
      <w:r w:rsidR="003902A3" w:rsidRPr="003902A3">
        <w:rPr>
          <w:rFonts w:ascii="Calibri" w:hAnsi="Calibri"/>
        </w:rPr>
        <w:t>(486)</w:t>
      </w:r>
      <w:r>
        <w:fldChar w:fldCharType="end"/>
      </w:r>
      <w:r>
        <w:t xml:space="preserve">. This data revealed SOCS2 as a negative regulator of TLR-driven macrophage activation. In contrast, SOCS3 appears to be important in M1 macrophage polarisation: when SOCS3 is reduced in both humans and rodents, macrophages display anti-inflammatory characteristics </w:t>
      </w:r>
      <w:r>
        <w:fldChar w:fldCharType="begin"/>
      </w:r>
      <w:r w:rsidR="000A209C">
        <w:instrText xml:space="preserve"> ADDIN ZOTERO_ITEM CSL_CITATION {"citationID":"HuZcAPqy","properties":{"formattedCitation":"(487,488)","plainCitation":"(487,488)","noteIndex":0},"citationItems":[{"id":54,"uris":["http://zotero.org/users/952979/items/URK5SSKI"],"uri":["http://zotero.org/users/952979/items/URK5SSKI"],"itemData":{"id":54,"type":"article-journal","title":"Unique expression of suppressor of cytokine signaling 3 is essential for classical macrophage activation in rodents in vitro and in vivo","container-title":"Journal of Immunology (Baltimore, Md.: 1950)","page":"6270-6278","volume":"180","issue":"9","source":"PubMed","abstract":"On infiltrating inflamed tissue, macrophages respond to the local microenvironment and develop one of two broad phenotypes: classically activated (M1) macrophages that cause tissue injury and alternatively activated macrophages that promote repair. Understanding how this polarization occurs in vivo is far from complete, and in this study, using a Th1-mediated macrophage-dependent model of acute glomerulonephritis, nephrotoxic nephritis, we examine the role of suppressor of cytokine signaling (SOCS)1 and SOCS3. Macrophages in normal kidneys did not express detectable SOCS proteins but those infiltrating inflamed glomeruli were rapidly polarized to express either SOCS1 (27 +/- 6%) or SOCS3 (54 +/- 12%) but rarely both (10 +/- 3%). Rat bone marrow-derived macrophages incubated with IFN-gamma or LPS expressed SOCS1 and SOCS3, whereas IL-4 stimulated macrophages expressed SOCS1 exclusively. By contrast, incubation with IFN-gamma and LPS together suppressed SOCS1 while uniquely polarizing macrophages to SOCS3 expressing cells. Macrophages in which SOCS3 was knocked down by short interfering RNA responded to IFN-gamma and LPS very differently: they had enhanced STAT3 activity; induction of macrophage mannose receptor, arginase and SOCS1; restoration of IL-4 responsiveness that is inhibited in M1 macrophages; and decreased synthesis of inflammatory mediators (NO and IL-6) and costimulatory molecule CD86, demonstrating that SOCS3 is essential for M1 activation. Without it, macrophages develop characteristic alternatively activated markers when exposed to classical activating stimuli. Lastly, increased glomerular IL-4 in nephrotoxic nephritis inhibits infiltrating macrophages from expressing SOCS3 and was associated with attenuated glomerular injury. Consequently, we propose that SOCS3 is essential for development of M1 macrophages in vitro and in vivo.","ISSN":"0022-1767","note":"PMID: 18424750","journalAbbreviation":"J. Immunol.","language":"eng","author":[{"family":"Liu","given":"Yu"},{"family":"Stewart","given":"Keith N."},{"family":"Bishop","given":"Eileen"},{"family":"Marek","given":"Carylyn J."},{"family":"Kluth","given":"David C."},{"family":"Rees","given":"Andrew J."},{"family":"Wilson","given":"Heather M."}],"issued":{"date-parts":[["2008",5,1]]}}},{"id":53,"uris":["http://zotero.org/users/952979/items/CHIJXH3P"],"uri":["http://zotero.org/users/952979/items/CHIJXH3P"],"itemData":{"id":53,"type":"article-journal","title":"A critical role for suppressor of cytokine signalling 3 in promoting M1 macrophage activation and function in vitro and in vivo","container-title":"Immunology","page":"96-110","volume":"141","issue":"1","source":"PubMed","abstract":"Macrophages respond to their microenvironment and develop polarized functions critical for orchestrating appropriate inflammatory responses. Classical (M1) activation eliminates pathogens while alternative (M2) activation promotes regulation and repair. M1 macrophage activation is strongly associated with suppressor of cytokine signalling 3 (SOCS3) expression in vitro, but the functional consequences of this are unclear and the role of SOCS3 in M1-macrophage polarization in vivo remains controversial. To address these questions, we defined the characteristics and function of SOCS3-expressing macrophages in vivo and identified potential mechanisms of SOCS3 action. Macrophages infiltrating inflamed glomeruli in a model of acute nephritis show significant up-regulation of SOCS3 that co-localizes with the M1-activation marker, inducible nitric oxide synthase. Numbers of SOCS3(hi) -expressing, but not SOCS1(hi) -expressing, macrophages correlate strongly with the severity of renal injury, supporting their inflammatory role in vivo. Adoptive transfer of SOCS3-short interfering RNA-silenced macrophages into a peritonitis model demonstrated the importance of SOCS3 in driving production of pro-inflammatory IL-6 and nitric oxide, while curtailing expression of anti-inflammatory IL-10 and SOCS1. SOCS3-induced pro-inflammatory effects were due, at least in part, to its role in controlling activation and nuclear accumulation of nuclear factor-κB and activity of phosphatidylinositol 3-kinase. We show for the first time that SOCS3 also directs the functions of human monocyte-derived macrophages, including efficient M1-induced cytokine production (IL-1β, IL-6, IL-23, IL-12), attenuated signal transducer and activator of transcription 3 activity and ability of antigen-loaded macrophages to drive T-cell responses. Hence, M1-associated SOCS3 was a positive regulator of pro-inflammatory responses in our rodent models and up-regulated SOCS3 is essential for effective M1-macrophage activation and function in human macrophages.","DOI":"10.1111/imm.12173","ISSN":"1365-2567","note":"PMID: 24088176\nPMCID: PMC3893853","journalAbbreviation":"Immunology","language":"eng","author":[{"family":"Arnold","given":"Christina E."},{"family":"Whyte","given":"Claire S."},{"family":"Gordon","given":"Peter"},{"family":"Barker","given":"Robert N."},{"family":"Rees","given":"Andrew J."},{"family":"Wilson","given":"Heather M."}],"issued":{"date-parts":[["2014",1]]}}}],"schema":"https://github.com/citation-style-language/schema/raw/master/csl-citation.json"} </w:instrText>
      </w:r>
      <w:r>
        <w:fldChar w:fldCharType="separate"/>
      </w:r>
      <w:r w:rsidR="003902A3" w:rsidRPr="003902A3">
        <w:rPr>
          <w:rFonts w:ascii="Calibri" w:hAnsi="Calibri"/>
        </w:rPr>
        <w:t>(487,488)</w:t>
      </w:r>
      <w:r>
        <w:fldChar w:fldCharType="end"/>
      </w:r>
      <w:r>
        <w:t xml:space="preserve">.  The pro-inflammatory functions of SOCS3 may be due to its binding and inhibition of gp130-related cytokine receptors. In SOCS3-deficient </w:t>
      </w:r>
      <w:r>
        <w:lastRenderedPageBreak/>
        <w:t xml:space="preserve">macrophages, stimulation with IL-6 results in prolonged phosphorylation of STAT3, abrogating IL-6 induced STAT1-mediated pro-inflammatory genes </w:t>
      </w:r>
      <w:r>
        <w:fldChar w:fldCharType="begin"/>
      </w:r>
      <w:r w:rsidR="000A209C">
        <w:instrText xml:space="preserve"> ADDIN ZOTERO_ITEM CSL_CITATION {"citationID":"FswFIOfl","properties":{"formattedCitation":"(489)","plainCitation":"(489)","noteIndex":0},"citationItems":[{"id":52,"uris":["http://zotero.org/users/952979/items/ZEJPUVS2"],"uri":["http://zotero.org/users/952979/items/ZEJPUVS2"],"itemData":{"id":52,"type":"article-journal","title":"SOCS3 regulates the plasticity of gp130 signaling","container-title":"Nature Immunology","page":"546-550","volume":"4","issue":"6","source":"www-nature-com.sheffield.idm.oclc.org","abstract":"Suppressor of cytokine signaling (SOCS) proteins are feedback inhibitors of the Janus kinase (JAK) and signal transducer and activator of transcription (STAT) signaling pathway. SOCS3 is upregulated by several signals in macrophages and has been implicated as a regulator of various signaling pathways. Here we show that phosphorylation of STAT3 is prolonged in mouse Socs3-deficient macrophages after stimulation with interleukin-6 (IL-6) but not IL-10, indicating that SOCS3 specifically affects signaling mediated by IL-6 and gp130. IL-6 induces a wider transcriptional response in Socs3-deficient macrophages than in wild-type cells; this response is dominated by interferon (IFN)-regulated genes owing to an excess of STAT1 phosphorylation. Thus, SOCS3 functions to control the quality of the response to IL-6 and prevents the activation of an IFN-induced program of gene expression.","DOI":"10.1038/ni932","ISSN":"1529-2916","language":"en","author":[{"family":"Lang","given":"Roland"},{"family":"Pauleau","given":"Anne-Laure"},{"family":"Parganas","given":"Evan"},{"family":"Takahashi","given":"Yutaka"},{"family":"Mages","given":"Jörg"},{"family":"Ihle","given":"James N."},{"family":"Rutschman","given":"Robert"},{"family":"Murray","given":"Peter J."}],"issued":{"date-parts":[["2003",6]]}}}],"schema":"https://github.com/citation-style-language/schema/raw/master/csl-citation.json"} </w:instrText>
      </w:r>
      <w:r>
        <w:fldChar w:fldCharType="separate"/>
      </w:r>
      <w:r w:rsidR="003902A3" w:rsidRPr="003902A3">
        <w:rPr>
          <w:rFonts w:ascii="Calibri" w:hAnsi="Calibri"/>
        </w:rPr>
        <w:t>(489)</w:t>
      </w:r>
      <w:r>
        <w:fldChar w:fldCharType="end"/>
      </w:r>
      <w:r>
        <w:t xml:space="preserve">. </w:t>
      </w:r>
    </w:p>
    <w:p w14:paraId="00BA6CFD" w14:textId="77777777" w:rsidR="00A92BC4" w:rsidRDefault="00A92BC4" w:rsidP="00A92BC4">
      <w:pPr>
        <w:pStyle w:val="Thesisnormal"/>
      </w:pPr>
    </w:p>
    <w:p w14:paraId="0AF3D006" w14:textId="77777777" w:rsidR="00A92BC4" w:rsidRDefault="00A92BC4" w:rsidP="00A92BC4">
      <w:pPr>
        <w:pStyle w:val="Thesisnormal"/>
      </w:pPr>
      <w:r>
        <w:rPr>
          <w:noProof/>
          <w:lang w:eastAsia="en-GB"/>
        </w:rPr>
        <w:drawing>
          <wp:inline distT="0" distB="0" distL="0" distR="0" wp14:anchorId="03DAE498" wp14:editId="3869524F">
            <wp:extent cx="5324475" cy="5578107"/>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gabyte\Dropbox\PhD\Writing\Thesis\Chapter 5 JAK STAT signalling in the embryo\Figures\JAK STAT fig 3 M1 M2 polarising.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353" b="16540"/>
                    <a:stretch/>
                  </pic:blipFill>
                  <pic:spPr bwMode="auto">
                    <a:xfrm>
                      <a:off x="0" y="0"/>
                      <a:ext cx="5330788" cy="5584720"/>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802CCE" w14:textId="77777777" w:rsidR="00A92BC4" w:rsidRPr="00206EC1" w:rsidRDefault="00A92BC4" w:rsidP="00A92BC4">
      <w:pPr>
        <w:pStyle w:val="NoSpacing"/>
        <w:rPr>
          <w:b/>
        </w:rPr>
      </w:pPr>
      <w:r w:rsidRPr="00206EC1">
        <w:rPr>
          <w:b/>
        </w:rPr>
        <w:t>Figure 5.</w:t>
      </w:r>
      <w:r>
        <w:rPr>
          <w:b/>
        </w:rPr>
        <w:t>2</w:t>
      </w:r>
      <w:r w:rsidRPr="00206EC1">
        <w:rPr>
          <w:b/>
        </w:rPr>
        <w:t xml:space="preserve"> JAK/STAT signalling </w:t>
      </w:r>
      <w:r>
        <w:rPr>
          <w:b/>
        </w:rPr>
        <w:t xml:space="preserve">in macrophage polarisation </w:t>
      </w:r>
    </w:p>
    <w:p w14:paraId="3E43A9C6" w14:textId="77777777" w:rsidR="00A92BC4" w:rsidRPr="00593C84" w:rsidRDefault="00A92BC4" w:rsidP="00A92BC4">
      <w:pPr>
        <w:pStyle w:val="NoSpacing"/>
      </w:pPr>
      <w:r>
        <w:t xml:space="preserve">JAK/STAT signalling in mammalian cells is comprised of multiple JAKs and STATs. Binding of a ligand results in the phosphorylation of JAK which in turn phosphorylates STAT. Phosphorylation of STAT causes dimerization and translocation to the nucleus where it binds DNA and activates transcription. Pro-inflammatory cytokines, such as IFN and LPS, signal through STAT1 and STAT2 via JAK1/JAK2 to activate pro-inflammatory genes. Anti-inflammatory cytokines, such as IL-10 and IL-4, signal through STAT3 and STAT6 via JAK1/JAK3 to activate anti-inflammatory genes.    </w:t>
      </w:r>
    </w:p>
    <w:p w14:paraId="44D4E54D" w14:textId="77777777" w:rsidR="00A92BC4" w:rsidRDefault="00A92BC4" w:rsidP="00A92BC4">
      <w:pPr>
        <w:pStyle w:val="Thesisnormal"/>
      </w:pPr>
    </w:p>
    <w:p w14:paraId="223B2089" w14:textId="77777777" w:rsidR="00A92BC4" w:rsidRDefault="00A92BC4" w:rsidP="00A92BC4">
      <w:pPr>
        <w:pStyle w:val="Thesisnormal"/>
      </w:pPr>
    </w:p>
    <w:p w14:paraId="515BDAA5" w14:textId="3FB860A5" w:rsidR="00A92BC4" w:rsidRDefault="00A92BC4" w:rsidP="00A92BC4">
      <w:pPr>
        <w:pStyle w:val="Thesisnormal"/>
      </w:pPr>
      <w:bookmarkStart w:id="210" w:name="_Toc515560584"/>
      <w:r>
        <w:lastRenderedPageBreak/>
        <w:t xml:space="preserve">We wished to investigate the role of JAK/STAT signalling in embryonic hemocytes. As discussed, JAK/STAT has important roles in macrophage polarisation and function. In </w:t>
      </w:r>
      <w:r w:rsidRPr="00A510B5">
        <w:rPr>
          <w:i/>
        </w:rPr>
        <w:t>Drosophila</w:t>
      </w:r>
      <w:r>
        <w:t xml:space="preserve">, JAK/STAT signalling has been shown to function in the immune response of larvae. In particular, JAK/STAT appears to have crucial roles in the differentiation of lamellocytes (and therefore activation of plasmatocytes) and in the recruitment/response of hemocytes to sites of injury </w:t>
      </w:r>
      <w:r>
        <w:fldChar w:fldCharType="begin"/>
      </w:r>
      <w:r w:rsidR="000A209C">
        <w:instrText xml:space="preserve"> ADDIN ZOTERO_ITEM CSL_CITATION {"citationID":"5nPlvbI6","properties":{"formattedCitation":"(249,250,466)","plainCitation":"(249,250,466)","noteIndex":0},"citationItems":[{"id":72,"uris":["http://zotero.org/users/952979/items/W8CSBXSU"],"uri":["http://zotero.org/users/952979/items/W8CSBXSU"],"itemData":{"id":72,"type":"article-journal","title":"Characterization of a dominant-active STAT that promotes tumorigenesis in Drosophila","container-title":"Developmental Biology","page":"621-636","volume":"344","issue":"2","source":"PubMed","abstract":"Little is known about the molecular mechanisms by which STAT proteins promote tumorigenesis. Drosophila is an ideal system for investigating this issue, as there is a single STAT (Stat92E), and its hyperactivation causes overgrowths resembling human tumors. Here we report the first identification of a dominant-active Stat92E protein, Stat92E(DeltaNDeltaC), which lacks both N- and C-termini. Mis-expression of Stat92E(DeltaNDeltaC)in vivo causes melanotic tumors, while in vitro it transactivates a Stat92E-luciferase reporter in the absence of stimulation. These gain-of-function phenotypes require phosphorylation of Y(711) and dimer formation with full-length Stat92E. Furthermore, a single point mutation, an R(442P) substitution in the DNA-binding domain, abolishes Stat92E function. Recombinant Stat92E(R442P) translocates to the nucleus following activation but fails to function in all assays tested. Interestingly, R(442) is conserved in most STATs in higher organisms, suggesting conservation of function. Modeling of Stat92E indicates that R(442) may contact the minor groove of DNA via invariant TC bases in the consensus binding element bound by all STAT proteins. We conclude that the N- and C- termini function unexpectedly in negatively regulating Stat92E activity, possibly by decreasing dimer dephosphorylation or increasing stability of DNA interaction, and that Stat92E(R442) has a nuclear function by altering dimer:DNA binding.","DOI":"10.1016/j.ydbio.2010.05.497","ISSN":"1095-564X","note":"PMID: 20501334\nPMCID: PMC2914209","journalAbbreviation":"Dev. Biol.","language":"eng","author":[{"family":"Ekas","given":"Laura A."},{"family":"Cardozo","given":"Timothy J."},{"family":"Flaherty","given":"Maria Sol"},{"family":"McMillan","given":"Elizabeth A."},{"family":"Gonsalves","given":"Foster C."},{"family":"Bach","given":"Erika A."}],"issued":{"date-parts":[["2010",8,15]]}}},{"id":1463,"uris":["http://zotero.org/users/952979/items/KITKEA2I"],"uri":["http://zotero.org/users/952979/items/KITKEA2I"],"itemData":{"id":1463,"type":"article-journal","title":"An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id":1469,"uris":["http://zotero.org/users/952979/items/57JGAX4E"],"uri":["http://zotero.org/users/952979/items/57JGAX4E"],"itemData":{"id":1469,"type":"article-journal","title":"Signaling role of hemocytes in Drosophila JAK/STAT-dependent response to septic injury","container-title":"Developmental Cell","page":"441-450","volume":"5","issue":"3","source":"PubMed","abstract":"To characterize the features of JAK/STAT signaling in Drosophila immune response, we have identified totA as a gene that is regulated by the JAK/STAT pathway in response to septic injury. We show that septic injury triggers the hemocyte-specific expression of upd3, a gene encoding a novel Upd-like cytokine that is necessary for the JAK/STAT-dependent activation of totA in the Drosophila counterpart of the mammalian liver, the fat body. In addition, we demonstrate that totA activation also requires the NF-KB-like Relish pathway, indicating that fat body cells integrate the activity of NF-KB and JAK/STAT signaling pathways upon immune response. This study reveals that, in addition to the pattern recognition receptor-mediated NF-KB-dependent immune response, Drosophila undergoes a complex systemic response that is mediated by the production of cytokines in blood cells, a process that is similar to the acute phase response in mammals.","ISSN":"1534-5807","note":"PMID: 12967563","journalAbbreviation":"Dev. Cell","language":"eng","author":[{"family":"Agaisse","given":"Hervé"},{"family":"Petersen","given":"Ulla Maja"},{"family":"Boutros","given":"Michael"},{"family":"Mathey-Prevot","given":"Bernard"},{"family":"Perrimon","given":"Norbert"}],"issued":{"date-parts":[["2003",9]]}}}],"schema":"https://github.com/citation-style-language/schema/raw/master/csl-citation.json"} </w:instrText>
      </w:r>
      <w:r>
        <w:fldChar w:fldCharType="separate"/>
      </w:r>
      <w:r w:rsidR="004A1963" w:rsidRPr="004A1963">
        <w:rPr>
          <w:rFonts w:ascii="Calibri" w:hAnsi="Calibri"/>
        </w:rPr>
        <w:t>(249,250,466)</w:t>
      </w:r>
      <w:r>
        <w:fldChar w:fldCharType="end"/>
      </w:r>
      <w:r>
        <w:t xml:space="preserve">. However, limited investigation into this pathway has occurred in the embryo. We therefore focussed on hemocyte responses to wounding to determine the role of JAK/STAT signalling in embryonic hemocytes. </w:t>
      </w:r>
    </w:p>
    <w:p w14:paraId="4BDFD298" w14:textId="77777777" w:rsidR="00A92BC4" w:rsidRPr="00A510B5" w:rsidRDefault="00A92BC4" w:rsidP="00A92BC4">
      <w:pPr>
        <w:spacing w:after="200" w:line="276" w:lineRule="auto"/>
      </w:pPr>
    </w:p>
    <w:p w14:paraId="649EE536" w14:textId="77777777" w:rsidR="00A92BC4" w:rsidRDefault="00A92BC4" w:rsidP="00A92BC4">
      <w:pPr>
        <w:pStyle w:val="Heading2"/>
      </w:pPr>
      <w:bookmarkStart w:id="211" w:name="_Toc4589371"/>
      <w:r>
        <w:t>5.2 Results</w:t>
      </w:r>
      <w:bookmarkEnd w:id="210"/>
      <w:bookmarkEnd w:id="211"/>
    </w:p>
    <w:p w14:paraId="3ECC3A35" w14:textId="77777777" w:rsidR="00A92BC4" w:rsidRDefault="00A92BC4" w:rsidP="00A92BC4">
      <w:pPr>
        <w:pStyle w:val="Thesisnormal"/>
      </w:pPr>
    </w:p>
    <w:p w14:paraId="3BE1EB2E" w14:textId="77777777" w:rsidR="00A92BC4" w:rsidRDefault="00A92BC4" w:rsidP="00A92BC4">
      <w:pPr>
        <w:pStyle w:val="Heading3"/>
      </w:pPr>
      <w:bookmarkStart w:id="212" w:name="_Toc515560588"/>
      <w:bookmarkStart w:id="213" w:name="_Toc4589372"/>
      <w:r>
        <w:t>5</w:t>
      </w:r>
      <w:r w:rsidRPr="002D59A3">
        <w:t>.2.</w:t>
      </w:r>
      <w:r>
        <w:t>1</w:t>
      </w:r>
      <w:r w:rsidRPr="002D59A3">
        <w:t xml:space="preserve"> </w:t>
      </w:r>
      <w:bookmarkEnd w:id="212"/>
      <w:r>
        <w:t>Embryos with mutations in Upd demonstrate increased responses to pro-inflammatory wounding</w:t>
      </w:r>
      <w:bookmarkEnd w:id="213"/>
    </w:p>
    <w:p w14:paraId="65081B13" w14:textId="77777777" w:rsidR="00A92BC4" w:rsidRDefault="00A92BC4" w:rsidP="00A92BC4">
      <w:pPr>
        <w:pStyle w:val="Thesisnormal"/>
      </w:pPr>
    </w:p>
    <w:p w14:paraId="0303A02B" w14:textId="12B16460" w:rsidR="00A92BC4" w:rsidRPr="00044477" w:rsidRDefault="00A92BC4" w:rsidP="00A92BC4">
      <w:pPr>
        <w:pStyle w:val="Thesisnormal"/>
        <w:rPr>
          <w:vertAlign w:val="superscript"/>
        </w:rPr>
      </w:pPr>
      <w:r>
        <w:t xml:space="preserve">To investigate the role of JAK/STAT signalling in hemocyte function in the embryo, we first focused on the role of the Upd ligands. We utilised two mutations in </w:t>
      </w:r>
      <w:r w:rsidRPr="00F807F1">
        <w:rPr>
          <w:i/>
        </w:rPr>
        <w:t>Upd</w:t>
      </w:r>
      <w:r>
        <w:t xml:space="preserve"> to reduce signalling mediated by this ligand; </w:t>
      </w:r>
      <w:r w:rsidRPr="00F807F1">
        <w:rPr>
          <w:i/>
        </w:rPr>
        <w:t>Upd</w:t>
      </w:r>
      <w:r w:rsidRPr="00F807F1">
        <w:rPr>
          <w:i/>
          <w:vertAlign w:val="superscript"/>
        </w:rPr>
        <w:t>YM55</w:t>
      </w:r>
      <w:r>
        <w:t xml:space="preserve"> (which contains point mutations) and </w:t>
      </w:r>
      <w:r w:rsidRPr="00F807F1">
        <w:rPr>
          <w:i/>
        </w:rPr>
        <w:t>Upd</w:t>
      </w:r>
      <w:r w:rsidRPr="00F807F1">
        <w:rPr>
          <w:i/>
          <w:vertAlign w:val="superscript"/>
        </w:rPr>
        <w:t>OS1A</w:t>
      </w:r>
      <w:r>
        <w:t xml:space="preserve"> (which is a larger chromosomal deletion) </w:t>
      </w:r>
      <w:r>
        <w:fldChar w:fldCharType="begin"/>
      </w:r>
      <w:r w:rsidR="000A209C">
        <w:instrText xml:space="preserve"> ADDIN ZOTERO_ITEM CSL_CITATION {"citationID":"tYZ4V1BC","properties":{"formattedCitation":"(311)","plainCitation":"(311)","noteIndex":0},"citationItems":[{"id":1773,"uris":["http://zotero.org/users/952979/items/FYVPZJY7"],"uri":["http://zotero.org/users/952979/items/FYVPZJY7"],"itemData":{"id":1773,"type":"article-journal","title":"Genetic and Developmental Analysis of Polytene Section 17 of the X Chromosome of Drosophila Melanogaster","container-title":"Genetics","page":"569-583","volume":"130","issue":"3","source":"PubMed Central","abstract":"Polytene section 17 of the X chromosome of Drosophila melanogaster, previously known to contain six putative lethal complementation groups important in oogenesis and embryogenesis, has here been further characterized genetically and developmentally. We constructed fcl(+)Y, a duplication of this region, which allowed us to conduct mutagenesis screens specific for the region and to perform complementation analyses (previously not possible). We recovered 67 new lethal mutations which defined 15 complementation groups within Df(1)N19 which deletes most of polytene section 17. The zygotic lethal phenotypes of these and preexisting mutations within polytene section 17 were examined, and their maternal requirements were analysed in homozygous germline clones using the dominant female sterile technique. We present evidence that an additional gene, which produces two developmentally regulated transcripts, is located in this region and is involved in embryogenesis, although no mutations in this gene were identified. In this interval of 37 to 43 polytene chromosome bands we have defined 17 genes, 12 (71%) of which are of significance to oogenesis or embryogenesis.","ISSN":"0016-6731","note":"PMID: 1551578\nPMCID: PMC1204874","journalAbbreviation":"Genetics","author":[{"family":"Eberl","given":"D. F."},{"family":"Perkins","given":"L. A."},{"family":"Engelstein","given":"M."},{"family":"Hilliker","given":"A. J."},{"family":"Perrimon","given":"N."}],"issued":{"date-parts":[["1992",3]]}}}],"schema":"https://github.com/citation-style-language/schema/raw/master/csl-citation.json"} </w:instrText>
      </w:r>
      <w:r>
        <w:fldChar w:fldCharType="separate"/>
      </w:r>
      <w:r w:rsidR="004A1963" w:rsidRPr="004A1963">
        <w:rPr>
          <w:rFonts w:ascii="Calibri" w:hAnsi="Calibri"/>
        </w:rPr>
        <w:t>(311)</w:t>
      </w:r>
      <w:r>
        <w:fldChar w:fldCharType="end"/>
      </w:r>
      <w:r>
        <w:t xml:space="preserve">. We wounded embryos containing loss-of-function </w:t>
      </w:r>
      <w:r w:rsidRPr="00F807F1">
        <w:rPr>
          <w:i/>
        </w:rPr>
        <w:t>Upd</w:t>
      </w:r>
      <w:r>
        <w:t xml:space="preserve"> alleles (</w:t>
      </w:r>
      <w:r w:rsidRPr="000121DD">
        <w:rPr>
          <w:i/>
        </w:rPr>
        <w:t>Upd</w:t>
      </w:r>
      <w:r w:rsidRPr="000121DD">
        <w:rPr>
          <w:i/>
          <w:vertAlign w:val="superscript"/>
        </w:rPr>
        <w:t>YM55</w:t>
      </w:r>
      <w:r>
        <w:rPr>
          <w:i/>
        </w:rPr>
        <w:t>/</w:t>
      </w:r>
      <w:proofErr w:type="gramStart"/>
      <w:r>
        <w:rPr>
          <w:i/>
        </w:rPr>
        <w:t>Y;</w:t>
      </w:r>
      <w:r w:rsidRPr="000121DD">
        <w:rPr>
          <w:i/>
        </w:rPr>
        <w:t>Srp</w:t>
      </w:r>
      <w:proofErr w:type="gramEnd"/>
      <w:r>
        <w:rPr>
          <w:i/>
        </w:rPr>
        <w:t>-GAL4,UAS-GFP/+;Crq-GAL4,UAS-</w:t>
      </w:r>
      <w:r w:rsidRPr="000121DD">
        <w:rPr>
          <w:i/>
        </w:rPr>
        <w:t>GFP/+</w:t>
      </w:r>
      <w:r>
        <w:t xml:space="preserve"> and </w:t>
      </w:r>
      <w:r w:rsidRPr="000121DD">
        <w:rPr>
          <w:i/>
        </w:rPr>
        <w:t>Upd</w:t>
      </w:r>
      <w:r w:rsidRPr="000121DD">
        <w:rPr>
          <w:i/>
          <w:vertAlign w:val="superscript"/>
        </w:rPr>
        <w:t>OS1A</w:t>
      </w:r>
      <w:r w:rsidRPr="000121DD">
        <w:rPr>
          <w:i/>
        </w:rPr>
        <w:t>/Y; Srp</w:t>
      </w:r>
      <w:r>
        <w:rPr>
          <w:i/>
        </w:rPr>
        <w:t>-GAL4,UAS-GFP/+;Crq-GAL4,UAS-</w:t>
      </w:r>
      <w:r w:rsidRPr="000121DD">
        <w:rPr>
          <w:i/>
        </w:rPr>
        <w:t>GFP/+</w:t>
      </w:r>
      <w:r>
        <w:t>) and quantified the number of hemocytes responding to wounding (Fig 5.3 A-A’). We found that there was no difference in the number of hemocytes on the ventral midline prior to wounding (Fig 5.3B). Following wounding, we observed a significant increase in the number of hemocytes per μm</w:t>
      </w:r>
      <w:r>
        <w:rPr>
          <w:vertAlign w:val="superscript"/>
        </w:rPr>
        <w:t>2</w:t>
      </w:r>
      <w:r>
        <w:t xml:space="preserve"> of wound area in embryos with either Upd allele compared to controls (n=16, 25 and 29 embryos for control, </w:t>
      </w:r>
      <w:r w:rsidRPr="009E3FF6">
        <w:rPr>
          <w:i/>
        </w:rPr>
        <w:t>Upd</w:t>
      </w:r>
      <w:r w:rsidRPr="009E3FF6">
        <w:rPr>
          <w:i/>
          <w:vertAlign w:val="superscript"/>
        </w:rPr>
        <w:t>YM55</w:t>
      </w:r>
      <w:r>
        <w:t xml:space="preserve"> and </w:t>
      </w:r>
      <w:r w:rsidRPr="009E3FF6">
        <w:rPr>
          <w:i/>
        </w:rPr>
        <w:t>Upd</w:t>
      </w:r>
      <w:r w:rsidRPr="009E3FF6">
        <w:rPr>
          <w:i/>
          <w:vertAlign w:val="superscript"/>
        </w:rPr>
        <w:t>OS1A</w:t>
      </w:r>
      <w:r w:rsidRPr="00F807F1">
        <w:t>,</w:t>
      </w:r>
      <w:r>
        <w:t xml:space="preserve"> </w:t>
      </w:r>
      <w:r w:rsidRPr="004D42AD">
        <w:t>respectively</w:t>
      </w:r>
      <w:r>
        <w:t xml:space="preserve">; p&lt;0.05 and &lt;0.01 via Student’s t-test for </w:t>
      </w:r>
      <w:r w:rsidRPr="009E3FF6">
        <w:rPr>
          <w:i/>
        </w:rPr>
        <w:t>Upd</w:t>
      </w:r>
      <w:r w:rsidRPr="009E3FF6">
        <w:rPr>
          <w:i/>
          <w:vertAlign w:val="superscript"/>
        </w:rPr>
        <w:t>YM55</w:t>
      </w:r>
      <w:r>
        <w:t xml:space="preserve"> and </w:t>
      </w:r>
      <w:r w:rsidRPr="009E3FF6">
        <w:rPr>
          <w:i/>
        </w:rPr>
        <w:t>Upd</w:t>
      </w:r>
      <w:r w:rsidRPr="009E3FF6">
        <w:rPr>
          <w:i/>
          <w:vertAlign w:val="superscript"/>
        </w:rPr>
        <w:t>OS1A</w:t>
      </w:r>
      <w:r w:rsidRPr="00F807F1">
        <w:t xml:space="preserve">, </w:t>
      </w:r>
      <w:r w:rsidRPr="004D42AD">
        <w:t>respectively</w:t>
      </w:r>
      <w:r>
        <w:t xml:space="preserve">; Fig 5.3C). The observed responses were stronger with the </w:t>
      </w:r>
      <w:r w:rsidRPr="009E3FF6">
        <w:rPr>
          <w:i/>
        </w:rPr>
        <w:t>Upd</w:t>
      </w:r>
      <w:r w:rsidRPr="009E3FF6">
        <w:rPr>
          <w:i/>
          <w:vertAlign w:val="superscript"/>
        </w:rPr>
        <w:t>OS1A</w:t>
      </w:r>
      <w:r>
        <w:t xml:space="preserve"> allele than </w:t>
      </w:r>
      <w:r w:rsidRPr="009E3FF6">
        <w:rPr>
          <w:i/>
        </w:rPr>
        <w:t>Upd</w:t>
      </w:r>
      <w:r w:rsidRPr="009E3FF6">
        <w:rPr>
          <w:i/>
          <w:vertAlign w:val="superscript"/>
        </w:rPr>
        <w:t>YM55</w:t>
      </w:r>
      <w:r>
        <w:t xml:space="preserve">. This data suggests that Upd is anti-inflammatory and required for limiting hemocyte responses to wounding. </w:t>
      </w:r>
    </w:p>
    <w:p w14:paraId="3D243331" w14:textId="77777777" w:rsidR="00A92BC4" w:rsidRDefault="00A92BC4" w:rsidP="00A92BC4">
      <w:pPr>
        <w:pStyle w:val="Thesisnormal"/>
      </w:pPr>
    </w:p>
    <w:p w14:paraId="30CCA0AB" w14:textId="77777777" w:rsidR="00A92BC4" w:rsidRDefault="00A92BC4" w:rsidP="00A92BC4">
      <w:pPr>
        <w:pStyle w:val="Thesisnormal"/>
        <w:rPr>
          <w:noProof/>
          <w:lang w:eastAsia="en-GB"/>
        </w:rPr>
      </w:pPr>
    </w:p>
    <w:p w14:paraId="353C7DA3" w14:textId="77777777" w:rsidR="00A92BC4" w:rsidRDefault="00A92BC4" w:rsidP="00A92BC4">
      <w:pPr>
        <w:pStyle w:val="Thesisnormal"/>
      </w:pPr>
      <w:r>
        <w:rPr>
          <w:noProof/>
          <w:lang w:eastAsia="en-GB"/>
        </w:rPr>
        <w:lastRenderedPageBreak/>
        <w:drawing>
          <wp:inline distT="0" distB="0" distL="0" distR="0" wp14:anchorId="7A7FBB81" wp14:editId="11492BCB">
            <wp:extent cx="6123146" cy="6134100"/>
            <wp:effectExtent l="0" t="0" r="0" b="0"/>
            <wp:docPr id="46" name="Picture 46" descr="D:\Dropbox\PhD\Writing\Thesis\Chapter 5 JAK STAT signalling in the embryo\Figures\Upd mutant wounding fig\Upd mutant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5 JAK STAT signalling in the embryo\Figures\Upd mutant wounding fig\Upd mutant wounding fig.tif"/>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9471"/>
                    <a:stretch/>
                  </pic:blipFill>
                  <pic:spPr bwMode="auto">
                    <a:xfrm>
                      <a:off x="0" y="0"/>
                      <a:ext cx="6129069" cy="6140034"/>
                    </a:xfrm>
                    <a:prstGeom prst="rect">
                      <a:avLst/>
                    </a:prstGeom>
                    <a:noFill/>
                    <a:ln>
                      <a:noFill/>
                    </a:ln>
                    <a:extLst>
                      <a:ext uri="{53640926-AAD7-44D8-BBD7-CCE9431645EC}">
                        <a14:shadowObscured xmlns:a14="http://schemas.microsoft.com/office/drawing/2010/main"/>
                      </a:ext>
                    </a:extLst>
                  </pic:spPr>
                </pic:pic>
              </a:graphicData>
            </a:graphic>
          </wp:inline>
        </w:drawing>
      </w:r>
    </w:p>
    <w:p w14:paraId="6CACB4EC" w14:textId="77777777" w:rsidR="00A92BC4" w:rsidRPr="00465CB9" w:rsidRDefault="00A92BC4" w:rsidP="00A92BC4">
      <w:pPr>
        <w:pStyle w:val="NoSpacing"/>
        <w:rPr>
          <w:b/>
        </w:rPr>
      </w:pPr>
      <w:r>
        <w:rPr>
          <w:b/>
        </w:rPr>
        <w:t>Figure 5</w:t>
      </w:r>
      <w:r w:rsidRPr="00465CB9">
        <w:rPr>
          <w:b/>
        </w:rPr>
        <w:t xml:space="preserve">.3 </w:t>
      </w:r>
      <w:r>
        <w:rPr>
          <w:b/>
        </w:rPr>
        <w:t xml:space="preserve">Loss of </w:t>
      </w:r>
      <w:r w:rsidRPr="00F807F1">
        <w:rPr>
          <w:b/>
          <w:i/>
        </w:rPr>
        <w:t xml:space="preserve">upd </w:t>
      </w:r>
      <w:r>
        <w:rPr>
          <w:b/>
        </w:rPr>
        <w:t>function improves hemocyte responses to injury.</w:t>
      </w:r>
    </w:p>
    <w:p w14:paraId="38A5B25A" w14:textId="385845DB" w:rsidR="00A92BC4" w:rsidRDefault="00A92BC4" w:rsidP="00A92BC4">
      <w:pPr>
        <w:pStyle w:val="NoSpacing"/>
      </w:pPr>
      <w:r>
        <w:t>(A) Representative stills of GFP-labelled hemocytes immediately prior to wounding of controls (</w:t>
      </w:r>
      <w:r>
        <w:rPr>
          <w:i/>
        </w:rPr>
        <w:t>w;</w:t>
      </w:r>
      <w:r w:rsidRPr="000121DD">
        <w:rPr>
          <w:i/>
        </w:rPr>
        <w:t>Srp</w:t>
      </w:r>
      <w:r>
        <w:rPr>
          <w:i/>
        </w:rPr>
        <w:t>-GAL4,UAS-GFP/+;Crq-GAL4,UAS-</w:t>
      </w:r>
      <w:r w:rsidRPr="000121DD">
        <w:rPr>
          <w:i/>
        </w:rPr>
        <w:t>GFP/+</w:t>
      </w:r>
      <w:r>
        <w:t xml:space="preserve">) and </w:t>
      </w:r>
      <w:r w:rsidRPr="00F807F1">
        <w:rPr>
          <w:i/>
        </w:rPr>
        <w:t>Upd</w:t>
      </w:r>
      <w:r w:rsidRPr="00F807F1">
        <w:rPr>
          <w:i/>
          <w:vertAlign w:val="superscript"/>
        </w:rPr>
        <w:t>YM55</w:t>
      </w:r>
      <w:r>
        <w:t xml:space="preserve"> (</w:t>
      </w:r>
      <w:r w:rsidRPr="000121DD">
        <w:rPr>
          <w:i/>
        </w:rPr>
        <w:t>Upd</w:t>
      </w:r>
      <w:r w:rsidRPr="000121DD">
        <w:rPr>
          <w:i/>
          <w:vertAlign w:val="superscript"/>
        </w:rPr>
        <w:t>YM55</w:t>
      </w:r>
      <w:r>
        <w:rPr>
          <w:i/>
        </w:rPr>
        <w:t>/Y;</w:t>
      </w:r>
      <w:r w:rsidRPr="000121DD">
        <w:rPr>
          <w:i/>
        </w:rPr>
        <w:t>Srp</w:t>
      </w:r>
      <w:r>
        <w:rPr>
          <w:i/>
        </w:rPr>
        <w:t>-GAL4,UAS-GFP/+;Crq-GAL4,UAS-</w:t>
      </w:r>
      <w:r w:rsidRPr="000121DD">
        <w:rPr>
          <w:i/>
        </w:rPr>
        <w:t>GFP/+</w:t>
      </w:r>
      <w:r>
        <w:t xml:space="preserve">) and </w:t>
      </w:r>
      <w:r w:rsidRPr="00F807F1">
        <w:rPr>
          <w:i/>
        </w:rPr>
        <w:t>Upd</w:t>
      </w:r>
      <w:r w:rsidRPr="00F807F1">
        <w:rPr>
          <w:i/>
          <w:vertAlign w:val="superscript"/>
        </w:rPr>
        <w:t>OS1A</w:t>
      </w:r>
      <w:r>
        <w:rPr>
          <w:i/>
          <w:vertAlign w:val="superscript"/>
        </w:rPr>
        <w:t xml:space="preserve"> </w:t>
      </w:r>
      <w:r>
        <w:t>(</w:t>
      </w:r>
      <w:r w:rsidRPr="000121DD">
        <w:rPr>
          <w:i/>
        </w:rPr>
        <w:t>Upd</w:t>
      </w:r>
      <w:r>
        <w:rPr>
          <w:i/>
          <w:vertAlign w:val="superscript"/>
        </w:rPr>
        <w:t>OS1A</w:t>
      </w:r>
      <w:r>
        <w:rPr>
          <w:i/>
        </w:rPr>
        <w:t>/Y;</w:t>
      </w:r>
      <w:r w:rsidRPr="000121DD">
        <w:rPr>
          <w:i/>
        </w:rPr>
        <w:t>Srp</w:t>
      </w:r>
      <w:r>
        <w:rPr>
          <w:i/>
        </w:rPr>
        <w:t>-GAL4,UAS-GFP/+;Crq-GAL4,UAS-</w:t>
      </w:r>
      <w:r w:rsidRPr="000121DD">
        <w:rPr>
          <w:i/>
        </w:rPr>
        <w:t>GFP/+</w:t>
      </w:r>
      <w:r>
        <w:rPr>
          <w:i/>
        </w:rPr>
        <w:t xml:space="preserve">) </w:t>
      </w:r>
      <w:r w:rsidRPr="00F807F1">
        <w:t>mutant embryos</w:t>
      </w:r>
      <w:r>
        <w:t xml:space="preserve"> at stage 15. (A’) Representative stills 60-minute post-wounding in stage 15 embryos. (B) Scatterplot of pre-wound hemocyte numbers. (C) Scatterplot of the hemocyte </w:t>
      </w:r>
      <w:r w:rsidR="00A06D46">
        <w:t>recruitment to wounds</w:t>
      </w:r>
      <w:r>
        <w:t xml:space="preserve"> per embryo (number of hemocytes per μm</w:t>
      </w:r>
      <w:r>
        <w:rPr>
          <w:vertAlign w:val="superscript"/>
        </w:rPr>
        <w:t>2</w:t>
      </w:r>
      <w:r>
        <w:t xml:space="preserve"> of wound area, normalised to control average). Asterisks represent *p&lt;0.5, **p&lt;0.01 via One-way ANOVA with Dunnett’s multiple comparisons test. Lines and error bars represent mean ± SD, n=19, 17 and 11 for control, </w:t>
      </w:r>
      <w:r w:rsidRPr="00F807F1">
        <w:rPr>
          <w:i/>
        </w:rPr>
        <w:t>Upd</w:t>
      </w:r>
      <w:r w:rsidRPr="00F807F1">
        <w:rPr>
          <w:i/>
          <w:vertAlign w:val="superscript"/>
        </w:rPr>
        <w:t>YM55</w:t>
      </w:r>
      <w:r w:rsidRPr="00F807F1">
        <w:rPr>
          <w:i/>
        </w:rPr>
        <w:t xml:space="preserve"> </w:t>
      </w:r>
      <w:r>
        <w:t xml:space="preserve">and </w:t>
      </w:r>
      <w:r w:rsidRPr="00F807F1">
        <w:rPr>
          <w:i/>
        </w:rPr>
        <w:t>Upd</w:t>
      </w:r>
      <w:r w:rsidRPr="00F807F1">
        <w:rPr>
          <w:i/>
          <w:vertAlign w:val="superscript"/>
        </w:rPr>
        <w:t>OS1A</w:t>
      </w:r>
      <w:r>
        <w:t xml:space="preserve"> embryos respectively. White dashed ovals outline wound perimeter. Scale bars represent 20μm.</w:t>
      </w:r>
    </w:p>
    <w:p w14:paraId="47B800D5" w14:textId="77777777" w:rsidR="00A92BC4" w:rsidRDefault="00A92BC4" w:rsidP="00A92BC4">
      <w:pPr>
        <w:pStyle w:val="Thesisnormal"/>
      </w:pPr>
    </w:p>
    <w:p w14:paraId="7904D8EC" w14:textId="77777777" w:rsidR="00A92BC4" w:rsidRDefault="00A92BC4" w:rsidP="00A92BC4">
      <w:pPr>
        <w:pStyle w:val="Thesisnormal"/>
      </w:pPr>
    </w:p>
    <w:p w14:paraId="4A02C501" w14:textId="77777777" w:rsidR="00A92BC4" w:rsidRDefault="00A92BC4" w:rsidP="00A92BC4">
      <w:pPr>
        <w:pStyle w:val="Heading3"/>
      </w:pPr>
      <w:bookmarkStart w:id="214" w:name="_Toc4589373"/>
      <w:r>
        <w:lastRenderedPageBreak/>
        <w:t xml:space="preserve">5.2.2 Hemocytes in </w:t>
      </w:r>
      <w:r w:rsidRPr="00F807F1">
        <w:rPr>
          <w:i/>
        </w:rPr>
        <w:t>Upd</w:t>
      </w:r>
      <w:r>
        <w:t xml:space="preserve"> mutants contain similar amounts of apoptotic cells</w:t>
      </w:r>
      <w:bookmarkEnd w:id="214"/>
      <w:r>
        <w:t xml:space="preserve"> </w:t>
      </w:r>
    </w:p>
    <w:p w14:paraId="674C8729" w14:textId="77777777" w:rsidR="00A92BC4" w:rsidRDefault="00A92BC4" w:rsidP="00A92BC4">
      <w:pPr>
        <w:pStyle w:val="Thesisnormal"/>
      </w:pPr>
    </w:p>
    <w:p w14:paraId="7DEA1AE4" w14:textId="5B85BFFF" w:rsidR="00A92BC4" w:rsidRPr="00646DFE" w:rsidRDefault="00A92BC4" w:rsidP="00A92BC4">
      <w:pPr>
        <w:pStyle w:val="Thesisnormal"/>
      </w:pPr>
      <w:r>
        <w:t xml:space="preserve">Loss of Upd appeared to enhance hemocyte inflammatory responses, suggesting normal Upd function is concerned restricting pro-inflammatory behaviours. To determine if anti-inflammatory behaviours were affected, we quantified the number of vacuoles (a proxy for apoptotic cell clearance </w:t>
      </w:r>
      <w:r>
        <w:fldChar w:fldCharType="begin"/>
      </w:r>
      <w:r w:rsidR="000A209C">
        <w:instrText xml:space="preserve"> ADDIN ZOTERO_ITEM CSL_CITATION {"citationID":"6H4K9cYF","properties":{"formattedCitation":"(225)","plainCitation":"(225)","noteIndex":0},"citationItems":[{"id":1085,"uris":["http://zotero.org/users/952979/items/4F4Z9XXE"],"uri":["http://zotero.org/users/952979/items/4F4Z9XXE"],"itemData":{"id":1085,"type":"article-journal","title":"SCAR/WAVE-mediated processing of engulfed apoptotic corpses is essential for effective macrophage migration in Drosophila","container-title":"Cell Death and Differentiation","page":"709-720","volume":"20","issue":"5","source":"PubMed","abstract":"In vitro studies have shown that SCAR/WAVE activates the Arp2/3 complex to generate actin filaments, which in many cell types are organised into lamellipodia that are thought to have an important role in cell migration. Here we demonstrate that SCAR is utilised by Drosophila macrophages to drive their developmental and inflammatory migrations and that it is regulated via the Hem/Kette/Nap1-containing SCAR/WAVE complex. SCAR is also important in protecting against bacterial pathogens and in wound repair as SCAR mutant embryos succumb more readily to both sterile and infected wounds. However, in addition to driving the formation of lamellipodia in macrophages, SCAR is required cell autonomously for the correct processing of phagocytosed apoptotic corpses by these professional phagocytes. Removal of this phagocytic burden by preventing apoptosis rescues macrophage lamellipodia formation and partially restores motility. Our results show that efficient processing of phagosomes is critical for effective macrophage migration in vivo. These findings have important implications for the resolution of macrophages from chronic wounds and the behaviour of those associated with tumours, because phagocytosis of debris may serve to prolong the presence of these cells at these sites of pathology.","DOI":"10.1038/cdd.2012.166","ISSN":"1476-5403","note":"PMID: 23328632\nPMCID: PMC3619236","journalAbbreviation":"Cell Death Differ.","language":"eng","author":[{"family":"Evans","given":"I. R."},{"family":"Ghai","given":"P. A."},{"family":"Urbančič","given":"V."},{"family":"Tan","given":"K.-L."},{"family":"Wood","given":"W."}],"issued":{"date-parts":[["2013",5]]}}}],"schema":"https://github.com/citation-style-language/schema/raw/master/csl-citation.json"} </w:instrText>
      </w:r>
      <w:r>
        <w:fldChar w:fldCharType="separate"/>
      </w:r>
      <w:r w:rsidR="004A1963" w:rsidRPr="004A1963">
        <w:rPr>
          <w:rFonts w:ascii="Calibri" w:hAnsi="Calibri"/>
        </w:rPr>
        <w:t>(225)</w:t>
      </w:r>
      <w:r>
        <w:fldChar w:fldCharType="end"/>
      </w:r>
      <w:r>
        <w:t xml:space="preserve"> within hemocytes on the ventral midline (Fig 5.4 A-A’). We did not find a significant difference in the average number of vacuoles per hemocyte per embryo between control and either </w:t>
      </w:r>
      <w:r w:rsidRPr="00F807F1">
        <w:rPr>
          <w:i/>
        </w:rPr>
        <w:t>Upd</w:t>
      </w:r>
      <w:r>
        <w:t xml:space="preserve"> mutation (n=17, 12 and 17 for control, </w:t>
      </w:r>
      <w:r w:rsidRPr="009E3FF6">
        <w:rPr>
          <w:i/>
        </w:rPr>
        <w:t>Upd</w:t>
      </w:r>
      <w:r w:rsidRPr="009E3FF6">
        <w:rPr>
          <w:i/>
          <w:vertAlign w:val="superscript"/>
        </w:rPr>
        <w:t>YM55</w:t>
      </w:r>
      <w:r>
        <w:t xml:space="preserve"> and </w:t>
      </w:r>
      <w:r w:rsidRPr="009E3FF6">
        <w:rPr>
          <w:i/>
        </w:rPr>
        <w:t>Upd</w:t>
      </w:r>
      <w:r w:rsidRPr="009E3FF6">
        <w:rPr>
          <w:i/>
          <w:vertAlign w:val="superscript"/>
        </w:rPr>
        <w:t>OS1A</w:t>
      </w:r>
      <w:r>
        <w:t xml:space="preserve">, respectively, p=0.8705 and 0.0866 via One-way ANOVA with Dunnett’s multiple comparisons test for </w:t>
      </w:r>
      <w:r w:rsidRPr="009E3FF6">
        <w:rPr>
          <w:i/>
        </w:rPr>
        <w:t>Upd</w:t>
      </w:r>
      <w:r w:rsidRPr="009E3FF6">
        <w:rPr>
          <w:i/>
          <w:vertAlign w:val="superscript"/>
        </w:rPr>
        <w:t>YM55</w:t>
      </w:r>
      <w:r>
        <w:t xml:space="preserve"> and </w:t>
      </w:r>
      <w:r w:rsidRPr="009E3FF6">
        <w:rPr>
          <w:i/>
        </w:rPr>
        <w:t>Upd</w:t>
      </w:r>
      <w:r w:rsidRPr="009E3FF6">
        <w:rPr>
          <w:i/>
          <w:vertAlign w:val="superscript"/>
        </w:rPr>
        <w:t>OS1A</w:t>
      </w:r>
      <w:r>
        <w:t xml:space="preserve">, respectively, Fig 5.4 B). </w:t>
      </w:r>
      <w:r w:rsidR="00927947">
        <w:t>There</w:t>
      </w:r>
      <w:r>
        <w:t xml:space="preserve"> </w:t>
      </w:r>
      <w:r w:rsidR="00927947">
        <w:t>were</w:t>
      </w:r>
      <w:r>
        <w:t xml:space="preserve"> fewer vacuoles per hemocyte in Upd</w:t>
      </w:r>
      <w:r>
        <w:rPr>
          <w:vertAlign w:val="superscript"/>
        </w:rPr>
        <w:t>OS1A</w:t>
      </w:r>
      <w:r>
        <w:t xml:space="preserve"> mutations, the allele that displays the strongest effect on </w:t>
      </w:r>
      <w:r w:rsidR="00A06D46">
        <w:t xml:space="preserve">hemocyte </w:t>
      </w:r>
      <w:r w:rsidR="00A06D46" w:rsidRPr="00A06D46">
        <w:t>recruitment to wounds</w:t>
      </w:r>
      <w:r w:rsidR="00A06D46">
        <w:t xml:space="preserve"> </w:t>
      </w:r>
      <w:r>
        <w:t xml:space="preserve">and is a larger chromosomal deletion (Fig 5.3). This is consistent with other data in this thesis where increased hemocytes responding to wounds display reduced efferocytosis (chapter 4, Figs 4.15 &amp; 4.16). Together, this data suggests that loss of </w:t>
      </w:r>
      <w:r>
        <w:rPr>
          <w:i/>
        </w:rPr>
        <w:t>U</w:t>
      </w:r>
      <w:r w:rsidRPr="00F807F1">
        <w:rPr>
          <w:i/>
        </w:rPr>
        <w:t xml:space="preserve">pd </w:t>
      </w:r>
      <w:r>
        <w:t xml:space="preserve">function may lead to a decrease in phagocytosis of apoptotic cells. </w:t>
      </w:r>
    </w:p>
    <w:p w14:paraId="1916855B" w14:textId="77777777" w:rsidR="00A92BC4" w:rsidRPr="00151FD0" w:rsidRDefault="00A92BC4" w:rsidP="00A92BC4">
      <w:pPr>
        <w:pStyle w:val="Thesisnormal"/>
      </w:pPr>
    </w:p>
    <w:p w14:paraId="1006B686" w14:textId="77777777" w:rsidR="00A92BC4" w:rsidRDefault="00A92BC4" w:rsidP="00A92BC4">
      <w:pPr>
        <w:pStyle w:val="Thesisnormal"/>
        <w:rPr>
          <w:noProof/>
          <w:lang w:eastAsia="en-GB"/>
        </w:rPr>
      </w:pPr>
    </w:p>
    <w:p w14:paraId="6C94EA93" w14:textId="77777777" w:rsidR="00A92BC4" w:rsidRDefault="00A92BC4" w:rsidP="00A92BC4">
      <w:pPr>
        <w:pStyle w:val="Thesisnormal"/>
        <w:rPr>
          <w:noProof/>
          <w:lang w:eastAsia="en-GB"/>
        </w:rPr>
      </w:pPr>
    </w:p>
    <w:p w14:paraId="27F7F693" w14:textId="77777777" w:rsidR="00A92BC4" w:rsidRDefault="00A92BC4" w:rsidP="00A92BC4">
      <w:pPr>
        <w:pStyle w:val="Thesisnormal"/>
      </w:pPr>
      <w:r>
        <w:rPr>
          <w:noProof/>
          <w:lang w:eastAsia="en-GB"/>
        </w:rPr>
        <w:lastRenderedPageBreak/>
        <w:drawing>
          <wp:inline distT="0" distB="0" distL="0" distR="0" wp14:anchorId="3F21BBD3" wp14:editId="0C2F6685">
            <wp:extent cx="6122621" cy="5553075"/>
            <wp:effectExtent l="0" t="0" r="0" b="0"/>
            <wp:docPr id="47" name="Picture 47" descr="D:\Dropbox\PhD\writing\thesis\chapter 5 jak stat signalling in the embryo\figures\upd mutant vacuole fig\Upd mutant vacuole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5 jak stat signalling in the embryo\figures\upd mutant vacuole fig\Upd mutant vacuole fig.tif"/>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36146"/>
                    <a:stretch/>
                  </pic:blipFill>
                  <pic:spPr bwMode="auto">
                    <a:xfrm>
                      <a:off x="0" y="0"/>
                      <a:ext cx="6125377" cy="5555575"/>
                    </a:xfrm>
                    <a:prstGeom prst="rect">
                      <a:avLst/>
                    </a:prstGeom>
                    <a:noFill/>
                    <a:ln>
                      <a:noFill/>
                    </a:ln>
                    <a:extLst>
                      <a:ext uri="{53640926-AAD7-44D8-BBD7-CCE9431645EC}">
                        <a14:shadowObscured xmlns:a14="http://schemas.microsoft.com/office/drawing/2010/main"/>
                      </a:ext>
                    </a:extLst>
                  </pic:spPr>
                </pic:pic>
              </a:graphicData>
            </a:graphic>
          </wp:inline>
        </w:drawing>
      </w:r>
    </w:p>
    <w:p w14:paraId="6EBB31E7" w14:textId="77777777" w:rsidR="00A92BC4" w:rsidRDefault="00A92BC4" w:rsidP="00A92BC4">
      <w:pPr>
        <w:pStyle w:val="NoSpacing"/>
      </w:pPr>
      <w:r w:rsidRPr="0030625E">
        <w:rPr>
          <w:b/>
        </w:rPr>
        <w:t xml:space="preserve">Figure </w:t>
      </w:r>
      <w:r>
        <w:rPr>
          <w:b/>
        </w:rPr>
        <w:t>5</w:t>
      </w:r>
      <w:r w:rsidRPr="0030625E">
        <w:rPr>
          <w:b/>
        </w:rPr>
        <w:t>.</w:t>
      </w:r>
      <w:r>
        <w:rPr>
          <w:b/>
        </w:rPr>
        <w:t>4</w:t>
      </w:r>
      <w:r w:rsidRPr="0030625E">
        <w:rPr>
          <w:b/>
        </w:rPr>
        <w:t xml:space="preserve"> </w:t>
      </w:r>
      <w:r w:rsidRPr="00465CB9">
        <w:rPr>
          <w:b/>
        </w:rPr>
        <w:t>Hemocytes in embryos with Upd mutations</w:t>
      </w:r>
      <w:r>
        <w:rPr>
          <w:b/>
        </w:rPr>
        <w:t xml:space="preserve"> do not display different rates of efferocytosis. </w:t>
      </w:r>
    </w:p>
    <w:p w14:paraId="1E765638" w14:textId="77777777" w:rsidR="00A92BC4" w:rsidRPr="00B06ECE" w:rsidRDefault="00A92BC4" w:rsidP="00A92BC4">
      <w:r>
        <w:t>(A) Representative stills of GFP labelled hemocytes in stage 15 embryos for controls (</w:t>
      </w:r>
      <w:r>
        <w:rPr>
          <w:i/>
        </w:rPr>
        <w:t>w;</w:t>
      </w:r>
      <w:r w:rsidRPr="000121DD">
        <w:rPr>
          <w:i/>
        </w:rPr>
        <w:t>Srp</w:t>
      </w:r>
      <w:r>
        <w:rPr>
          <w:i/>
        </w:rPr>
        <w:t>-GAL4,UAS-GFP/+;Crq-GAL4,UAS-</w:t>
      </w:r>
      <w:r w:rsidRPr="000121DD">
        <w:rPr>
          <w:i/>
        </w:rPr>
        <w:t>GFP/+</w:t>
      </w:r>
      <w:r>
        <w:t xml:space="preserve">) and </w:t>
      </w:r>
      <w:r w:rsidRPr="00F807F1">
        <w:rPr>
          <w:i/>
        </w:rPr>
        <w:t>Upd</w:t>
      </w:r>
      <w:r w:rsidRPr="00F807F1">
        <w:rPr>
          <w:i/>
          <w:vertAlign w:val="superscript"/>
        </w:rPr>
        <w:t>YM55</w:t>
      </w:r>
      <w:r>
        <w:t xml:space="preserve"> (</w:t>
      </w:r>
      <w:r w:rsidRPr="000121DD">
        <w:rPr>
          <w:i/>
        </w:rPr>
        <w:t>Upd</w:t>
      </w:r>
      <w:r w:rsidRPr="000121DD">
        <w:rPr>
          <w:i/>
          <w:vertAlign w:val="superscript"/>
        </w:rPr>
        <w:t>YM55</w:t>
      </w:r>
      <w:r>
        <w:rPr>
          <w:i/>
        </w:rPr>
        <w:t>/Y;</w:t>
      </w:r>
      <w:r w:rsidRPr="000121DD">
        <w:rPr>
          <w:i/>
        </w:rPr>
        <w:t>Srp</w:t>
      </w:r>
      <w:r>
        <w:rPr>
          <w:i/>
        </w:rPr>
        <w:t>-GAL4,UAS-GFP/+;Crq-GAL4,UAS-</w:t>
      </w:r>
      <w:r w:rsidRPr="000121DD">
        <w:rPr>
          <w:i/>
        </w:rPr>
        <w:t>GFP/+</w:t>
      </w:r>
      <w:r>
        <w:t xml:space="preserve">) and </w:t>
      </w:r>
      <w:r w:rsidRPr="00F807F1">
        <w:rPr>
          <w:i/>
        </w:rPr>
        <w:t>Upd</w:t>
      </w:r>
      <w:r w:rsidRPr="00F807F1">
        <w:rPr>
          <w:i/>
          <w:vertAlign w:val="superscript"/>
        </w:rPr>
        <w:t>OS1A</w:t>
      </w:r>
      <w:r>
        <w:rPr>
          <w:i/>
          <w:vertAlign w:val="superscript"/>
        </w:rPr>
        <w:t xml:space="preserve"> </w:t>
      </w:r>
      <w:r>
        <w:t>(</w:t>
      </w:r>
      <w:r w:rsidRPr="000121DD">
        <w:rPr>
          <w:i/>
        </w:rPr>
        <w:t>Upd</w:t>
      </w:r>
      <w:r>
        <w:rPr>
          <w:i/>
          <w:vertAlign w:val="superscript"/>
        </w:rPr>
        <w:t>OS1A</w:t>
      </w:r>
      <w:r>
        <w:rPr>
          <w:i/>
        </w:rPr>
        <w:t>/Y;</w:t>
      </w:r>
      <w:r w:rsidRPr="000121DD">
        <w:rPr>
          <w:i/>
        </w:rPr>
        <w:t>Srp</w:t>
      </w:r>
      <w:r>
        <w:rPr>
          <w:i/>
        </w:rPr>
        <w:t>-GAL4,UAS-GFP/+;Crq-GAL4,UAS-</w:t>
      </w:r>
      <w:r w:rsidRPr="000121DD">
        <w:rPr>
          <w:i/>
        </w:rPr>
        <w:t>GFP/+</w:t>
      </w:r>
      <w:r>
        <w:rPr>
          <w:i/>
        </w:rPr>
        <w:t xml:space="preserve">) </w:t>
      </w:r>
      <w:r>
        <w:t>mutants. Scale bars represent 20μm. (A’) Zoomed images of (A), 1. Control, 2. Upd</w:t>
      </w:r>
      <w:r w:rsidRPr="00AF1ECC">
        <w:rPr>
          <w:vertAlign w:val="superscript"/>
        </w:rPr>
        <w:t>YM55</w:t>
      </w:r>
      <w:r>
        <w:t>, 3. Upd</w:t>
      </w:r>
      <w:r w:rsidRPr="00AF1ECC">
        <w:rPr>
          <w:vertAlign w:val="superscript"/>
        </w:rPr>
        <w:t>OS1A</w:t>
      </w:r>
      <w:r>
        <w:t xml:space="preserve">. Scale bars represent 5μm. Red asterisks indicate vacuoles with hemocytes, as quantified. (B) Scatterplot of the average number of vacuoles per hemocyte per embryo. Lines and error bars represent mean ± SD, n=17, 12 and 17 for control, </w:t>
      </w:r>
      <w:r w:rsidRPr="009E3FF6">
        <w:rPr>
          <w:i/>
        </w:rPr>
        <w:t>Upd</w:t>
      </w:r>
      <w:r w:rsidRPr="009E3FF6">
        <w:rPr>
          <w:i/>
          <w:vertAlign w:val="superscript"/>
        </w:rPr>
        <w:t>YM55</w:t>
      </w:r>
      <w:r>
        <w:t xml:space="preserve"> and </w:t>
      </w:r>
      <w:r w:rsidRPr="009E3FF6">
        <w:rPr>
          <w:i/>
        </w:rPr>
        <w:t>Upd</w:t>
      </w:r>
      <w:r w:rsidRPr="009E3FF6">
        <w:rPr>
          <w:i/>
          <w:vertAlign w:val="superscript"/>
        </w:rPr>
        <w:t>OS1A</w:t>
      </w:r>
      <w:r>
        <w:t xml:space="preserve"> respectively. One-way ANOVA with Dunnett’s multiple comparisons test, p=0.086, p=0.875 for Upd</w:t>
      </w:r>
      <w:r w:rsidRPr="00AF1ECC">
        <w:rPr>
          <w:vertAlign w:val="superscript"/>
        </w:rPr>
        <w:t>YM55</w:t>
      </w:r>
      <w:r>
        <w:t xml:space="preserve"> and </w:t>
      </w:r>
      <w:r w:rsidRPr="009E3FF6">
        <w:rPr>
          <w:i/>
        </w:rPr>
        <w:t>Upd</w:t>
      </w:r>
      <w:r w:rsidRPr="009E3FF6">
        <w:rPr>
          <w:i/>
          <w:vertAlign w:val="superscript"/>
        </w:rPr>
        <w:t>OS1A</w:t>
      </w:r>
      <w:r>
        <w:t xml:space="preserve"> respectively.</w:t>
      </w:r>
    </w:p>
    <w:p w14:paraId="3CD65A04" w14:textId="77777777" w:rsidR="00A92BC4" w:rsidRDefault="00A92BC4" w:rsidP="00A92BC4">
      <w:pPr>
        <w:pStyle w:val="Thesisnormal"/>
      </w:pPr>
    </w:p>
    <w:p w14:paraId="064823B9" w14:textId="77777777" w:rsidR="00A92BC4" w:rsidRDefault="00A92BC4" w:rsidP="00A92BC4">
      <w:pPr>
        <w:pStyle w:val="Thesisnormal"/>
      </w:pPr>
    </w:p>
    <w:p w14:paraId="188F22A3" w14:textId="77777777" w:rsidR="00A92BC4" w:rsidRDefault="00A92BC4" w:rsidP="00A92BC4">
      <w:pPr>
        <w:pStyle w:val="Thesisnormal"/>
      </w:pPr>
    </w:p>
    <w:p w14:paraId="4630840E" w14:textId="77777777" w:rsidR="00A92BC4" w:rsidRDefault="00A92BC4" w:rsidP="00A92BC4">
      <w:pPr>
        <w:pStyle w:val="Thesisnormal"/>
      </w:pPr>
    </w:p>
    <w:p w14:paraId="4E46F9CE" w14:textId="77777777" w:rsidR="00A92BC4" w:rsidRPr="000B636B" w:rsidRDefault="00A92BC4" w:rsidP="00A92BC4">
      <w:pPr>
        <w:pStyle w:val="Heading3"/>
      </w:pPr>
      <w:bookmarkStart w:id="215" w:name="_Toc4589374"/>
      <w:r>
        <w:lastRenderedPageBreak/>
        <w:t>5</w:t>
      </w:r>
      <w:r w:rsidRPr="002D59A3">
        <w:t>.2.</w:t>
      </w:r>
      <w:r>
        <w:t>7</w:t>
      </w:r>
      <w:r w:rsidRPr="002D59A3">
        <w:t xml:space="preserve"> </w:t>
      </w:r>
      <w:r>
        <w:t>Upd mutations effectively modulate STAT signalling</w:t>
      </w:r>
      <w:bookmarkEnd w:id="215"/>
    </w:p>
    <w:p w14:paraId="13EA432F" w14:textId="77777777" w:rsidR="00A92BC4" w:rsidRDefault="00A92BC4" w:rsidP="00A92BC4">
      <w:pPr>
        <w:pStyle w:val="Thesisnormal"/>
      </w:pPr>
    </w:p>
    <w:p w14:paraId="1D201268" w14:textId="77777777" w:rsidR="00A92BC4" w:rsidRDefault="00A92BC4" w:rsidP="00A92BC4">
      <w:pPr>
        <w:pStyle w:val="Thesisnormal"/>
      </w:pPr>
      <w:r>
        <w:t xml:space="preserve">As we had observed that both Upd mutants were capable of altering hemocyte behaviour, we next wished to confirm that these mutations were effectively modulating JAK/STAT signalling. </w:t>
      </w:r>
    </w:p>
    <w:p w14:paraId="726ED953" w14:textId="03718159" w:rsidR="00A92BC4" w:rsidRPr="00806232" w:rsidRDefault="00A92BC4" w:rsidP="00A92BC4">
      <w:pPr>
        <w:pStyle w:val="Thesisnormal"/>
      </w:pPr>
      <w:r>
        <w:t xml:space="preserve">Loss of JAK/STAT signalling in the embryo results in well-defined segmentation defects that have previously been used to confirm that Upd is part of the JAK/STAT signalling pathway </w:t>
      </w:r>
      <w:r>
        <w:fldChar w:fldCharType="begin"/>
      </w:r>
      <w:r w:rsidR="000A209C">
        <w:instrText xml:space="preserve"> ADDIN ZOTERO_ITEM CSL_CITATION {"citationID":"Nt9PLj7S","properties":{"formattedCitation":"(449)","plainCitation":"(449)","noteIndex":0},"citationItems":[{"id":84,"uris":["http://zotero.org/users/952979/items/ZNQAREYB"],"uri":["http://zotero.org/users/952979/items/ZNQAREYB"],"itemData":{"id":84,"type":"article-journal","title":"Drosophila unpaired encodes a secreted protein that activates the JAK signaling pathway","container-title":"Genes &amp; Development","page":"3252-3263","volume":"12","issue":"20","source":"PubMed Central","abstract":"In vertebrates, many cytokines and growth factors have been identified as activators of the JAK/STAT signaling pathway. In Drosophila, JAK and STAT molecules have been isolated, but no ligands or receptors capable of activating the pathway have been described. We have characterized the unpaired (upd) gene, which displays the same distinctive embryonic mutant defects as mutations in the Drosophila JAK (hopscotch) and STAT (stat92E) genes. Upd is a secreted protein, associated with the extracellular matrix, that activates the JAK pathway. We propose that Upd is a ligand that relies on JAK signaling to stimulate transcription of pair-rule genes in a segmentally restricted manner in the early Drosophila embryo.","ISSN":"0890-9369","note":"PMID: 9784499\nPMCID: PMC317220","journalAbbreviation":"Genes Dev","author":[{"family":"Harrison","given":"Douglas A."},{"family":"McCoon","given":"Patricia E."},{"family":"Binari","given":"Richard"},{"family":"Gilman","given":"Michael"},{"family":"Perrimon","given":"Norbert"}],"issued":{"date-parts":[["1998",10,15]]}}}],"schema":"https://github.com/citation-style-language/schema/raw/master/csl-citation.json"} </w:instrText>
      </w:r>
      <w:r>
        <w:fldChar w:fldCharType="separate"/>
      </w:r>
      <w:r w:rsidR="003902A3" w:rsidRPr="003902A3">
        <w:rPr>
          <w:rFonts w:ascii="Calibri" w:hAnsi="Calibri"/>
        </w:rPr>
        <w:t>(449)</w:t>
      </w:r>
      <w:r>
        <w:fldChar w:fldCharType="end"/>
      </w:r>
      <w:r>
        <w:t xml:space="preserve">. To investigate segmentation defects in the mutations used in this thesis, we performed cuticle preparations of early larvae (Fig 5.5). We found normal segmentation in our control but observed defects in both </w:t>
      </w:r>
      <w:r w:rsidRPr="00C80504">
        <w:rPr>
          <w:i/>
        </w:rPr>
        <w:t>Upd</w:t>
      </w:r>
      <w:r w:rsidRPr="00C80504">
        <w:rPr>
          <w:i/>
          <w:vertAlign w:val="superscript"/>
        </w:rPr>
        <w:t>YM55</w:t>
      </w:r>
      <w:r>
        <w:t xml:space="preserve"> and </w:t>
      </w:r>
      <w:r w:rsidRPr="00C80504">
        <w:rPr>
          <w:i/>
        </w:rPr>
        <w:t>Upd</w:t>
      </w:r>
      <w:r w:rsidRPr="00C80504">
        <w:rPr>
          <w:i/>
          <w:vertAlign w:val="superscript"/>
        </w:rPr>
        <w:t>OS1A</w:t>
      </w:r>
      <w:r>
        <w:t xml:space="preserve"> mutants. These defects included loss of the fifth abdominal denticle band and mid-ventral portion of the fourth band. There is also a loss of spiracles. Consistent with </w:t>
      </w:r>
      <w:r w:rsidRPr="00806232">
        <w:rPr>
          <w:i/>
        </w:rPr>
        <w:t>Upd</w:t>
      </w:r>
      <w:r w:rsidRPr="00806232">
        <w:rPr>
          <w:i/>
          <w:vertAlign w:val="superscript"/>
        </w:rPr>
        <w:t>OS1A</w:t>
      </w:r>
      <w:r>
        <w:t xml:space="preserve"> having a larger chromosomal deletion, this mutation displayed the most pronounced segmentation defects. This data confirms that both </w:t>
      </w:r>
      <w:r w:rsidRPr="00806232">
        <w:rPr>
          <w:i/>
        </w:rPr>
        <w:t>Upd</w:t>
      </w:r>
      <w:r>
        <w:t xml:space="preserve"> mutants effectively modulate JAK/STAT signalling. </w:t>
      </w:r>
    </w:p>
    <w:p w14:paraId="2194322D" w14:textId="77777777" w:rsidR="00A92BC4" w:rsidRDefault="00A92BC4" w:rsidP="00A92BC4">
      <w:pPr>
        <w:pStyle w:val="Thesisnormal"/>
      </w:pPr>
    </w:p>
    <w:p w14:paraId="4D55A6EA" w14:textId="77777777" w:rsidR="00A92BC4" w:rsidRDefault="00A92BC4" w:rsidP="00A92BC4">
      <w:pPr>
        <w:pStyle w:val="Thesisnormal"/>
        <w:rPr>
          <w:noProof/>
          <w:lang w:eastAsia="en-GB"/>
        </w:rPr>
      </w:pPr>
    </w:p>
    <w:p w14:paraId="69F12C2F" w14:textId="77777777" w:rsidR="00A92BC4" w:rsidRDefault="00A92BC4" w:rsidP="00A92BC4">
      <w:pPr>
        <w:pStyle w:val="Thesisnormal"/>
      </w:pPr>
      <w:r>
        <w:rPr>
          <w:noProof/>
          <w:lang w:eastAsia="en-GB"/>
        </w:rPr>
        <w:drawing>
          <wp:inline distT="0" distB="0" distL="0" distR="0" wp14:anchorId="117CC021" wp14:editId="79E37439">
            <wp:extent cx="5909854" cy="1162050"/>
            <wp:effectExtent l="0" t="0" r="0" b="0"/>
            <wp:docPr id="48" name="Picture 48" descr="D:\Dropbox\PhD\Writing\Thesis\Chapter 5 JAK STAT signalling in the embryo\Figures\Upd mutations are effective at modulating JAK STAT\Fig 4-1 Cuticle pre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PhD\Writing\Thesis\Chapter 5 JAK STAT signalling in the embryo\Figures\Upd mutations are effective at modulating JAK STAT\Fig 4-1 Cuticle preps.tif"/>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040" t="3778" r="1431" b="82998"/>
                    <a:stretch/>
                  </pic:blipFill>
                  <pic:spPr bwMode="auto">
                    <a:xfrm>
                      <a:off x="0" y="0"/>
                      <a:ext cx="5916218" cy="1163301"/>
                    </a:xfrm>
                    <a:prstGeom prst="rect">
                      <a:avLst/>
                    </a:prstGeom>
                    <a:noFill/>
                    <a:ln>
                      <a:noFill/>
                    </a:ln>
                    <a:extLst>
                      <a:ext uri="{53640926-AAD7-44D8-BBD7-CCE9431645EC}">
                        <a14:shadowObscured xmlns:a14="http://schemas.microsoft.com/office/drawing/2010/main"/>
                      </a:ext>
                    </a:extLst>
                  </pic:spPr>
                </pic:pic>
              </a:graphicData>
            </a:graphic>
          </wp:inline>
        </w:drawing>
      </w:r>
    </w:p>
    <w:p w14:paraId="6438E45C" w14:textId="77777777" w:rsidR="00A92BC4" w:rsidRPr="007957BD" w:rsidRDefault="00A92BC4" w:rsidP="00A92BC4">
      <w:pPr>
        <w:pStyle w:val="NoSpacing"/>
        <w:rPr>
          <w:b/>
        </w:rPr>
      </w:pPr>
      <w:r>
        <w:rPr>
          <w:b/>
        </w:rPr>
        <w:t xml:space="preserve">Figure </w:t>
      </w:r>
      <w:r w:rsidRPr="007957BD">
        <w:rPr>
          <w:b/>
        </w:rPr>
        <w:t>5.</w:t>
      </w:r>
      <w:r>
        <w:rPr>
          <w:b/>
        </w:rPr>
        <w:t xml:space="preserve">5 Cuticle preparations confirm that </w:t>
      </w:r>
      <w:r w:rsidRPr="007957BD">
        <w:rPr>
          <w:b/>
          <w:i/>
        </w:rPr>
        <w:t>Upd</w:t>
      </w:r>
      <w:r>
        <w:rPr>
          <w:b/>
        </w:rPr>
        <w:t xml:space="preserve"> mutations effectively modulate JAK/STAT signalling</w:t>
      </w:r>
      <w:r w:rsidRPr="007957BD">
        <w:rPr>
          <w:b/>
        </w:rPr>
        <w:t xml:space="preserve">. </w:t>
      </w:r>
    </w:p>
    <w:p w14:paraId="759D7CBA" w14:textId="77777777" w:rsidR="00A92BC4" w:rsidRDefault="00A92BC4" w:rsidP="00A92BC4">
      <w:pPr>
        <w:pStyle w:val="NoSpacing"/>
      </w:pPr>
      <w:r>
        <w:t>Representative images of early larvae for control (</w:t>
      </w:r>
      <w:r>
        <w:rPr>
          <w:i/>
        </w:rPr>
        <w:t>w;</w:t>
      </w:r>
      <w:r w:rsidRPr="000121DD">
        <w:rPr>
          <w:i/>
        </w:rPr>
        <w:t>Srp</w:t>
      </w:r>
      <w:r>
        <w:rPr>
          <w:i/>
        </w:rPr>
        <w:t>-GAL4,UAS-GFP/+;Crq-GAL4,UAS-</w:t>
      </w:r>
      <w:r w:rsidRPr="000121DD">
        <w:rPr>
          <w:i/>
        </w:rPr>
        <w:t>GFP/+</w:t>
      </w:r>
      <w:r>
        <w:t xml:space="preserve">) and </w:t>
      </w:r>
      <w:r w:rsidRPr="00F807F1">
        <w:rPr>
          <w:i/>
        </w:rPr>
        <w:t>Upd</w:t>
      </w:r>
      <w:r w:rsidRPr="00F807F1">
        <w:rPr>
          <w:i/>
          <w:vertAlign w:val="superscript"/>
        </w:rPr>
        <w:t>YM55</w:t>
      </w:r>
      <w:r>
        <w:t xml:space="preserve"> (</w:t>
      </w:r>
      <w:r w:rsidRPr="000121DD">
        <w:rPr>
          <w:i/>
        </w:rPr>
        <w:t>Upd</w:t>
      </w:r>
      <w:r w:rsidRPr="000121DD">
        <w:rPr>
          <w:i/>
          <w:vertAlign w:val="superscript"/>
        </w:rPr>
        <w:t>YM55</w:t>
      </w:r>
      <w:r>
        <w:rPr>
          <w:i/>
        </w:rPr>
        <w:t>/Y;</w:t>
      </w:r>
      <w:r w:rsidRPr="000121DD">
        <w:rPr>
          <w:i/>
        </w:rPr>
        <w:t>Srp</w:t>
      </w:r>
      <w:r>
        <w:rPr>
          <w:i/>
        </w:rPr>
        <w:t>-GAL4,UAS-GFP/+;Crq-GAL4,UAS-</w:t>
      </w:r>
      <w:r w:rsidRPr="000121DD">
        <w:rPr>
          <w:i/>
        </w:rPr>
        <w:t>GFP/+</w:t>
      </w:r>
      <w:r>
        <w:t xml:space="preserve">) and </w:t>
      </w:r>
      <w:r w:rsidRPr="00F807F1">
        <w:rPr>
          <w:i/>
        </w:rPr>
        <w:t>Upd</w:t>
      </w:r>
      <w:r w:rsidRPr="00F807F1">
        <w:rPr>
          <w:i/>
          <w:vertAlign w:val="superscript"/>
        </w:rPr>
        <w:t>OS1A</w:t>
      </w:r>
      <w:r>
        <w:rPr>
          <w:i/>
          <w:vertAlign w:val="superscript"/>
        </w:rPr>
        <w:t xml:space="preserve"> </w:t>
      </w:r>
      <w:r>
        <w:t>(</w:t>
      </w:r>
      <w:r w:rsidRPr="000121DD">
        <w:rPr>
          <w:i/>
        </w:rPr>
        <w:t>Upd</w:t>
      </w:r>
      <w:r>
        <w:rPr>
          <w:i/>
          <w:vertAlign w:val="superscript"/>
        </w:rPr>
        <w:t>OS1A</w:t>
      </w:r>
      <w:r>
        <w:rPr>
          <w:i/>
        </w:rPr>
        <w:t>/Y;</w:t>
      </w:r>
      <w:r w:rsidRPr="000121DD">
        <w:rPr>
          <w:i/>
        </w:rPr>
        <w:t>Srp</w:t>
      </w:r>
      <w:r>
        <w:rPr>
          <w:i/>
        </w:rPr>
        <w:t>-GAL4,UAS-GFP/+;Crq-GAL4,UAS-</w:t>
      </w:r>
      <w:r w:rsidRPr="000121DD">
        <w:rPr>
          <w:i/>
        </w:rPr>
        <w:t>GFP/+</w:t>
      </w:r>
      <w:r>
        <w:rPr>
          <w:i/>
        </w:rPr>
        <w:t xml:space="preserve">) </w:t>
      </w:r>
      <w:r>
        <w:t xml:space="preserve">mutants. Defects in segments and lack of spiracles are evident in both </w:t>
      </w:r>
      <w:r w:rsidRPr="001332E0">
        <w:rPr>
          <w:i/>
        </w:rPr>
        <w:t>Upd</w:t>
      </w:r>
      <w:r>
        <w:t xml:space="preserve"> mutants. </w:t>
      </w:r>
    </w:p>
    <w:p w14:paraId="35C6ED92" w14:textId="77777777" w:rsidR="00A92BC4" w:rsidRDefault="00A92BC4" w:rsidP="00A92BC4">
      <w:pPr>
        <w:pStyle w:val="Thesisnormal"/>
      </w:pPr>
    </w:p>
    <w:p w14:paraId="2B94D993" w14:textId="77777777" w:rsidR="00A92BC4" w:rsidRDefault="00A92BC4" w:rsidP="00A92BC4">
      <w:pPr>
        <w:pStyle w:val="Thesisnormal"/>
      </w:pPr>
    </w:p>
    <w:p w14:paraId="086BA696" w14:textId="77777777" w:rsidR="00A92BC4" w:rsidRDefault="00A92BC4" w:rsidP="00A92BC4">
      <w:pPr>
        <w:pStyle w:val="Thesisnormal"/>
      </w:pPr>
    </w:p>
    <w:p w14:paraId="24E2753A" w14:textId="77777777" w:rsidR="00A92BC4" w:rsidRDefault="00A92BC4" w:rsidP="00A92BC4">
      <w:pPr>
        <w:pStyle w:val="Thesisnormal"/>
      </w:pPr>
    </w:p>
    <w:p w14:paraId="1EB7F668" w14:textId="77777777" w:rsidR="00A92BC4" w:rsidRDefault="00A92BC4" w:rsidP="00A92BC4">
      <w:pPr>
        <w:pStyle w:val="Thesisnormal"/>
      </w:pPr>
    </w:p>
    <w:p w14:paraId="1274C070" w14:textId="77777777" w:rsidR="00A92BC4" w:rsidRDefault="00A92BC4" w:rsidP="00A92BC4">
      <w:pPr>
        <w:pStyle w:val="Thesisnormal"/>
      </w:pPr>
    </w:p>
    <w:p w14:paraId="24073532" w14:textId="77777777" w:rsidR="00A92BC4" w:rsidRDefault="00A92BC4" w:rsidP="00A92BC4">
      <w:pPr>
        <w:pStyle w:val="Thesisnormal"/>
      </w:pPr>
    </w:p>
    <w:p w14:paraId="439094F5" w14:textId="77777777" w:rsidR="00A92BC4" w:rsidRDefault="00A92BC4" w:rsidP="00A92BC4">
      <w:pPr>
        <w:pStyle w:val="Thesisnormal"/>
      </w:pPr>
    </w:p>
    <w:p w14:paraId="1CAF5405" w14:textId="2649C795" w:rsidR="00A92BC4" w:rsidRDefault="00A92BC4" w:rsidP="00A92BC4">
      <w:pPr>
        <w:pStyle w:val="Heading3"/>
      </w:pPr>
      <w:bookmarkStart w:id="216" w:name="_Toc4589375"/>
      <w:r>
        <w:lastRenderedPageBreak/>
        <w:t>5</w:t>
      </w:r>
      <w:r w:rsidRPr="002D59A3">
        <w:t>.2.</w:t>
      </w:r>
      <w:r>
        <w:t>3</w:t>
      </w:r>
      <w:r w:rsidRPr="002D59A3">
        <w:t xml:space="preserve"> </w:t>
      </w:r>
      <w:r>
        <w:t xml:space="preserve">Upd expression in hemocytes is required for normal </w:t>
      </w:r>
      <w:r w:rsidR="00A06D46">
        <w:t>recruitment to wounds</w:t>
      </w:r>
      <w:bookmarkEnd w:id="216"/>
    </w:p>
    <w:p w14:paraId="0D371591" w14:textId="77777777" w:rsidR="00A92BC4" w:rsidRDefault="00A92BC4" w:rsidP="00A92BC4">
      <w:pPr>
        <w:pStyle w:val="Thesisnormal"/>
      </w:pPr>
    </w:p>
    <w:p w14:paraId="154315AC" w14:textId="2BCB29F4" w:rsidR="00A92BC4" w:rsidRPr="004D42AD" w:rsidRDefault="00A92BC4" w:rsidP="00A92BC4">
      <w:pPr>
        <w:pStyle w:val="Thesisnormal"/>
      </w:pPr>
      <w:r>
        <w:t xml:space="preserve">Having previously shown that loss of Upd function promotes hemocyte responses to injury, we wanted to know if overexpression of </w:t>
      </w:r>
      <w:r w:rsidRPr="00803984">
        <w:rPr>
          <w:i/>
        </w:rPr>
        <w:t>Upd</w:t>
      </w:r>
      <w:r>
        <w:t xml:space="preserve"> would exert the opposite effect and reduce hemocyte responses to wounds. To do this, we utilised a </w:t>
      </w:r>
      <w:r w:rsidRPr="00803984">
        <w:rPr>
          <w:i/>
        </w:rPr>
        <w:t>UAS-Upd</w:t>
      </w:r>
      <w:r>
        <w:t xml:space="preserve"> construct to express Upd specifically in hemocytes (</w:t>
      </w:r>
      <w:proofErr w:type="gramStart"/>
      <w:r w:rsidRPr="00E95228">
        <w:rPr>
          <w:i/>
        </w:rPr>
        <w:t>w</w:t>
      </w:r>
      <w:r>
        <w:rPr>
          <w:i/>
        </w:rPr>
        <w:t>;Srp</w:t>
      </w:r>
      <w:proofErr w:type="gramEnd"/>
      <w:r>
        <w:rPr>
          <w:i/>
        </w:rPr>
        <w:t>-GAL4,UAS-</w:t>
      </w:r>
      <w:r w:rsidRPr="000D4C71">
        <w:rPr>
          <w:i/>
        </w:rPr>
        <w:t>GFP/UAS-Upd;Crq</w:t>
      </w:r>
      <w:r>
        <w:rPr>
          <w:i/>
        </w:rPr>
        <w:t>-GAL4,UAS-</w:t>
      </w:r>
      <w:r w:rsidRPr="000D4C71">
        <w:rPr>
          <w:i/>
        </w:rPr>
        <w:t>GFP/+</w:t>
      </w:r>
      <w:r>
        <w:t>) (Fig 5.6 A-A’). Following wounding, we did not find a significant difference in the numbers of hemocytes per μm</w:t>
      </w:r>
      <w:r>
        <w:rPr>
          <w:vertAlign w:val="superscript"/>
        </w:rPr>
        <w:t>2</w:t>
      </w:r>
      <w:r>
        <w:t xml:space="preserve"> of wound area, 60 minutes post-wounding (n=31 and 23 embryos for control and </w:t>
      </w:r>
      <w:r w:rsidRPr="009E3FF6">
        <w:rPr>
          <w:i/>
        </w:rPr>
        <w:t>UAS-Upd</w:t>
      </w:r>
      <w:r>
        <w:rPr>
          <w:vertAlign w:val="superscript"/>
        </w:rPr>
        <w:t xml:space="preserve"> </w:t>
      </w:r>
      <w:r w:rsidRPr="004D42AD">
        <w:t>respectively</w:t>
      </w:r>
      <w:r>
        <w:t xml:space="preserve">, p=0.486 via Student’s t-test, Fig 5.6 B). We did not observe any obvious differences in the number of hemocytes along the ventral midline pre-wounding and hemocytes did not display any obvious differences in morphology between control and </w:t>
      </w:r>
      <w:r w:rsidRPr="009E3FF6">
        <w:rPr>
          <w:i/>
        </w:rPr>
        <w:t>UAS-Upd</w:t>
      </w:r>
      <w:r>
        <w:t xml:space="preserve">. This data suggests that overexpression of </w:t>
      </w:r>
      <w:r w:rsidRPr="009E3FF6">
        <w:rPr>
          <w:i/>
        </w:rPr>
        <w:t>Upd</w:t>
      </w:r>
      <w:r>
        <w:t xml:space="preserve"> does not affect hemocyte </w:t>
      </w:r>
      <w:r w:rsidR="00A06D46">
        <w:t>recruitment to wounds</w:t>
      </w:r>
      <w:r>
        <w:t xml:space="preserve">. </w:t>
      </w:r>
    </w:p>
    <w:p w14:paraId="49A33197" w14:textId="77777777" w:rsidR="00A92BC4" w:rsidRDefault="00A92BC4" w:rsidP="00A92BC4">
      <w:pPr>
        <w:pStyle w:val="Thesisnormal"/>
      </w:pPr>
    </w:p>
    <w:p w14:paraId="14B239FC" w14:textId="77777777" w:rsidR="00A92BC4" w:rsidRDefault="00A92BC4" w:rsidP="00A92BC4">
      <w:pPr>
        <w:pStyle w:val="Thesisnormal"/>
      </w:pPr>
      <w:r>
        <w:rPr>
          <w:noProof/>
          <w:lang w:eastAsia="en-GB"/>
        </w:rPr>
        <w:drawing>
          <wp:inline distT="0" distB="0" distL="0" distR="0" wp14:anchorId="25EE9E6D" wp14:editId="4E408ED8">
            <wp:extent cx="5751841" cy="3632200"/>
            <wp:effectExtent l="0" t="0" r="0" b="0"/>
            <wp:docPr id="49" name="Picture 49" descr="C:\Users\Gigabyte\Dropbox\PhD\Writing\Thesis\Chapter 5 JAK STAT signalling in the embryo\Figures\uas-upd wounding fig\UAS-Upd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gabyte\Dropbox\PhD\Writing\Thesis\Chapter 5 JAK STAT signalling in the embryo\Figures\uas-upd wounding fig\UAS-Upd wounding fig.tif"/>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55542"/>
                    <a:stretch/>
                  </pic:blipFill>
                  <pic:spPr bwMode="auto">
                    <a:xfrm>
                      <a:off x="0" y="0"/>
                      <a:ext cx="5751841" cy="363220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674101" w14:textId="60454381" w:rsidR="00A92BC4" w:rsidRPr="00465CB9" w:rsidRDefault="00A92BC4" w:rsidP="00A92BC4">
      <w:pPr>
        <w:pStyle w:val="NoSpacing"/>
        <w:rPr>
          <w:b/>
        </w:rPr>
      </w:pPr>
      <w:r>
        <w:rPr>
          <w:b/>
        </w:rPr>
        <w:t>Figure 5</w:t>
      </w:r>
      <w:r w:rsidRPr="00465CB9">
        <w:rPr>
          <w:b/>
        </w:rPr>
        <w:t>.</w:t>
      </w:r>
      <w:r>
        <w:rPr>
          <w:b/>
        </w:rPr>
        <w:t>6</w:t>
      </w:r>
      <w:r w:rsidRPr="00465CB9">
        <w:rPr>
          <w:b/>
        </w:rPr>
        <w:t xml:space="preserve"> Hemocytes in embryos with </w:t>
      </w:r>
      <w:r w:rsidRPr="00803984">
        <w:rPr>
          <w:b/>
          <w:i/>
        </w:rPr>
        <w:t>Upd</w:t>
      </w:r>
      <w:r w:rsidRPr="00465CB9">
        <w:rPr>
          <w:b/>
        </w:rPr>
        <w:t xml:space="preserve"> </w:t>
      </w:r>
      <w:r>
        <w:rPr>
          <w:b/>
        </w:rPr>
        <w:t>overexpression</w:t>
      </w:r>
      <w:r w:rsidRPr="00465CB9">
        <w:rPr>
          <w:b/>
        </w:rPr>
        <w:t xml:space="preserve"> </w:t>
      </w:r>
      <w:r>
        <w:rPr>
          <w:b/>
        </w:rPr>
        <w:t>do not display different</w:t>
      </w:r>
      <w:r w:rsidRPr="00465CB9">
        <w:rPr>
          <w:b/>
        </w:rPr>
        <w:t xml:space="preserve"> </w:t>
      </w:r>
      <w:r w:rsidR="00A06D46">
        <w:rPr>
          <w:b/>
        </w:rPr>
        <w:t>numbers of hemocytes recruited to wounds</w:t>
      </w:r>
      <w:r>
        <w:rPr>
          <w:b/>
        </w:rPr>
        <w:t xml:space="preserve">. </w:t>
      </w:r>
    </w:p>
    <w:p w14:paraId="58358FA4" w14:textId="76F768D9" w:rsidR="00A92BC4" w:rsidRDefault="00A92BC4" w:rsidP="00A92BC4">
      <w:pPr>
        <w:pStyle w:val="NoSpacing"/>
      </w:pPr>
      <w:r>
        <w:t>(A) Representative stills of GFP-labelled hemocytes, pre-wounding of control (</w:t>
      </w:r>
      <w:proofErr w:type="gramStart"/>
      <w:r>
        <w:rPr>
          <w:i/>
        </w:rPr>
        <w:t>w;Srp</w:t>
      </w:r>
      <w:proofErr w:type="gramEnd"/>
      <w:r>
        <w:rPr>
          <w:i/>
        </w:rPr>
        <w:t>-GAL4,UAS-GFP/+;Crq-GAL4,UAS-GFP/+</w:t>
      </w:r>
      <w:r>
        <w:t xml:space="preserve">) and </w:t>
      </w:r>
      <w:r w:rsidRPr="009E3FF6">
        <w:rPr>
          <w:i/>
        </w:rPr>
        <w:t>UAS-Upd</w:t>
      </w:r>
      <w:r>
        <w:rPr>
          <w:i/>
        </w:rPr>
        <w:t xml:space="preserve"> </w:t>
      </w:r>
      <w:r>
        <w:t>(</w:t>
      </w:r>
      <w:r w:rsidRPr="00E95228">
        <w:rPr>
          <w:i/>
        </w:rPr>
        <w:t>w</w:t>
      </w:r>
      <w:r>
        <w:rPr>
          <w:i/>
        </w:rPr>
        <w:t>;Srp-GAL4,UAS-</w:t>
      </w:r>
      <w:r w:rsidRPr="000D4C71">
        <w:rPr>
          <w:i/>
        </w:rPr>
        <w:t>GFP/UAS-Upd;Crq</w:t>
      </w:r>
      <w:r>
        <w:rPr>
          <w:i/>
        </w:rPr>
        <w:t>-GAL4,UAS-</w:t>
      </w:r>
      <w:r w:rsidRPr="000D4C71">
        <w:rPr>
          <w:i/>
        </w:rPr>
        <w:t>GFP/+</w:t>
      </w:r>
      <w:r>
        <w:t xml:space="preserve">). (A’) Representative stills 60-minute post-wounding in stage 15 embryos.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w:t>
      </w:r>
      <w:r>
        <w:lastRenderedPageBreak/>
        <w:t xml:space="preserve">mean ± SD, n=31 and 23 for control and </w:t>
      </w:r>
      <w:r w:rsidRPr="009E3FF6">
        <w:rPr>
          <w:i/>
        </w:rPr>
        <w:t>UAS-Upd</w:t>
      </w:r>
      <w:r>
        <w:t xml:space="preserve"> embryos respectively. Student’s t-test, p=0.486. White dashed ovals outline wound perimeter. Scale bars represent 20μm. </w:t>
      </w:r>
    </w:p>
    <w:p w14:paraId="19D45CF9" w14:textId="77777777" w:rsidR="00A92BC4" w:rsidRDefault="00A92BC4" w:rsidP="00A92BC4">
      <w:pPr>
        <w:pStyle w:val="Thesisnormal"/>
      </w:pPr>
    </w:p>
    <w:p w14:paraId="02FF807F" w14:textId="77777777" w:rsidR="00A92BC4" w:rsidRDefault="00A92BC4" w:rsidP="00A92BC4">
      <w:pPr>
        <w:pStyle w:val="Thesisnormal"/>
      </w:pPr>
    </w:p>
    <w:p w14:paraId="1EF138EB" w14:textId="77777777" w:rsidR="00A92BC4" w:rsidRDefault="00A92BC4" w:rsidP="00A92BC4">
      <w:pPr>
        <w:pStyle w:val="Heading3"/>
      </w:pPr>
      <w:bookmarkStart w:id="217" w:name="_Toc4589376"/>
      <w:r>
        <w:t>5.2.5 Knockdown of Upd3 in hemocytes does not affect responses to wounding</w:t>
      </w:r>
      <w:bookmarkEnd w:id="217"/>
    </w:p>
    <w:p w14:paraId="27214C5E" w14:textId="77777777" w:rsidR="00A92BC4" w:rsidRDefault="00A92BC4" w:rsidP="00A92BC4">
      <w:pPr>
        <w:pStyle w:val="Thesisnormal"/>
      </w:pPr>
    </w:p>
    <w:p w14:paraId="437B7715" w14:textId="50F2B7C6" w:rsidR="00A92BC4" w:rsidRDefault="00A92BC4" w:rsidP="00A92BC4">
      <w:pPr>
        <w:pStyle w:val="Thesisnormal"/>
      </w:pPr>
      <w:r>
        <w:t xml:space="preserve">There are 3 known ligands of the JAK/STAT pathway, with Upd3 sharing structural similarity to mammalian IL-6, a pro-inflammatory cytokine </w:t>
      </w:r>
      <w:r>
        <w:fldChar w:fldCharType="begin"/>
      </w:r>
      <w:r w:rsidR="000A209C">
        <w:instrText xml:space="preserve"> ADDIN ZOTERO_ITEM CSL_CITATION {"citationID":"nDj6k3fr","properties":{"formattedCitation":"(490)","plainCitation":"(490)","noteIndex":0},"citationItems":[{"id":1462,"uris":["http://zotero.org/users/952979/items/SX37CX34"],"uri":["http://zotero.org/users/952979/items/SX37CX34"],"itemData":{"id":1462,"type":"article-journal","title":"Upd3 – An ancestor of the four-helix bundle cytokines","container-title":"Biochemical and Biophysical Research Communications","page":"66-72","volume":"436","issue":"1","source":"CrossRef","DOI":"10.1016/j.bbrc.2013.04.107","ISSN":"0006291X","language":"en","author":[{"family":"Oldefest","given":"Mirja"},{"family":"Nowinski","given":"Jana"},{"family":"Hung","given":"Chien-Wen"},{"family":"Neelsen","given":"Denis"},{"family":"Trad","given":"Ahmad"},{"family":"Tholey","given":"Andreas"},{"family":"Grötzinger","given":"Joachim"},{"family":"Lorenzen","given":"Inken"}],"issued":{"date-parts":[["2013",6]]}}}],"schema":"https://github.com/citation-style-language/schema/raw/master/csl-citation.json"} </w:instrText>
      </w:r>
      <w:r>
        <w:fldChar w:fldCharType="separate"/>
      </w:r>
      <w:r w:rsidR="003902A3" w:rsidRPr="003902A3">
        <w:rPr>
          <w:rFonts w:ascii="Calibri" w:hAnsi="Calibri"/>
        </w:rPr>
        <w:t>(490)</w:t>
      </w:r>
      <w:r>
        <w:fldChar w:fldCharType="end"/>
      </w:r>
      <w:r>
        <w:t xml:space="preserve">. Moreover, there is known overlap of tissue expression and functions between the different Upds </w:t>
      </w:r>
      <w:r>
        <w:fldChar w:fldCharType="begin"/>
      </w:r>
      <w:r w:rsidR="000A209C">
        <w:instrText xml:space="preserve"> ADDIN ZOTERO_ITEM CSL_CITATION {"citationID":"Sc9BtK3L","properties":{"formattedCitation":"(491,492)","plainCitation":"(491,492)","noteIndex":0},"citationItems":[{"id":83,"uris":["http://zotero.org/users/952979/items/6E92QTTB"],"uri":["http://zotero.org/users/952979/items/6E92QTTB"],"itemData":{"id":83,"type":"article-journal","title":"Pleiotropy of the Drosophila JAK pathway cytokine Unpaired 3 in development and aging","container-title":"Developmental Biology","page":"218-231","volume":"395","issue":"2","source":"PubMed","abstract":"The Janus kinase (JAK) pathway is an essential, highly re-utilized developmental signaling cascade found in most metazoans. In vertebrates, the JAK intracellular cascade mediates signaling by dozens of cytokines and growth factors. In Drosophila, the Unpaired (Upd) family, encoded by three tandemly duplicated genes, is the only class of ligands associated with JAK stimulation. Unpaired has a central role in activation of JAK for most pathway functions, while Unpaired 2 regulates body size through insulin signaling. We show here that the third member of the family, unpaired 3 (upd3), overlaps upd in expression in some tissues and is essential for a subset of JAK-mediated developmental functions. First, consistent with the known requirements of JAK signaling in gametogenesis, we find that mutants of upd3 show an age-dependent impairment of fertility in both sexes. In oogenesis, graded JAK activity stimulated by Upd specifies the fates of the somatic follicle cells. As upd3 mutant females age, defects arise that can be attributed to perturbations of the terminal follicle cells, which require the highest levels of JAK activation. Therefore, in oogenesis, the activities of Upd and Upd3 both appear to quantitatively contribute to specification of those follicle cell fates. Furthermore, the sensitization of upd3 mutants to age-related decline in fertility can be used to investigate reproductive senescence. Second, loss of Upd3 during imaginal development results in defects of adult structures, including reduced eye size and abnormal wing and haltere posture. The outstretched wing and small eye phenotypes resemble classical alleles referred to as outstretched (os) mutations that have been previously ascribed to upd. However, we show that os alleles affect expression of both upd and upd3 and map to untranscribed regions, suggesting that they disrupt regulatory elements shared by both genes. Thus the upd region serves as a genetically tractable model for coordinate regulation of tandemly duplicated gene families that are commonly found in higher eukaryotes.","DOI":"10.1016/j.ydbio.2014.09.015","ISSN":"1095-564X","note":"PMID: 25245869","journalAbbreviation":"Dev. Biol.","language":"eng","author":[{"family":"Wang","given":"Liqun"},{"family":"Sexton","given":"Travis R."},{"family":"Venard","given":"Claire"},{"family":"Giedt","given":"Michelle"},{"family":"Guo","given":"Qian"},{"family":"Chen","given":"Qian"},{"family":"Harrison","given":"Douglas A."}],"issued":{"date-parts":[["2014",11,15]]}}},{"id":1466,"uris":["http://zotero.org/users/952979/items/QSZIV9WC"],"uri":["http://zotero.org/users/952979/items/QSZIV9WC"],"itemData":{"id":1466,"type":"article-journal","title":"Differential activities of the Drosophila JAK/STAT pathway ligands Upd, Upd2 and Upd3","container-title":"Cellular Signalling","page":"920-927","volume":"23","issue":"5","source":"PubMed","abstract":"JAK/STAT signalling in vertebrates is activated by multiple cytokines and growth factors. By contrast, the Drosophila genome encodes for only three related JAK/STAT ligands, Upd, Upd2 and Upd3. Identifying the differences between these three ligands will ultimately lead to a greater understanding of this disease-related signalling pathway and its roles in development. Here, we describe the analysis of the least well characterised of the Upd-like ligands, Upd3. We show that in tissue culture-based assays Upd3-GFP is secreted from cells and appears to interact with the extracellular matrix (ECM) in a similar manner to Upd, while still non-autonomously activating JAK/STAT signalling. Quantification of each of the Upd-like ligands in conditioned media has allowed us to determine the activity of equal amounts of each ligand on JAK/STAT ex vivo and reveals that Upd is the most potent ligand in this system. Finally, investigations into the effects of ectopic expression of Upd3 in vivo have confirmed its ability to activate pathway signalling at long-distance.","DOI":"10.1016/j.cellsig.2011.01.020","ISSN":"1873-3913","note":"PMID: 21262354","journalAbbreviation":"Cell. Signal.","language":"eng","author":[{"family":"Wright","given":"Victoria M."},{"family":"Vogt","given":"Katja L."},{"family":"Smythe","given":"Elizabeth"},{"family":"Zeidler","given":"Martin P."}],"issued":{"date-parts":[["2011",5]]}}}],"schema":"https://github.com/citation-style-language/schema/raw/master/csl-citation.json"} </w:instrText>
      </w:r>
      <w:r>
        <w:fldChar w:fldCharType="separate"/>
      </w:r>
      <w:r w:rsidR="003902A3" w:rsidRPr="003902A3">
        <w:rPr>
          <w:rFonts w:ascii="Calibri" w:hAnsi="Calibri"/>
        </w:rPr>
        <w:t>(491,492)</w:t>
      </w:r>
      <w:r>
        <w:fldChar w:fldCharType="end"/>
      </w:r>
      <w:r>
        <w:t xml:space="preserve">. We have previously demonstrated that mutations in </w:t>
      </w:r>
      <w:r w:rsidRPr="00803984">
        <w:rPr>
          <w:i/>
        </w:rPr>
        <w:t>Upd</w:t>
      </w:r>
      <w:r>
        <w:t xml:space="preserve"> could increase hemocyte responses to wounding. To investigate if this was specific to Upd and to investigate if Upd3 was functionally similar to IL-6 we utilised an RNAi construct that targets </w:t>
      </w:r>
      <w:r w:rsidRPr="00F807F1">
        <w:rPr>
          <w:i/>
        </w:rPr>
        <w:t>Upd3</w:t>
      </w:r>
      <w:r>
        <w:t xml:space="preserve"> (</w:t>
      </w:r>
      <w:proofErr w:type="gramStart"/>
      <w:r>
        <w:rPr>
          <w:i/>
        </w:rPr>
        <w:t>w;Srp</w:t>
      </w:r>
      <w:proofErr w:type="gramEnd"/>
      <w:r>
        <w:rPr>
          <w:i/>
        </w:rPr>
        <w:t>-GAL4,UAS-</w:t>
      </w:r>
      <w:r w:rsidRPr="000D4C71">
        <w:rPr>
          <w:i/>
        </w:rPr>
        <w:t>GFP/UAS-</w:t>
      </w:r>
      <w:r>
        <w:rPr>
          <w:i/>
        </w:rPr>
        <w:t>RNAi-</w:t>
      </w:r>
      <w:r w:rsidRPr="000D4C71">
        <w:rPr>
          <w:i/>
        </w:rPr>
        <w:t>Upd</w:t>
      </w:r>
      <w:r>
        <w:rPr>
          <w:i/>
        </w:rPr>
        <w:t>3</w:t>
      </w:r>
      <w:r w:rsidRPr="000D4C71">
        <w:rPr>
          <w:i/>
        </w:rPr>
        <w:t>;Crq</w:t>
      </w:r>
      <w:r>
        <w:rPr>
          <w:i/>
        </w:rPr>
        <w:t>-GAL4,UAS-</w:t>
      </w:r>
      <w:r w:rsidRPr="000D4C71">
        <w:rPr>
          <w:i/>
        </w:rPr>
        <w:t>GFP/+</w:t>
      </w:r>
      <w:r>
        <w:t>). In the pre-wound images, there were no obvious differences in numbers or morphology of hemocytes on the ventral midline between controls and embryos containing RNAi of Upd3 in hemocytes (Fig 5.7 A-A’). Following wounding, we did not observe a difference in the number of hemocytes per μm</w:t>
      </w:r>
      <w:r>
        <w:rPr>
          <w:vertAlign w:val="superscript"/>
        </w:rPr>
        <w:t>2</w:t>
      </w:r>
      <w:r>
        <w:t xml:space="preserve"> of wound area (n=21 and 15 for control and </w:t>
      </w:r>
      <w:r w:rsidRPr="009E3FF6">
        <w:rPr>
          <w:i/>
        </w:rPr>
        <w:t>UAS-RNAi-Upd3</w:t>
      </w:r>
      <w:r>
        <w:t xml:space="preserve"> embryos respectively, p=0.665 via Student’s t-test, Fig 5.7 B). This suggests that Upd3 is not affecting hemocyte responses to wounding, however, we could not confirm that the RNAi was functioning correctly. </w:t>
      </w:r>
    </w:p>
    <w:p w14:paraId="72943EA9" w14:textId="77777777" w:rsidR="00A92BC4" w:rsidRDefault="00A92BC4" w:rsidP="00A92BC4">
      <w:pPr>
        <w:pStyle w:val="Thesisnormal"/>
      </w:pPr>
    </w:p>
    <w:p w14:paraId="3C34D806" w14:textId="77777777" w:rsidR="00A92BC4" w:rsidRDefault="00A92BC4" w:rsidP="00A92BC4">
      <w:pPr>
        <w:pStyle w:val="Thesisnormal"/>
      </w:pPr>
    </w:p>
    <w:p w14:paraId="5250371E" w14:textId="77777777" w:rsidR="00A92BC4" w:rsidRDefault="00A92BC4" w:rsidP="00A92BC4">
      <w:pPr>
        <w:pStyle w:val="Thesisnormal"/>
      </w:pPr>
      <w:r>
        <w:rPr>
          <w:noProof/>
          <w:lang w:eastAsia="en-GB"/>
        </w:rPr>
        <w:lastRenderedPageBreak/>
        <w:drawing>
          <wp:inline distT="0" distB="0" distL="0" distR="0" wp14:anchorId="1DB4C6BE" wp14:editId="3B392B6F">
            <wp:extent cx="5932715" cy="3429000"/>
            <wp:effectExtent l="0" t="0" r="0" b="0"/>
            <wp:docPr id="50" name="Picture 50" descr="C:\Users\Gigabyte\Dropbox\PhD\Writing\Thesis\Chapter 5 JAK STAT signalling in the embryo\Figures\RNAi-Upd3 wounding fig\RNAi Upd3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gabyte\Dropbox\PhD\Writing\Thesis\Chapter 5 JAK STAT signalling in the embryo\Figures\RNAi-Upd3 wounding fig\RNAi Upd3 Wounding fig.ti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58" t="1386" r="2146" b="58942"/>
                    <a:stretch/>
                  </pic:blipFill>
                  <pic:spPr bwMode="auto">
                    <a:xfrm>
                      <a:off x="0" y="0"/>
                      <a:ext cx="5935348" cy="3430522"/>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A5F6B0A" w14:textId="4AA0A659" w:rsidR="00A92BC4" w:rsidRPr="00465CB9" w:rsidRDefault="00A92BC4" w:rsidP="00A92BC4">
      <w:pPr>
        <w:pStyle w:val="NoSpacing"/>
        <w:rPr>
          <w:b/>
        </w:rPr>
      </w:pPr>
      <w:r>
        <w:rPr>
          <w:b/>
        </w:rPr>
        <w:t>Figure 5</w:t>
      </w:r>
      <w:r w:rsidRPr="00465CB9">
        <w:rPr>
          <w:b/>
        </w:rPr>
        <w:t>.</w:t>
      </w:r>
      <w:r>
        <w:rPr>
          <w:b/>
        </w:rPr>
        <w:t>7</w:t>
      </w:r>
      <w:r w:rsidRPr="00465CB9">
        <w:rPr>
          <w:b/>
        </w:rPr>
        <w:t xml:space="preserve"> Hemocytes in embryos with Upd</w:t>
      </w:r>
      <w:r>
        <w:rPr>
          <w:b/>
        </w:rPr>
        <w:t>3</w:t>
      </w:r>
      <w:r w:rsidRPr="00465CB9">
        <w:rPr>
          <w:b/>
        </w:rPr>
        <w:t xml:space="preserve"> </w:t>
      </w:r>
      <w:r>
        <w:rPr>
          <w:b/>
        </w:rPr>
        <w:t>knockdown do not display different</w:t>
      </w:r>
      <w:r w:rsidRPr="00465CB9">
        <w:rPr>
          <w:b/>
        </w:rPr>
        <w:t xml:space="preserve"> </w:t>
      </w:r>
      <w:r w:rsidR="00A06D46">
        <w:rPr>
          <w:b/>
        </w:rPr>
        <w:t>numbers of hemocytes recruited to wounds</w:t>
      </w:r>
      <w:r>
        <w:rPr>
          <w:b/>
        </w:rPr>
        <w:t xml:space="preserve">. </w:t>
      </w:r>
    </w:p>
    <w:p w14:paraId="699A431C" w14:textId="6619109E" w:rsidR="00A92BC4" w:rsidRDefault="00A92BC4" w:rsidP="00A92BC4">
      <w:pPr>
        <w:pStyle w:val="NoSpacing"/>
      </w:pPr>
      <w:r>
        <w:t>(A) Representative stills of GFP-labelled hemocytes in stage 15 embryos pre-wounding of controls (</w:t>
      </w:r>
      <w:r>
        <w:rPr>
          <w:i/>
        </w:rPr>
        <w:t>w;Srp-GAL4,UAS-</w:t>
      </w:r>
      <w:r w:rsidRPr="000D4C71">
        <w:rPr>
          <w:i/>
        </w:rPr>
        <w:t>GFP/</w:t>
      </w:r>
      <w:r>
        <w:rPr>
          <w:i/>
        </w:rPr>
        <w:t>+;</w:t>
      </w:r>
      <w:r w:rsidRPr="000D4C71">
        <w:rPr>
          <w:i/>
        </w:rPr>
        <w:t>Crq</w:t>
      </w:r>
      <w:r>
        <w:rPr>
          <w:i/>
        </w:rPr>
        <w:t>-GAL4,UAS-</w:t>
      </w:r>
      <w:r w:rsidRPr="000D4C71">
        <w:rPr>
          <w:i/>
        </w:rPr>
        <w:t>GFP/+</w:t>
      </w:r>
      <w:r>
        <w:t>) and embryos with Upd3 knocked down via RNAi specifically in hemocytes (</w:t>
      </w:r>
      <w:r>
        <w:rPr>
          <w:i/>
        </w:rPr>
        <w:t>w;Srp-GAL4,UAS-</w:t>
      </w:r>
      <w:r w:rsidRPr="000D4C71">
        <w:rPr>
          <w:i/>
        </w:rPr>
        <w:t>GFP/UAS-</w:t>
      </w:r>
      <w:r>
        <w:rPr>
          <w:i/>
        </w:rPr>
        <w:t>RNAi-</w:t>
      </w:r>
      <w:r w:rsidRPr="000D4C71">
        <w:rPr>
          <w:i/>
        </w:rPr>
        <w:t>Upd</w:t>
      </w:r>
      <w:r>
        <w:rPr>
          <w:i/>
        </w:rPr>
        <w:t>3</w:t>
      </w:r>
      <w:r w:rsidRPr="000D4C71">
        <w:rPr>
          <w:i/>
        </w:rPr>
        <w:t>;Crq</w:t>
      </w:r>
      <w:r>
        <w:rPr>
          <w:i/>
        </w:rPr>
        <w:t>-GAL4,UAS-</w:t>
      </w:r>
      <w:r w:rsidRPr="000D4C71">
        <w:rPr>
          <w:i/>
        </w:rPr>
        <w:t>GFP/+</w:t>
      </w:r>
      <w:r>
        <w:t xml:space="preserve">). (A’) Representative stills of embryos 60-minute post-wounding.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n=21 and 15 for control and </w:t>
      </w:r>
      <w:r w:rsidRPr="009E3FF6">
        <w:rPr>
          <w:i/>
        </w:rPr>
        <w:t>UAS-RNAi-Upd3</w:t>
      </w:r>
      <w:r>
        <w:t xml:space="preserve"> embryos respectively. Student’s t-test, p=0.665. White dashed ovals outline wound perimeter. Scale bars represent 20μm.</w:t>
      </w:r>
    </w:p>
    <w:p w14:paraId="5E0D7943" w14:textId="77777777" w:rsidR="00A92BC4" w:rsidRDefault="00A92BC4" w:rsidP="00A92BC4">
      <w:pPr>
        <w:pStyle w:val="Thesisnormal"/>
      </w:pPr>
    </w:p>
    <w:p w14:paraId="45F1F55A" w14:textId="77777777" w:rsidR="00A92BC4" w:rsidRDefault="00A92BC4" w:rsidP="00A92BC4">
      <w:pPr>
        <w:pStyle w:val="Thesisnormal"/>
      </w:pPr>
    </w:p>
    <w:p w14:paraId="6E5E5AC1" w14:textId="3B98C392" w:rsidR="00A92BC4" w:rsidRDefault="00A92BC4" w:rsidP="00A92BC4">
      <w:pPr>
        <w:pStyle w:val="Heading3"/>
      </w:pPr>
      <w:bookmarkStart w:id="218" w:name="_Toc515560591"/>
      <w:bookmarkStart w:id="219" w:name="_Toc4589377"/>
      <w:r>
        <w:t>5</w:t>
      </w:r>
      <w:r w:rsidRPr="002D59A3">
        <w:t>.2.</w:t>
      </w:r>
      <w:r>
        <w:t>6</w:t>
      </w:r>
      <w:r w:rsidRPr="002D59A3">
        <w:t xml:space="preserve"> </w:t>
      </w:r>
      <w:bookmarkEnd w:id="218"/>
      <w:r>
        <w:t xml:space="preserve">Hemocytes with mutations in Dome exhibit </w:t>
      </w:r>
      <w:r w:rsidR="00A06D46">
        <w:t>increased hemocyte recruitment to</w:t>
      </w:r>
      <w:r>
        <w:t xml:space="preserve"> </w:t>
      </w:r>
      <w:r w:rsidR="00A06D46">
        <w:t>wounds</w:t>
      </w:r>
      <w:bookmarkEnd w:id="219"/>
    </w:p>
    <w:p w14:paraId="34CC8EE2" w14:textId="77777777" w:rsidR="00A92BC4" w:rsidRDefault="00A92BC4" w:rsidP="00A92BC4">
      <w:pPr>
        <w:pStyle w:val="Thesisnormal"/>
        <w:rPr>
          <w:highlight w:val="yellow"/>
        </w:rPr>
      </w:pPr>
    </w:p>
    <w:p w14:paraId="269235D1" w14:textId="74E6A7EF" w:rsidR="00A92BC4" w:rsidRPr="00A74A86" w:rsidRDefault="00A92BC4" w:rsidP="00A92BC4">
      <w:pPr>
        <w:pStyle w:val="Thesisnormal"/>
      </w:pPr>
      <w:r>
        <w:t xml:space="preserve">So far, we have examined the roles of Upd and Upd3 in hemocyte recruitment to wounds. When Upd mutants were used, we found an increased hemocyte response to sites of injury. However, when Upd was overexpressed specifically within hemocytes, we did not observe any alterations in the response of hemocytes to wounding. </w:t>
      </w:r>
      <w:r w:rsidRPr="00F13F0B">
        <w:t xml:space="preserve">We next investigated </w:t>
      </w:r>
      <w:r>
        <w:t xml:space="preserve">the effect of expressing dominant negative Dome (the JAK/STAT receptor) within hemocytes on </w:t>
      </w:r>
      <w:r w:rsidR="00A06D46">
        <w:t>recruitment to wounds</w:t>
      </w:r>
      <w:r>
        <w:t xml:space="preserve">. Having shown that Upd was required for normal </w:t>
      </w:r>
      <w:r w:rsidR="00A06D46">
        <w:t>recruitment to wounds</w:t>
      </w:r>
      <w:r>
        <w:t xml:space="preserve">, we hypothesised that loss of Dome would also increase hemocyte responses to wounding. We therefore utilised two mutant Dome transgenes: </w:t>
      </w:r>
      <w:r w:rsidRPr="00F807F1">
        <w:rPr>
          <w:i/>
        </w:rPr>
        <w:t>UAS-Dome</w:t>
      </w:r>
      <w:r w:rsidRPr="00F807F1">
        <w:rPr>
          <w:i/>
          <w:vertAlign w:val="superscript"/>
        </w:rPr>
        <w:t>DTMCYT</w:t>
      </w:r>
      <w:r w:rsidRPr="00F807F1">
        <w:rPr>
          <w:i/>
        </w:rPr>
        <w:t xml:space="preserve"> </w:t>
      </w:r>
      <w:r>
        <w:t xml:space="preserve">and </w:t>
      </w:r>
      <w:r w:rsidRPr="00F807F1">
        <w:rPr>
          <w:i/>
        </w:rPr>
        <w:t>UAS-</w:t>
      </w:r>
      <w:r w:rsidRPr="00F807F1">
        <w:rPr>
          <w:i/>
        </w:rPr>
        <w:lastRenderedPageBreak/>
        <w:t>Dome</w:t>
      </w:r>
      <w:r w:rsidRPr="00F807F1">
        <w:rPr>
          <w:i/>
          <w:vertAlign w:val="superscript"/>
        </w:rPr>
        <w:t>ΔCYT</w:t>
      </w:r>
      <w:r w:rsidRPr="00F807F1">
        <w:rPr>
          <w:i/>
        </w:rPr>
        <w:t>.</w:t>
      </w:r>
      <w:r>
        <w:t xml:space="preserve"> Both constructs encode proteins lacking the intracellular domain of Dome, but </w:t>
      </w:r>
      <w:r w:rsidRPr="009E3FF6">
        <w:t>Dome</w:t>
      </w:r>
      <w:r w:rsidRPr="009E3FF6">
        <w:rPr>
          <w:vertAlign w:val="superscript"/>
        </w:rPr>
        <w:t>DTMCYT</w:t>
      </w:r>
      <w:r>
        <w:t xml:space="preserve"> also lacks the transmembrane domain and is therefore secreted </w:t>
      </w:r>
      <w:r>
        <w:fldChar w:fldCharType="begin"/>
      </w:r>
      <w:r w:rsidR="000A209C">
        <w:instrText xml:space="preserve"> ADDIN ZOTERO_ITEM CSL_CITATION {"citationID":"lkBZs8O2","properties":{"formattedCitation":"(312)","plainCitation":"(312)","noteIndex":0},"citationItems":[{"id":1624,"uris":["http://zotero.org/users/952979/items/GVTM8UAU"],"uri":["http://zotero.org/users/952979/items/GVTM8UAU"],"itemData":{"id":1624,"type":"article-journal","title":"Identification of the first invertebrate interleukin JAK/STAT receptor, the Drosophila gene domeless","container-title":"Current biology: CB","page":"1700-1705","volume":"11","issue":"21","source":"PubMed","abstract":"The JAK/STAT signaling pathway plays important roles in vertebrate development and the regulation of complex cellular processes. Components of the pathway are conserved in Dictyostelium, Caenorhabditis, and Drosophila, yet the complete sequencing and annotation of the D. melanogaster and C. elegans genomes has failed to identify a receptor, raising the possibility that an alternative type of receptor exists for the invertebrate JAK/STAT pathway. Here we show that domeless (dome) codes for a transmembrane protein required for all JAK/STAT functions in the Drosophila embryo. This includes its known requirement for embryonic segmentation and a newly discovered function in trachea specification. The DOME protein has a similar extracellular structure to the vertebrate cytokine class I receptors, although its sequence has greatly diverged. Like many interleukin receptors, DOME has a cytokine binding homology module (CBM) and three extracellular fibronectin-type-III domains (FnIII). Despite its low degree of overall similarity, key amino acids required for signaling in the vertebrate cytokine class I receptors [3] are conserved in the CBM region. DOME is a signal-transducing receptor with most similarities to the IL-6 receptor family, but it also has characteristics found in the IL-3 receptor family. This suggests that the vertebrate families evolved from a single ancestral receptor that also gave rise to dome.","ISSN":"0960-9822","note":"PMID: 11696329","journalAbbreviation":"Curr. Biol.","language":"eng","author":[{"family":"Brown","given":"S."},{"family":"Hu","given":"N."},{"family":"Hombría","given":"J. C."}],"issued":{"date-parts":[["2001",10,30]]}}}],"schema":"https://github.com/citation-style-language/schema/raw/master/csl-citation.json"} </w:instrText>
      </w:r>
      <w:r>
        <w:fldChar w:fldCharType="separate"/>
      </w:r>
      <w:r w:rsidR="004A1963" w:rsidRPr="004A1963">
        <w:rPr>
          <w:rFonts w:ascii="Calibri" w:hAnsi="Calibri"/>
        </w:rPr>
        <w:t>(312)</w:t>
      </w:r>
      <w:r>
        <w:fldChar w:fldCharType="end"/>
      </w:r>
      <w:r>
        <w:t>. We wounded embryos with these transgenes specifically expressed in hemocytes (</w:t>
      </w:r>
      <w:r w:rsidRPr="000121DD">
        <w:rPr>
          <w:i/>
        </w:rPr>
        <w:t>w;</w:t>
      </w:r>
      <w:r>
        <w:rPr>
          <w:i/>
        </w:rPr>
        <w:t>Srp-GAL4,UAS-GFP</w:t>
      </w:r>
      <w:r w:rsidRPr="000121DD">
        <w:rPr>
          <w:i/>
        </w:rPr>
        <w:t>/UAS-Dome</w:t>
      </w:r>
      <w:r w:rsidRPr="000121DD">
        <w:rPr>
          <w:i/>
          <w:vertAlign w:val="superscript"/>
        </w:rPr>
        <w:t>DTMCYT</w:t>
      </w:r>
      <w:r w:rsidRPr="000121DD">
        <w:rPr>
          <w:i/>
        </w:rPr>
        <w:t>;</w:t>
      </w:r>
      <w:r>
        <w:rPr>
          <w:i/>
        </w:rPr>
        <w:t>Crq-GAL4,UAS-GFP</w:t>
      </w:r>
      <w:r w:rsidRPr="000121DD">
        <w:rPr>
          <w:i/>
        </w:rPr>
        <w:t>/+</w:t>
      </w:r>
      <w:r>
        <w:t xml:space="preserve"> and </w:t>
      </w:r>
      <w:r w:rsidRPr="000121DD">
        <w:rPr>
          <w:i/>
        </w:rPr>
        <w:t>w;</w:t>
      </w:r>
      <w:r>
        <w:rPr>
          <w:i/>
        </w:rPr>
        <w:t>Srp-GAL4,UAS-GFP</w:t>
      </w:r>
      <w:r w:rsidRPr="000121DD">
        <w:rPr>
          <w:i/>
        </w:rPr>
        <w:t>/UAS-Dome</w:t>
      </w:r>
      <w:r w:rsidRPr="000121DD">
        <w:rPr>
          <w:i/>
          <w:vertAlign w:val="superscript"/>
        </w:rPr>
        <w:t>∆CYT</w:t>
      </w:r>
      <w:r w:rsidRPr="000121DD">
        <w:rPr>
          <w:i/>
        </w:rPr>
        <w:t>;</w:t>
      </w:r>
      <w:r>
        <w:rPr>
          <w:i/>
        </w:rPr>
        <w:t>Crq-GAL4,UAS-GFP</w:t>
      </w:r>
      <w:r w:rsidRPr="000121DD">
        <w:rPr>
          <w:i/>
        </w:rPr>
        <w:t>/+</w:t>
      </w:r>
      <w:r>
        <w:t xml:space="preserve">) and then imaged the embryos for 60-minutes post-wounding (Fig 5.8 A-A’). Neither Dome construct altered numbers of hemocytes on the ventral midline prior to wounding when expressed in hemocytes and compared to controls (n=8, 9 and 7 embryos for control, </w:t>
      </w:r>
      <w:r w:rsidRPr="009E3FF6">
        <w:rPr>
          <w:i/>
        </w:rPr>
        <w:t>Dome</w:t>
      </w:r>
      <w:r w:rsidRPr="009E3FF6">
        <w:rPr>
          <w:i/>
          <w:vertAlign w:val="superscript"/>
        </w:rPr>
        <w:t>DTMCYT</w:t>
      </w:r>
      <w:r>
        <w:t xml:space="preserve"> and </w:t>
      </w:r>
      <w:r w:rsidRPr="009E3FF6">
        <w:rPr>
          <w:i/>
        </w:rPr>
        <w:t>Dome</w:t>
      </w:r>
      <w:r w:rsidRPr="009E3FF6">
        <w:rPr>
          <w:i/>
          <w:vertAlign w:val="superscript"/>
        </w:rPr>
        <w:t>ΔCYT</w:t>
      </w:r>
      <w:r>
        <w:t>, respectively; p&lt;0.05 via One-way ANOVA with Dunnett’s multiple comparisons test; Fig 5.8 B). However, we found a significant increase in the number of hemocytes per μm</w:t>
      </w:r>
      <w:r>
        <w:rPr>
          <w:vertAlign w:val="superscript"/>
        </w:rPr>
        <w:t>2</w:t>
      </w:r>
      <w:r>
        <w:t xml:space="preserve"> of wound area on hemocyte-expression of either </w:t>
      </w:r>
      <w:r w:rsidRPr="00F807F1">
        <w:rPr>
          <w:i/>
        </w:rPr>
        <w:t xml:space="preserve">UAS-Dome </w:t>
      </w:r>
      <w:r>
        <w:t xml:space="preserve">transgene (n= 16, 25 and 29 embryos for control, </w:t>
      </w:r>
      <w:r w:rsidRPr="009E3FF6">
        <w:rPr>
          <w:i/>
        </w:rPr>
        <w:t>Dome</w:t>
      </w:r>
      <w:r w:rsidRPr="009E3FF6">
        <w:rPr>
          <w:i/>
          <w:vertAlign w:val="superscript"/>
        </w:rPr>
        <w:t>DTMCYT</w:t>
      </w:r>
      <w:r>
        <w:t xml:space="preserve"> and </w:t>
      </w:r>
      <w:r w:rsidRPr="009E3FF6">
        <w:rPr>
          <w:i/>
        </w:rPr>
        <w:t>Dome</w:t>
      </w:r>
      <w:r w:rsidRPr="009E3FF6">
        <w:rPr>
          <w:i/>
          <w:vertAlign w:val="superscript"/>
        </w:rPr>
        <w:t>ΔCYT</w:t>
      </w:r>
      <w:r>
        <w:t xml:space="preserve">, respectively; p&lt;0.05 via One-way ANOVA with Dunnett’s multiple comparisons test; Fig 5.8 C). This data demonstrates that loss of Dome within hemocytes increases hemocyte responses to wounding, a pro-inflammatory behaviour of innate immune cells. Furthermore, this result is not an indirect consequence of enhanced numbers of hemocytes available to respond to wounds. Therefore, combined with our </w:t>
      </w:r>
      <w:r w:rsidRPr="00F807F1">
        <w:rPr>
          <w:i/>
        </w:rPr>
        <w:t xml:space="preserve">Upd </w:t>
      </w:r>
      <w:r>
        <w:t>loss-of-function results, this suggests that JAK/STAT signalling in hemocytes is anti-inflammatory.</w:t>
      </w:r>
    </w:p>
    <w:p w14:paraId="522751DD" w14:textId="77777777" w:rsidR="00A92BC4" w:rsidRDefault="00A92BC4" w:rsidP="00A92BC4">
      <w:pPr>
        <w:pStyle w:val="Thesisnormal"/>
        <w:rPr>
          <w:highlight w:val="yellow"/>
        </w:rPr>
      </w:pPr>
    </w:p>
    <w:p w14:paraId="497C7B4D" w14:textId="77777777" w:rsidR="00A92BC4" w:rsidRDefault="00A92BC4" w:rsidP="00A92BC4">
      <w:pPr>
        <w:pStyle w:val="Thesisnormal"/>
        <w:rPr>
          <w:highlight w:val="yellow"/>
        </w:rPr>
      </w:pPr>
    </w:p>
    <w:p w14:paraId="47932804" w14:textId="77777777" w:rsidR="00A92BC4" w:rsidRDefault="00A92BC4" w:rsidP="00A92BC4">
      <w:pPr>
        <w:pStyle w:val="Thesisnormal"/>
        <w:rPr>
          <w:highlight w:val="yellow"/>
        </w:rPr>
      </w:pPr>
    </w:p>
    <w:p w14:paraId="737302A2" w14:textId="77777777" w:rsidR="00A92BC4" w:rsidRDefault="00A92BC4" w:rsidP="00A92BC4">
      <w:pPr>
        <w:pStyle w:val="Thesisnormal"/>
        <w:rPr>
          <w:highlight w:val="yellow"/>
        </w:rPr>
      </w:pPr>
    </w:p>
    <w:p w14:paraId="1E38F13F" w14:textId="77777777" w:rsidR="00A92BC4" w:rsidRDefault="00A92BC4" w:rsidP="00A92BC4">
      <w:pPr>
        <w:pStyle w:val="Thesisnormal"/>
        <w:rPr>
          <w:noProof/>
          <w:lang w:eastAsia="en-GB"/>
        </w:rPr>
      </w:pPr>
    </w:p>
    <w:p w14:paraId="098BC30D" w14:textId="77777777" w:rsidR="00A92BC4" w:rsidRDefault="00A92BC4" w:rsidP="00A92BC4">
      <w:pPr>
        <w:pStyle w:val="Thesisnormal"/>
        <w:rPr>
          <w:highlight w:val="yellow"/>
        </w:rPr>
      </w:pPr>
      <w:r>
        <w:rPr>
          <w:noProof/>
          <w:lang w:eastAsia="en-GB"/>
        </w:rPr>
        <w:lastRenderedPageBreak/>
        <w:drawing>
          <wp:inline distT="0" distB="0" distL="0" distR="0" wp14:anchorId="1B4414F2" wp14:editId="1DE456AB">
            <wp:extent cx="5830025" cy="6334125"/>
            <wp:effectExtent l="0" t="0" r="0" b="0"/>
            <wp:docPr id="51" name="Picture 51" descr="D:\Dropbox\PhD\Writing\Thesis\Chapter 5 JAK STAT signalling in the embryo\Figures\Dome mutant wounding fig\Dome mutant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PhD\Writing\Thesis\Chapter 5 JAK STAT signalling in the embryo\Figures\Dome mutant wounding fig\Dome mutant wounding fig.ti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504" r="2325" b="27204"/>
                    <a:stretch/>
                  </pic:blipFill>
                  <pic:spPr bwMode="auto">
                    <a:xfrm>
                      <a:off x="0" y="0"/>
                      <a:ext cx="5831498" cy="6335725"/>
                    </a:xfrm>
                    <a:prstGeom prst="rect">
                      <a:avLst/>
                    </a:prstGeom>
                    <a:noFill/>
                    <a:ln>
                      <a:noFill/>
                    </a:ln>
                    <a:extLst>
                      <a:ext uri="{53640926-AAD7-44D8-BBD7-CCE9431645EC}">
                        <a14:shadowObscured xmlns:a14="http://schemas.microsoft.com/office/drawing/2010/main"/>
                      </a:ext>
                    </a:extLst>
                  </pic:spPr>
                </pic:pic>
              </a:graphicData>
            </a:graphic>
          </wp:inline>
        </w:drawing>
      </w:r>
    </w:p>
    <w:p w14:paraId="51C66FEF" w14:textId="5D408BB9" w:rsidR="00A92BC4" w:rsidRPr="00465CB9" w:rsidRDefault="00A92BC4" w:rsidP="00A92BC4">
      <w:pPr>
        <w:pStyle w:val="NoSpacing"/>
        <w:rPr>
          <w:b/>
        </w:rPr>
      </w:pPr>
      <w:r>
        <w:rPr>
          <w:b/>
        </w:rPr>
        <w:t>Figure 5</w:t>
      </w:r>
      <w:r w:rsidRPr="00465CB9">
        <w:rPr>
          <w:b/>
        </w:rPr>
        <w:t>.</w:t>
      </w:r>
      <w:r>
        <w:rPr>
          <w:b/>
        </w:rPr>
        <w:t>8</w:t>
      </w:r>
      <w:r w:rsidRPr="00465CB9">
        <w:rPr>
          <w:b/>
        </w:rPr>
        <w:t xml:space="preserve"> Hemocytes with </w:t>
      </w:r>
      <w:r>
        <w:rPr>
          <w:b/>
        </w:rPr>
        <w:t>deletions in Dome</w:t>
      </w:r>
      <w:r w:rsidRPr="00465CB9">
        <w:rPr>
          <w:b/>
        </w:rPr>
        <w:t xml:space="preserve"> </w:t>
      </w:r>
      <w:r>
        <w:rPr>
          <w:b/>
        </w:rPr>
        <w:t xml:space="preserve">display </w:t>
      </w:r>
      <w:r w:rsidR="00A06D46">
        <w:rPr>
          <w:b/>
        </w:rPr>
        <w:t>increased hemocyte recruitment to wounds</w:t>
      </w:r>
      <w:r>
        <w:rPr>
          <w:b/>
        </w:rPr>
        <w:t xml:space="preserve">. </w:t>
      </w:r>
    </w:p>
    <w:p w14:paraId="44C11617" w14:textId="13A4D41E" w:rsidR="00A92BC4" w:rsidRDefault="00A92BC4" w:rsidP="00A92BC4">
      <w:pPr>
        <w:pStyle w:val="NoSpacing"/>
      </w:pPr>
      <w:r>
        <w:t>(A) Representative stills of GFP-labelled hemocytes, pre-wounding of stage 15 controls (</w:t>
      </w:r>
      <w:r w:rsidRPr="000121DD">
        <w:rPr>
          <w:i/>
        </w:rPr>
        <w:t>w;</w:t>
      </w:r>
      <w:r>
        <w:rPr>
          <w:i/>
        </w:rPr>
        <w:t>Srp-GAL4,UAS-GFP/+</w:t>
      </w:r>
      <w:r w:rsidRPr="000121DD">
        <w:rPr>
          <w:i/>
        </w:rPr>
        <w:t>;</w:t>
      </w:r>
      <w:r>
        <w:rPr>
          <w:i/>
        </w:rPr>
        <w:t>Crq-GAL4,UAS-GFP</w:t>
      </w:r>
      <w:r w:rsidRPr="000121DD">
        <w:rPr>
          <w:i/>
        </w:rPr>
        <w:t>/+</w:t>
      </w:r>
      <w:r>
        <w:t xml:space="preserve">) and embryos in which </w:t>
      </w:r>
      <w:r w:rsidRPr="00F807F1">
        <w:rPr>
          <w:i/>
        </w:rPr>
        <w:t>UAS-Dome</w:t>
      </w:r>
      <w:r w:rsidRPr="00F807F1">
        <w:rPr>
          <w:i/>
          <w:vertAlign w:val="superscript"/>
        </w:rPr>
        <w:t>DTMCYT</w:t>
      </w:r>
      <w:r>
        <w:t xml:space="preserve"> (</w:t>
      </w:r>
      <w:r w:rsidRPr="000121DD">
        <w:rPr>
          <w:i/>
        </w:rPr>
        <w:t>w;</w:t>
      </w:r>
      <w:r>
        <w:rPr>
          <w:i/>
        </w:rPr>
        <w:t>Srp-GAL4,UAS-GFP</w:t>
      </w:r>
      <w:r w:rsidRPr="000121DD">
        <w:rPr>
          <w:i/>
        </w:rPr>
        <w:t>/UAS-Dome</w:t>
      </w:r>
      <w:r>
        <w:rPr>
          <w:i/>
          <w:vertAlign w:val="superscript"/>
        </w:rPr>
        <w:t>DTM</w:t>
      </w:r>
      <w:r w:rsidRPr="000121DD">
        <w:rPr>
          <w:i/>
          <w:vertAlign w:val="superscript"/>
        </w:rPr>
        <w:t>CYT</w:t>
      </w:r>
      <w:r w:rsidRPr="000121DD">
        <w:rPr>
          <w:i/>
        </w:rPr>
        <w:t>;</w:t>
      </w:r>
      <w:r>
        <w:rPr>
          <w:i/>
        </w:rPr>
        <w:t>Crq-GAL4,UAS-GFP</w:t>
      </w:r>
      <w:r w:rsidRPr="000121DD">
        <w:rPr>
          <w:i/>
        </w:rPr>
        <w:t>/+</w:t>
      </w:r>
      <w:r>
        <w:t xml:space="preserve">) and </w:t>
      </w:r>
      <w:r w:rsidRPr="00F807F1">
        <w:rPr>
          <w:i/>
        </w:rPr>
        <w:t>UAS-Dome</w:t>
      </w:r>
      <w:r w:rsidRPr="00F807F1">
        <w:rPr>
          <w:i/>
          <w:vertAlign w:val="superscript"/>
        </w:rPr>
        <w:t>ΔCYT</w:t>
      </w:r>
      <w:r w:rsidRPr="00F807F1">
        <w:rPr>
          <w:i/>
        </w:rPr>
        <w:t xml:space="preserve"> </w:t>
      </w:r>
      <w:r>
        <w:rPr>
          <w:i/>
        </w:rPr>
        <w:t>(</w:t>
      </w:r>
      <w:r w:rsidRPr="000121DD">
        <w:rPr>
          <w:i/>
        </w:rPr>
        <w:t>w;</w:t>
      </w:r>
      <w:r>
        <w:rPr>
          <w:i/>
        </w:rPr>
        <w:t>Srp-GAL4,UAS-GFP</w:t>
      </w:r>
      <w:r w:rsidRPr="000121DD">
        <w:rPr>
          <w:i/>
        </w:rPr>
        <w:t>/UAS-Dome</w:t>
      </w:r>
      <w:r w:rsidRPr="000121DD">
        <w:rPr>
          <w:i/>
          <w:vertAlign w:val="superscript"/>
        </w:rPr>
        <w:t>∆CYT</w:t>
      </w:r>
      <w:r w:rsidRPr="000121DD">
        <w:rPr>
          <w:i/>
        </w:rPr>
        <w:t>;</w:t>
      </w:r>
      <w:r>
        <w:rPr>
          <w:i/>
        </w:rPr>
        <w:t>Crq-GAL4,UAS-GFP</w:t>
      </w:r>
      <w:r w:rsidRPr="000121DD">
        <w:rPr>
          <w:i/>
        </w:rPr>
        <w:t>/+</w:t>
      </w:r>
      <w:r>
        <w:rPr>
          <w:i/>
        </w:rPr>
        <w:t xml:space="preserve">) </w:t>
      </w:r>
      <w:r>
        <w:t xml:space="preserve">are overexpressed in hemocytes (genotypes). (A’) Representative stills 60-minute post-wounding in stage 15 embryos. (B) Scatterplot of the hemocyte numbers on the ventral midline, pre-wounding. Lines and error bars represent mean ± SD; n=8, 9 and 7 for control, </w:t>
      </w:r>
      <w:r w:rsidRPr="00F807F1">
        <w:rPr>
          <w:i/>
        </w:rPr>
        <w:t>UAS-Dome</w:t>
      </w:r>
      <w:r w:rsidRPr="00F807F1">
        <w:rPr>
          <w:i/>
          <w:vertAlign w:val="superscript"/>
        </w:rPr>
        <w:t>DTMCYT</w:t>
      </w:r>
      <w:r w:rsidRPr="00F807F1">
        <w:rPr>
          <w:i/>
        </w:rPr>
        <w:t xml:space="preserve"> </w:t>
      </w:r>
      <w:r>
        <w:t xml:space="preserve">and </w:t>
      </w:r>
      <w:r w:rsidRPr="00F807F1">
        <w:rPr>
          <w:i/>
        </w:rPr>
        <w:t>UAS-Dome</w:t>
      </w:r>
      <w:r w:rsidRPr="00F807F1">
        <w:rPr>
          <w:i/>
          <w:vertAlign w:val="superscript"/>
        </w:rPr>
        <w:t>ΔCYT</w:t>
      </w:r>
      <w:r w:rsidRPr="00F807F1">
        <w:rPr>
          <w:i/>
        </w:rPr>
        <w:t xml:space="preserve"> </w:t>
      </w:r>
      <w:r>
        <w:t xml:space="preserve">embryos, respectively. (C)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n=16, 25 and 29 for control, </w:t>
      </w:r>
      <w:r w:rsidRPr="00F807F1">
        <w:rPr>
          <w:i/>
        </w:rPr>
        <w:t>UAS-Dome</w:t>
      </w:r>
      <w:r w:rsidRPr="00F807F1">
        <w:rPr>
          <w:i/>
          <w:vertAlign w:val="superscript"/>
        </w:rPr>
        <w:t>DTMCYT</w:t>
      </w:r>
      <w:r>
        <w:t xml:space="preserve"> and </w:t>
      </w:r>
      <w:r w:rsidRPr="00F807F1">
        <w:rPr>
          <w:i/>
        </w:rPr>
        <w:t>UAS-Dome</w:t>
      </w:r>
      <w:r w:rsidRPr="00F807F1">
        <w:rPr>
          <w:i/>
          <w:vertAlign w:val="superscript"/>
        </w:rPr>
        <w:t>ΔCYT</w:t>
      </w:r>
      <w:r w:rsidRPr="00F807F1">
        <w:rPr>
          <w:i/>
        </w:rPr>
        <w:t xml:space="preserve"> </w:t>
      </w:r>
      <w:r>
        <w:t xml:space="preserve">embryos, respectively; asterisk represents *p&lt; 0.05 via One-way ANOVA with </w:t>
      </w:r>
      <w:r>
        <w:lastRenderedPageBreak/>
        <w:t xml:space="preserve">Dunnett’s multiple comparisons test. White dashed ovals outline wound perimeter. Scale bars represent 20μm. </w:t>
      </w:r>
    </w:p>
    <w:p w14:paraId="3E794A45" w14:textId="77777777" w:rsidR="00A92BC4" w:rsidRDefault="00A92BC4" w:rsidP="00A92BC4">
      <w:pPr>
        <w:tabs>
          <w:tab w:val="left" w:pos="1590"/>
        </w:tabs>
      </w:pPr>
    </w:p>
    <w:p w14:paraId="4E2311B5" w14:textId="77777777" w:rsidR="00A92BC4" w:rsidRDefault="00A92BC4" w:rsidP="00A92BC4">
      <w:pPr>
        <w:pStyle w:val="Thesisnormal"/>
        <w:rPr>
          <w:highlight w:val="yellow"/>
        </w:rPr>
      </w:pPr>
    </w:p>
    <w:p w14:paraId="326B2206" w14:textId="77777777" w:rsidR="00A92BC4" w:rsidRDefault="00A92BC4" w:rsidP="00A92BC4">
      <w:pPr>
        <w:pStyle w:val="Heading3"/>
      </w:pPr>
      <w:bookmarkStart w:id="220" w:name="_Toc4589378"/>
      <w:r w:rsidRPr="008570C6">
        <w:t>5.2.</w:t>
      </w:r>
      <w:r>
        <w:t>7</w:t>
      </w:r>
      <w:r w:rsidRPr="008570C6">
        <w:t xml:space="preserve"> Hemocytes </w:t>
      </w:r>
      <w:r>
        <w:t xml:space="preserve">expressing dominant negative </w:t>
      </w:r>
      <w:r w:rsidRPr="008570C6">
        <w:t>Dome do not contain more apoptotic corpses</w:t>
      </w:r>
      <w:bookmarkEnd w:id="220"/>
    </w:p>
    <w:p w14:paraId="53050EC7" w14:textId="77777777" w:rsidR="00A92BC4" w:rsidRDefault="00A92BC4" w:rsidP="00A92BC4">
      <w:pPr>
        <w:pStyle w:val="Thesisnormal"/>
      </w:pPr>
    </w:p>
    <w:p w14:paraId="0414D6E4" w14:textId="77777777" w:rsidR="00A92BC4" w:rsidRDefault="00A92BC4" w:rsidP="00A92BC4">
      <w:pPr>
        <w:pStyle w:val="Thesisnormal"/>
      </w:pPr>
      <w:r>
        <w:t xml:space="preserve">As we had determined that Dome constructs lacking the intracellular region promoted inflammatory responses to wounding, we next examined an anti-inflammatory hemocyte function, efferocytosis. Using pre-wound images, we quantified the number of vacuoles within hemocytes for control, </w:t>
      </w:r>
      <w:r w:rsidRPr="009E3FF6">
        <w:rPr>
          <w:i/>
        </w:rPr>
        <w:t>Dome</w:t>
      </w:r>
      <w:r w:rsidRPr="009E3FF6">
        <w:rPr>
          <w:i/>
          <w:vertAlign w:val="superscript"/>
        </w:rPr>
        <w:t>DTMCYT</w:t>
      </w:r>
      <w:r>
        <w:t xml:space="preserve"> and </w:t>
      </w:r>
      <w:r w:rsidRPr="009E3FF6">
        <w:rPr>
          <w:i/>
        </w:rPr>
        <w:t>Dome</w:t>
      </w:r>
      <w:r w:rsidRPr="009E3FF6">
        <w:rPr>
          <w:i/>
          <w:vertAlign w:val="superscript"/>
        </w:rPr>
        <w:t>ΔCYT</w:t>
      </w:r>
      <w:r>
        <w:t xml:space="preserve"> constructs (Fig 5.9 A-A’). We found that the average number of vacuoles per hemocyte per embryo was not different between control and either Dome construct (n=8, 9 and 7 embryos for control, </w:t>
      </w:r>
      <w:r w:rsidRPr="009E3FF6">
        <w:rPr>
          <w:i/>
        </w:rPr>
        <w:t>Dome</w:t>
      </w:r>
      <w:r w:rsidRPr="009E3FF6">
        <w:rPr>
          <w:i/>
          <w:vertAlign w:val="superscript"/>
        </w:rPr>
        <w:t>DTMCYT</w:t>
      </w:r>
      <w:r>
        <w:t xml:space="preserve"> and </w:t>
      </w:r>
      <w:r w:rsidRPr="009E3FF6">
        <w:rPr>
          <w:i/>
        </w:rPr>
        <w:t>Dome</w:t>
      </w:r>
      <w:r w:rsidRPr="009E3FF6">
        <w:rPr>
          <w:i/>
          <w:vertAlign w:val="superscript"/>
        </w:rPr>
        <w:t>ΔCYT</w:t>
      </w:r>
      <w:r w:rsidRPr="009E3FF6">
        <w:rPr>
          <w:vertAlign w:val="superscript"/>
        </w:rPr>
        <w:t xml:space="preserve"> </w:t>
      </w:r>
      <w:r>
        <w:t xml:space="preserve">respectively, p=0.0809 and 0.996 for </w:t>
      </w:r>
      <w:r w:rsidRPr="009E3FF6">
        <w:rPr>
          <w:i/>
        </w:rPr>
        <w:t>Dome</w:t>
      </w:r>
      <w:r w:rsidRPr="009E3FF6">
        <w:rPr>
          <w:i/>
          <w:vertAlign w:val="superscript"/>
        </w:rPr>
        <w:t>DTMCYT</w:t>
      </w:r>
      <w:r>
        <w:t xml:space="preserve"> and </w:t>
      </w:r>
      <w:r w:rsidRPr="009E3FF6">
        <w:rPr>
          <w:i/>
        </w:rPr>
        <w:t>Dome</w:t>
      </w:r>
      <w:r w:rsidRPr="009E3FF6">
        <w:rPr>
          <w:i/>
          <w:vertAlign w:val="superscript"/>
        </w:rPr>
        <w:t>ΔCYT</w:t>
      </w:r>
      <w:r>
        <w:t xml:space="preserve"> respectively, via</w:t>
      </w:r>
      <w:r w:rsidRPr="00C408BB">
        <w:t xml:space="preserve"> </w:t>
      </w:r>
      <w:r>
        <w:t xml:space="preserve">One-way ANOVA with Dunnett’s multiple comparisons test; Fig 5.9 B). There is a slight decrease in the number of vacuoles per hemocyte in the </w:t>
      </w:r>
      <w:r w:rsidRPr="009E3FF6">
        <w:rPr>
          <w:i/>
        </w:rPr>
        <w:t>Dome</w:t>
      </w:r>
      <w:r w:rsidRPr="009E3FF6">
        <w:rPr>
          <w:i/>
          <w:vertAlign w:val="superscript"/>
        </w:rPr>
        <w:t>DTMCYT</w:t>
      </w:r>
      <w:r>
        <w:t xml:space="preserve"> mutation, although this is not significant. This suggests that Dome does not affect phagocytosis of apoptotic cells.</w:t>
      </w:r>
    </w:p>
    <w:p w14:paraId="2E84A034" w14:textId="77777777" w:rsidR="00A92BC4" w:rsidRDefault="00A92BC4" w:rsidP="00A92BC4">
      <w:pPr>
        <w:pStyle w:val="Thesisnormal"/>
      </w:pPr>
      <w:r>
        <w:t xml:space="preserve"> </w:t>
      </w:r>
    </w:p>
    <w:p w14:paraId="3102A749" w14:textId="77777777" w:rsidR="00A92BC4" w:rsidRDefault="00A92BC4" w:rsidP="00A92BC4">
      <w:pPr>
        <w:pStyle w:val="Thesisnormal"/>
        <w:rPr>
          <w:noProof/>
          <w:lang w:eastAsia="en-GB"/>
        </w:rPr>
      </w:pPr>
    </w:p>
    <w:p w14:paraId="4DD85E6E" w14:textId="77777777" w:rsidR="00A92BC4" w:rsidRDefault="00A92BC4" w:rsidP="00A92BC4">
      <w:pPr>
        <w:pStyle w:val="Thesisnormal"/>
        <w:rPr>
          <w:noProof/>
          <w:lang w:eastAsia="en-GB"/>
        </w:rPr>
      </w:pPr>
    </w:p>
    <w:p w14:paraId="00AB83AC" w14:textId="77777777" w:rsidR="00A92BC4" w:rsidRDefault="00A92BC4" w:rsidP="00A92BC4">
      <w:pPr>
        <w:pStyle w:val="Thesisnormal"/>
      </w:pPr>
      <w:r>
        <w:rPr>
          <w:noProof/>
          <w:lang w:eastAsia="en-GB"/>
        </w:rPr>
        <w:lastRenderedPageBreak/>
        <w:drawing>
          <wp:inline distT="0" distB="0" distL="0" distR="0" wp14:anchorId="5BDD8DED" wp14:editId="5D9A9297">
            <wp:extent cx="6043116" cy="5286375"/>
            <wp:effectExtent l="0" t="0" r="0" b="0"/>
            <wp:docPr id="52" name="Picture 52" descr="D:\Dropbox\PhD\Writing\Thesis\Chapter 5 JAK STAT signalling in the embryo\Figures\Dome mutant vacuole fig\Dome mutant vacuole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5 JAK STAT signalling in the embryo\Figures\Dome mutant vacuole fig\Dome mutant vacuole fig.ti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38413"/>
                    <a:stretch/>
                  </pic:blipFill>
                  <pic:spPr bwMode="auto">
                    <a:xfrm>
                      <a:off x="0" y="0"/>
                      <a:ext cx="6045865" cy="5288780"/>
                    </a:xfrm>
                    <a:prstGeom prst="rect">
                      <a:avLst/>
                    </a:prstGeom>
                    <a:noFill/>
                    <a:ln>
                      <a:noFill/>
                    </a:ln>
                    <a:extLst>
                      <a:ext uri="{53640926-AAD7-44D8-BBD7-CCE9431645EC}">
                        <a14:shadowObscured xmlns:a14="http://schemas.microsoft.com/office/drawing/2010/main"/>
                      </a:ext>
                    </a:extLst>
                  </pic:spPr>
                </pic:pic>
              </a:graphicData>
            </a:graphic>
          </wp:inline>
        </w:drawing>
      </w:r>
    </w:p>
    <w:p w14:paraId="4EE70B91" w14:textId="77777777" w:rsidR="00A92BC4" w:rsidRDefault="00A92BC4" w:rsidP="00A92BC4">
      <w:pPr>
        <w:pStyle w:val="NoSpacing"/>
      </w:pPr>
      <w:r w:rsidRPr="0030625E">
        <w:rPr>
          <w:b/>
        </w:rPr>
        <w:t xml:space="preserve">Figure </w:t>
      </w:r>
      <w:r>
        <w:rPr>
          <w:b/>
        </w:rPr>
        <w:t>5</w:t>
      </w:r>
      <w:r w:rsidRPr="0030625E">
        <w:rPr>
          <w:b/>
        </w:rPr>
        <w:t>.</w:t>
      </w:r>
      <w:r>
        <w:rPr>
          <w:b/>
        </w:rPr>
        <w:t xml:space="preserve">9 </w:t>
      </w:r>
      <w:r w:rsidRPr="00465CB9">
        <w:rPr>
          <w:b/>
        </w:rPr>
        <w:t>Hemocytes with mutations</w:t>
      </w:r>
      <w:r>
        <w:rPr>
          <w:b/>
        </w:rPr>
        <w:t xml:space="preserve"> in Dome do not display different rates of efferocytosis. </w:t>
      </w:r>
    </w:p>
    <w:p w14:paraId="10B3885B" w14:textId="77777777" w:rsidR="00A92BC4" w:rsidRPr="00B06ECE" w:rsidRDefault="00A92BC4" w:rsidP="00A92BC4">
      <w:r>
        <w:t>(A) Representative stills of GFP-labelled hemocytes in stage 15 embryos in controls (</w:t>
      </w:r>
      <w:r w:rsidRPr="000121DD">
        <w:rPr>
          <w:i/>
        </w:rPr>
        <w:t>w;</w:t>
      </w:r>
      <w:r>
        <w:rPr>
          <w:i/>
        </w:rPr>
        <w:t>Srp-GAL4,UAS-GFP/+</w:t>
      </w:r>
      <w:r w:rsidRPr="000121DD">
        <w:rPr>
          <w:i/>
        </w:rPr>
        <w:t>;</w:t>
      </w:r>
      <w:r>
        <w:rPr>
          <w:i/>
        </w:rPr>
        <w:t>Crq-GAL4,UAS-GFP</w:t>
      </w:r>
      <w:r w:rsidRPr="000121DD">
        <w:rPr>
          <w:i/>
        </w:rPr>
        <w:t>/+</w:t>
      </w:r>
      <w:r>
        <w:t xml:space="preserve">) and embryos with expression of </w:t>
      </w:r>
      <w:r w:rsidRPr="009E3FF6">
        <w:rPr>
          <w:i/>
        </w:rPr>
        <w:t>UAS-Dome</w:t>
      </w:r>
      <w:r w:rsidRPr="009E3FF6">
        <w:rPr>
          <w:i/>
          <w:vertAlign w:val="superscript"/>
        </w:rPr>
        <w:t>DTMCYT</w:t>
      </w:r>
      <w:r>
        <w:t xml:space="preserve"> (</w:t>
      </w:r>
      <w:r w:rsidRPr="000121DD">
        <w:rPr>
          <w:i/>
        </w:rPr>
        <w:t>w;</w:t>
      </w:r>
      <w:r>
        <w:rPr>
          <w:i/>
        </w:rPr>
        <w:t>Srp-GAL4,UAS-GFP</w:t>
      </w:r>
      <w:r w:rsidRPr="000121DD">
        <w:rPr>
          <w:i/>
        </w:rPr>
        <w:t>/UAS-Dome</w:t>
      </w:r>
      <w:r>
        <w:rPr>
          <w:i/>
          <w:vertAlign w:val="superscript"/>
        </w:rPr>
        <w:t>DTM</w:t>
      </w:r>
      <w:r w:rsidRPr="000121DD">
        <w:rPr>
          <w:i/>
          <w:vertAlign w:val="superscript"/>
        </w:rPr>
        <w:t>CYT</w:t>
      </w:r>
      <w:r w:rsidRPr="000121DD">
        <w:rPr>
          <w:i/>
        </w:rPr>
        <w:t>;</w:t>
      </w:r>
      <w:r>
        <w:rPr>
          <w:i/>
        </w:rPr>
        <w:t>Crq-GAL4,UAS-GFP</w:t>
      </w:r>
      <w:r w:rsidRPr="000121DD">
        <w:rPr>
          <w:i/>
        </w:rPr>
        <w:t>/+</w:t>
      </w:r>
      <w:r>
        <w:t xml:space="preserve">) and </w:t>
      </w:r>
      <w:r w:rsidRPr="009E3FF6">
        <w:rPr>
          <w:i/>
        </w:rPr>
        <w:t>UAS-Dome</w:t>
      </w:r>
      <w:r w:rsidRPr="009E3FF6">
        <w:rPr>
          <w:i/>
          <w:vertAlign w:val="superscript"/>
        </w:rPr>
        <w:t>ΔCYT</w:t>
      </w:r>
      <w:r>
        <w:t xml:space="preserve"> (</w:t>
      </w:r>
      <w:r w:rsidRPr="000121DD">
        <w:rPr>
          <w:i/>
        </w:rPr>
        <w:t>w;</w:t>
      </w:r>
      <w:r>
        <w:rPr>
          <w:i/>
        </w:rPr>
        <w:t>Srp-GAL4,UAS-GFP</w:t>
      </w:r>
      <w:r w:rsidRPr="000121DD">
        <w:rPr>
          <w:i/>
        </w:rPr>
        <w:t>/UAS-Dome</w:t>
      </w:r>
      <w:r w:rsidRPr="000121DD">
        <w:rPr>
          <w:i/>
          <w:vertAlign w:val="superscript"/>
        </w:rPr>
        <w:t>∆CYT</w:t>
      </w:r>
      <w:r w:rsidRPr="000121DD">
        <w:rPr>
          <w:i/>
        </w:rPr>
        <w:t>;</w:t>
      </w:r>
      <w:r>
        <w:rPr>
          <w:i/>
        </w:rPr>
        <w:t>Crq-GAL4,UAS-GFP</w:t>
      </w:r>
      <w:r w:rsidRPr="000121DD">
        <w:rPr>
          <w:i/>
        </w:rPr>
        <w:t>/+</w:t>
      </w:r>
      <w:r>
        <w:t xml:space="preserve">) in hemocytes. Scale bars represent 20μm. (A’) Zoomed images of (A), 1. Control, 2. </w:t>
      </w:r>
      <w:r w:rsidRPr="009E3FF6">
        <w:rPr>
          <w:i/>
        </w:rPr>
        <w:t>UAS-Dome</w:t>
      </w:r>
      <w:r w:rsidRPr="009E3FF6">
        <w:rPr>
          <w:i/>
          <w:vertAlign w:val="superscript"/>
        </w:rPr>
        <w:t>DTMCYT</w:t>
      </w:r>
      <w:r>
        <w:t xml:space="preserve">, 3. </w:t>
      </w:r>
      <w:r w:rsidRPr="009E3FF6">
        <w:rPr>
          <w:i/>
        </w:rPr>
        <w:t>UAS-Dome</w:t>
      </w:r>
      <w:r w:rsidRPr="009E3FF6">
        <w:rPr>
          <w:i/>
          <w:vertAlign w:val="superscript"/>
        </w:rPr>
        <w:t>ΔCYT</w:t>
      </w:r>
      <w:r>
        <w:t xml:space="preserve">. Scale bars represent 5μm. Red asterisks indicate vacuoles with hemocytes, as quantified. (B) Scatterplot of the average number of vacuoles per hemocyte per embryo. Lines and error bars represent mean ± SD, n=12, 12 and 16 for embryos control, </w:t>
      </w:r>
      <w:r w:rsidRPr="009E3FF6">
        <w:rPr>
          <w:i/>
        </w:rPr>
        <w:t>UAS-Dome</w:t>
      </w:r>
      <w:r w:rsidRPr="009E3FF6">
        <w:rPr>
          <w:i/>
          <w:vertAlign w:val="superscript"/>
        </w:rPr>
        <w:t>DTMCYT</w:t>
      </w:r>
      <w:r>
        <w:t xml:space="preserve"> and </w:t>
      </w:r>
      <w:r w:rsidRPr="009E3FF6">
        <w:rPr>
          <w:i/>
        </w:rPr>
        <w:t>UAS-Dome</w:t>
      </w:r>
      <w:r w:rsidRPr="009E3FF6">
        <w:rPr>
          <w:i/>
          <w:vertAlign w:val="superscript"/>
        </w:rPr>
        <w:t>ΔCYT</w:t>
      </w:r>
      <w:r>
        <w:t xml:space="preserve"> respectively. One-way ANOVA with Dunnett’s multiple comparisons test, p=0.0809 and 0.996 for </w:t>
      </w:r>
      <w:r w:rsidRPr="009E3FF6">
        <w:rPr>
          <w:i/>
        </w:rPr>
        <w:t>UAS-Dome</w:t>
      </w:r>
      <w:r w:rsidRPr="009E3FF6">
        <w:rPr>
          <w:i/>
          <w:vertAlign w:val="superscript"/>
        </w:rPr>
        <w:t>DTMCYT</w:t>
      </w:r>
      <w:r>
        <w:t xml:space="preserve"> and </w:t>
      </w:r>
      <w:r w:rsidRPr="009E3FF6">
        <w:rPr>
          <w:i/>
        </w:rPr>
        <w:t>UAS-Dome</w:t>
      </w:r>
      <w:r w:rsidRPr="009E3FF6">
        <w:rPr>
          <w:i/>
          <w:vertAlign w:val="superscript"/>
        </w:rPr>
        <w:t>ΔCYT</w:t>
      </w:r>
      <w:r>
        <w:t xml:space="preserve"> respectively.</w:t>
      </w:r>
    </w:p>
    <w:p w14:paraId="5282BF5C" w14:textId="77777777" w:rsidR="00A92BC4" w:rsidRDefault="00A92BC4" w:rsidP="00A92BC4">
      <w:pPr>
        <w:pStyle w:val="Thesisnormal"/>
      </w:pPr>
    </w:p>
    <w:p w14:paraId="7CF3FE04" w14:textId="77777777" w:rsidR="00A92BC4" w:rsidRDefault="00A92BC4" w:rsidP="00A92BC4">
      <w:pPr>
        <w:pStyle w:val="Thesisnormal"/>
      </w:pPr>
    </w:p>
    <w:p w14:paraId="3764D83D" w14:textId="77777777" w:rsidR="00A92BC4" w:rsidRDefault="00A92BC4" w:rsidP="00A92BC4">
      <w:pPr>
        <w:pStyle w:val="Thesisnormal"/>
      </w:pPr>
    </w:p>
    <w:p w14:paraId="32C86E82" w14:textId="77777777" w:rsidR="00A92BC4" w:rsidRDefault="00A92BC4" w:rsidP="00A92BC4">
      <w:pPr>
        <w:pStyle w:val="Thesisnormal"/>
      </w:pPr>
    </w:p>
    <w:p w14:paraId="4E443C9B" w14:textId="77777777" w:rsidR="00A92BC4" w:rsidRPr="000B636B" w:rsidRDefault="00A92BC4" w:rsidP="00A92BC4">
      <w:pPr>
        <w:pStyle w:val="Heading3"/>
      </w:pPr>
      <w:bookmarkStart w:id="221" w:name="_Toc4589379"/>
      <w:r>
        <w:lastRenderedPageBreak/>
        <w:t>5</w:t>
      </w:r>
      <w:r w:rsidRPr="002D59A3">
        <w:t>.2.</w:t>
      </w:r>
      <w:r>
        <w:t>8</w:t>
      </w:r>
      <w:r w:rsidRPr="002D59A3">
        <w:t xml:space="preserve"> </w:t>
      </w:r>
      <w:r>
        <w:t>Dome</w:t>
      </w:r>
      <w:r>
        <w:rPr>
          <w:vertAlign w:val="superscript"/>
        </w:rPr>
        <w:t>DTMCYT</w:t>
      </w:r>
      <w:r>
        <w:rPr>
          <w:vertAlign w:val="subscript"/>
        </w:rPr>
        <w:t xml:space="preserve"> </w:t>
      </w:r>
      <w:r w:rsidRPr="000B636B">
        <w:t>but not Dome</w:t>
      </w:r>
      <w:r>
        <w:rPr>
          <w:vertAlign w:val="superscript"/>
        </w:rPr>
        <w:t>ΔCYT</w:t>
      </w:r>
      <w:r>
        <w:t xml:space="preserve"> constructs modulate STAT signalling</w:t>
      </w:r>
      <w:bookmarkEnd w:id="221"/>
    </w:p>
    <w:p w14:paraId="2AD5D5CF" w14:textId="77777777" w:rsidR="00A92BC4" w:rsidRDefault="00A92BC4" w:rsidP="00A92BC4">
      <w:pPr>
        <w:pStyle w:val="Thesisnormal"/>
      </w:pPr>
    </w:p>
    <w:p w14:paraId="68783552" w14:textId="77777777" w:rsidR="00A92BC4" w:rsidRPr="006B7AB0" w:rsidRDefault="00A92BC4" w:rsidP="00A92BC4">
      <w:pPr>
        <w:pStyle w:val="Thesisnormal"/>
      </w:pPr>
      <w:r>
        <w:t>As we had observed that both Dome constructs were capable of altering hemocyte behaviour, we next wished to determine if this was indeed due to a reduction in STAT levels. We utilised a fluorescent reporter for STAT (</w:t>
      </w:r>
      <w:r w:rsidRPr="000B636B">
        <w:rPr>
          <w:i/>
        </w:rPr>
        <w:t>STAT-dsRed</w:t>
      </w:r>
      <w:r>
        <w:t>) to measure the intensity, and therefore, abundance of STAT within hemocytes for control (</w:t>
      </w:r>
      <w:r w:rsidRPr="000121DD">
        <w:rPr>
          <w:i/>
        </w:rPr>
        <w:t>w;</w:t>
      </w:r>
      <w:r>
        <w:rPr>
          <w:i/>
        </w:rPr>
        <w:t>Srp-GAL4,UAS-GFP/+</w:t>
      </w:r>
      <w:r w:rsidRPr="000121DD">
        <w:rPr>
          <w:i/>
        </w:rPr>
        <w:t>;</w:t>
      </w:r>
      <w:r>
        <w:rPr>
          <w:i/>
        </w:rPr>
        <w:t>Crq-GAL4,UAS-GFP</w:t>
      </w:r>
      <w:r w:rsidRPr="000121DD">
        <w:rPr>
          <w:i/>
        </w:rPr>
        <w:t>/</w:t>
      </w:r>
      <w:r>
        <w:rPr>
          <w:i/>
        </w:rPr>
        <w:t>STAT-dsRed</w:t>
      </w:r>
      <w:r>
        <w:t xml:space="preserve">) and </w:t>
      </w:r>
      <w:r w:rsidRPr="009E3FF6">
        <w:rPr>
          <w:i/>
        </w:rPr>
        <w:t>UAS-Dome</w:t>
      </w:r>
      <w:r w:rsidRPr="009E3FF6">
        <w:rPr>
          <w:i/>
          <w:vertAlign w:val="superscript"/>
        </w:rPr>
        <w:t>DTMCYT</w:t>
      </w:r>
      <w:r>
        <w:t xml:space="preserve"> (</w:t>
      </w:r>
      <w:r w:rsidRPr="000121DD">
        <w:rPr>
          <w:i/>
        </w:rPr>
        <w:t>w;</w:t>
      </w:r>
      <w:r>
        <w:rPr>
          <w:i/>
        </w:rPr>
        <w:t>Srp-GAL4,UAS-GFP</w:t>
      </w:r>
      <w:r w:rsidRPr="000121DD">
        <w:rPr>
          <w:i/>
        </w:rPr>
        <w:t>/UAS-Dome</w:t>
      </w:r>
      <w:r>
        <w:rPr>
          <w:i/>
          <w:vertAlign w:val="superscript"/>
        </w:rPr>
        <w:t>DTM</w:t>
      </w:r>
      <w:r w:rsidRPr="000121DD">
        <w:rPr>
          <w:i/>
          <w:vertAlign w:val="superscript"/>
        </w:rPr>
        <w:t>CYT</w:t>
      </w:r>
      <w:r w:rsidRPr="000121DD">
        <w:rPr>
          <w:i/>
        </w:rPr>
        <w:t>;</w:t>
      </w:r>
      <w:r>
        <w:rPr>
          <w:i/>
        </w:rPr>
        <w:t>Crq-GAL4,UAS-GFP</w:t>
      </w:r>
      <w:r w:rsidRPr="000121DD">
        <w:rPr>
          <w:i/>
        </w:rPr>
        <w:t>/</w:t>
      </w:r>
      <w:r>
        <w:rPr>
          <w:i/>
        </w:rPr>
        <w:t>STAT-dsRed</w:t>
      </w:r>
      <w:r>
        <w:t xml:space="preserve">) and </w:t>
      </w:r>
      <w:r w:rsidRPr="009E3FF6">
        <w:rPr>
          <w:i/>
        </w:rPr>
        <w:t>UAS-Dome</w:t>
      </w:r>
      <w:r w:rsidRPr="009E3FF6">
        <w:rPr>
          <w:i/>
          <w:vertAlign w:val="superscript"/>
        </w:rPr>
        <w:t>ΔCYT</w:t>
      </w:r>
      <w:r>
        <w:t xml:space="preserve"> (</w:t>
      </w:r>
      <w:r w:rsidRPr="000121DD">
        <w:rPr>
          <w:i/>
        </w:rPr>
        <w:t>w;</w:t>
      </w:r>
      <w:r>
        <w:rPr>
          <w:i/>
        </w:rPr>
        <w:t>Srp-GAL4,UAS-GFP</w:t>
      </w:r>
      <w:r w:rsidRPr="000121DD">
        <w:rPr>
          <w:i/>
        </w:rPr>
        <w:t>/UAS-Dome</w:t>
      </w:r>
      <w:r w:rsidRPr="000121DD">
        <w:rPr>
          <w:i/>
          <w:vertAlign w:val="superscript"/>
        </w:rPr>
        <w:t>∆CYT</w:t>
      </w:r>
      <w:r w:rsidRPr="000121DD">
        <w:rPr>
          <w:i/>
        </w:rPr>
        <w:t>;</w:t>
      </w:r>
      <w:r>
        <w:rPr>
          <w:i/>
        </w:rPr>
        <w:t>Crq-GAL4,UAS-GFP</w:t>
      </w:r>
      <w:r w:rsidRPr="000121DD">
        <w:rPr>
          <w:i/>
        </w:rPr>
        <w:t>/</w:t>
      </w:r>
      <w:r>
        <w:rPr>
          <w:i/>
        </w:rPr>
        <w:t>STAT-dsRed</w:t>
      </w:r>
      <w:r>
        <w:t xml:space="preserve">) embryos. We found that in hemocytes expressing </w:t>
      </w:r>
      <w:r w:rsidRPr="009E3FF6">
        <w:rPr>
          <w:i/>
        </w:rPr>
        <w:t>UAS-Dome</w:t>
      </w:r>
      <w:r w:rsidRPr="009E3FF6">
        <w:rPr>
          <w:i/>
          <w:vertAlign w:val="superscript"/>
        </w:rPr>
        <w:t>ΔCYT</w:t>
      </w:r>
      <w:r>
        <w:rPr>
          <w:i/>
        </w:rPr>
        <w:t xml:space="preserve">, </w:t>
      </w:r>
      <w:r>
        <w:t xml:space="preserve">there was no difference in the levels of STAT compared to controls (n=10 and 6 embryos for control and </w:t>
      </w:r>
      <w:r w:rsidRPr="00F807F1">
        <w:rPr>
          <w:i/>
        </w:rPr>
        <w:t>UAS-Hop</w:t>
      </w:r>
      <w:r>
        <w:t xml:space="preserve"> respectively; p=0.124 via One-way ANOVA with Dunnett’s multiple comparisons test; Fig 5.10 A-B). However, hemocytes expressing </w:t>
      </w:r>
      <w:r w:rsidRPr="009E3FF6">
        <w:rPr>
          <w:i/>
        </w:rPr>
        <w:t>UAS-Dome</w:t>
      </w:r>
      <w:r w:rsidRPr="009E3FF6">
        <w:rPr>
          <w:i/>
          <w:vertAlign w:val="superscript"/>
        </w:rPr>
        <w:t>DTMCYT</w:t>
      </w:r>
      <w:r>
        <w:rPr>
          <w:vertAlign w:val="superscript"/>
        </w:rPr>
        <w:t xml:space="preserve"> </w:t>
      </w:r>
      <w:r>
        <w:t xml:space="preserve">displayed a significant decrease in the levels of STAT (n=10 and 8 embryos for control and </w:t>
      </w:r>
      <w:r w:rsidRPr="00F807F1">
        <w:rPr>
          <w:i/>
        </w:rPr>
        <w:t>UAS-Hop</w:t>
      </w:r>
      <w:r>
        <w:t xml:space="preserve"> respectively; p&lt;0.01 via One-way ANOVA with Dunnett’s multiple comparisons test; Fig 5.10 A-B). This confirms that </w:t>
      </w:r>
      <w:r w:rsidRPr="009E3FF6">
        <w:rPr>
          <w:i/>
        </w:rPr>
        <w:t>UAS-Dome</w:t>
      </w:r>
      <w:r w:rsidRPr="009E3FF6">
        <w:rPr>
          <w:i/>
          <w:vertAlign w:val="superscript"/>
        </w:rPr>
        <w:t>DTMCYT</w:t>
      </w:r>
      <w:r>
        <w:rPr>
          <w:i/>
        </w:rPr>
        <w:t xml:space="preserve"> </w:t>
      </w:r>
      <w:r>
        <w:t xml:space="preserve">is effectively modulating JAK/STAT signalling but that </w:t>
      </w:r>
      <w:r w:rsidRPr="009E3FF6">
        <w:rPr>
          <w:i/>
        </w:rPr>
        <w:t>UAS-Dome</w:t>
      </w:r>
      <w:r w:rsidRPr="009E3FF6">
        <w:rPr>
          <w:i/>
          <w:vertAlign w:val="superscript"/>
        </w:rPr>
        <w:t>ΔCYT</w:t>
      </w:r>
      <w:r>
        <w:rPr>
          <w:i/>
        </w:rPr>
        <w:t xml:space="preserve"> </w:t>
      </w:r>
      <w:r w:rsidRPr="006B7AB0">
        <w:t>is not</w:t>
      </w:r>
      <w:r>
        <w:t xml:space="preserve"> affecting JAK/STAT within our system. </w:t>
      </w:r>
    </w:p>
    <w:p w14:paraId="66A283CC" w14:textId="77777777" w:rsidR="00A92BC4" w:rsidRDefault="00A92BC4" w:rsidP="00A92BC4">
      <w:pPr>
        <w:pStyle w:val="Thesisnormal"/>
      </w:pPr>
    </w:p>
    <w:p w14:paraId="03A7105D" w14:textId="77777777" w:rsidR="00A92BC4" w:rsidRDefault="00A92BC4" w:rsidP="00A92BC4">
      <w:pPr>
        <w:pStyle w:val="Thesisnormal"/>
      </w:pPr>
    </w:p>
    <w:p w14:paraId="3B2B7ECD" w14:textId="77777777" w:rsidR="00A92BC4" w:rsidRDefault="00A92BC4" w:rsidP="00A92BC4">
      <w:pPr>
        <w:pStyle w:val="Thesisnormal"/>
      </w:pPr>
    </w:p>
    <w:p w14:paraId="0EAC4F19" w14:textId="77777777" w:rsidR="00A92BC4" w:rsidRDefault="00A92BC4" w:rsidP="00A92BC4">
      <w:pPr>
        <w:pStyle w:val="Thesisnormal"/>
      </w:pPr>
    </w:p>
    <w:p w14:paraId="036336A5" w14:textId="77777777" w:rsidR="00A92BC4" w:rsidRDefault="00A92BC4" w:rsidP="00A92BC4">
      <w:pPr>
        <w:pStyle w:val="Thesisnormal"/>
      </w:pPr>
    </w:p>
    <w:p w14:paraId="10341323" w14:textId="77777777" w:rsidR="00A92BC4" w:rsidRDefault="00A92BC4" w:rsidP="00A92BC4">
      <w:pPr>
        <w:pStyle w:val="Thesisnormal"/>
      </w:pPr>
    </w:p>
    <w:p w14:paraId="38CEEC39" w14:textId="77777777" w:rsidR="00A92BC4" w:rsidRDefault="00A92BC4" w:rsidP="00A92BC4">
      <w:pPr>
        <w:pStyle w:val="Thesisnormal"/>
      </w:pPr>
    </w:p>
    <w:p w14:paraId="75491D9F" w14:textId="77777777" w:rsidR="00A92BC4" w:rsidRDefault="00A92BC4" w:rsidP="00A92BC4">
      <w:pPr>
        <w:pStyle w:val="Thesisnormal"/>
      </w:pPr>
    </w:p>
    <w:p w14:paraId="11025194" w14:textId="77777777" w:rsidR="00A92BC4" w:rsidRDefault="00A92BC4" w:rsidP="00A92BC4">
      <w:pPr>
        <w:pStyle w:val="Thesisnormal"/>
      </w:pPr>
    </w:p>
    <w:p w14:paraId="21005523" w14:textId="77777777" w:rsidR="00A92BC4" w:rsidRDefault="00A92BC4" w:rsidP="00A92BC4">
      <w:pPr>
        <w:pStyle w:val="Thesisnormal"/>
      </w:pPr>
    </w:p>
    <w:p w14:paraId="24CEE64D" w14:textId="77777777" w:rsidR="00A92BC4" w:rsidRDefault="00A92BC4" w:rsidP="00A92BC4">
      <w:pPr>
        <w:pStyle w:val="Thesisnormal"/>
      </w:pPr>
    </w:p>
    <w:p w14:paraId="3065CF7F" w14:textId="77777777" w:rsidR="00A92BC4" w:rsidRDefault="00A92BC4" w:rsidP="00A92BC4">
      <w:pPr>
        <w:pStyle w:val="Thesisnormal"/>
      </w:pPr>
    </w:p>
    <w:p w14:paraId="4CD60577" w14:textId="77777777" w:rsidR="00A92BC4" w:rsidRDefault="00A92BC4" w:rsidP="00A92BC4">
      <w:pPr>
        <w:pStyle w:val="Thesisnormal"/>
      </w:pPr>
    </w:p>
    <w:p w14:paraId="499C8743" w14:textId="77777777" w:rsidR="00A92BC4" w:rsidRDefault="00A92BC4" w:rsidP="00A92BC4">
      <w:pPr>
        <w:pStyle w:val="Thesisnormal"/>
      </w:pPr>
    </w:p>
    <w:p w14:paraId="14FDF7CC" w14:textId="77777777" w:rsidR="00A92BC4" w:rsidRDefault="00A92BC4" w:rsidP="00A92BC4">
      <w:pPr>
        <w:pStyle w:val="Thesisnormal"/>
      </w:pPr>
    </w:p>
    <w:p w14:paraId="6E181A82" w14:textId="77777777" w:rsidR="00A92BC4" w:rsidRDefault="00A92BC4" w:rsidP="00A92BC4">
      <w:pPr>
        <w:pStyle w:val="Thesisnormal"/>
      </w:pPr>
    </w:p>
    <w:p w14:paraId="2DBDDF6B" w14:textId="77777777" w:rsidR="00A92BC4" w:rsidRDefault="00A92BC4" w:rsidP="00A92BC4">
      <w:pPr>
        <w:pStyle w:val="Thesisnormal"/>
      </w:pPr>
      <w:r>
        <w:rPr>
          <w:noProof/>
          <w:lang w:eastAsia="en-GB"/>
        </w:rPr>
        <w:lastRenderedPageBreak/>
        <w:drawing>
          <wp:inline distT="0" distB="0" distL="0" distR="0" wp14:anchorId="0DF68E5D" wp14:editId="46C041A7">
            <wp:extent cx="5831568" cy="6353175"/>
            <wp:effectExtent l="0" t="0" r="0" b="0"/>
            <wp:docPr id="53" name="Picture 53" descr="D:\Dropbox\PhD\writing\thesis\chapter 5 jak stat signalling in the embryo\figures\dome dsred fig\Dome dsRed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hD\writing\thesis\chapter 5 jak stat signalling in the embryo\figures\dome dsred fig\Dome dsRed figure.tif"/>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23300"/>
                    <a:stretch/>
                  </pic:blipFill>
                  <pic:spPr bwMode="auto">
                    <a:xfrm>
                      <a:off x="0" y="0"/>
                      <a:ext cx="5836234" cy="6358259"/>
                    </a:xfrm>
                    <a:prstGeom prst="rect">
                      <a:avLst/>
                    </a:prstGeom>
                    <a:noFill/>
                    <a:ln>
                      <a:noFill/>
                    </a:ln>
                    <a:extLst>
                      <a:ext uri="{53640926-AAD7-44D8-BBD7-CCE9431645EC}">
                        <a14:shadowObscured xmlns:a14="http://schemas.microsoft.com/office/drawing/2010/main"/>
                      </a:ext>
                    </a:extLst>
                  </pic:spPr>
                </pic:pic>
              </a:graphicData>
            </a:graphic>
          </wp:inline>
        </w:drawing>
      </w:r>
    </w:p>
    <w:p w14:paraId="6830DED1" w14:textId="77777777" w:rsidR="00A92BC4" w:rsidRDefault="00A92BC4" w:rsidP="00A92BC4">
      <w:pPr>
        <w:pStyle w:val="NoSpacing"/>
      </w:pPr>
      <w:r>
        <w:rPr>
          <w:b/>
        </w:rPr>
        <w:t>Figure 5.10</w:t>
      </w:r>
      <w:r w:rsidRPr="006B7AB0">
        <w:rPr>
          <w:b/>
        </w:rPr>
        <w:t xml:space="preserve"> Hemocytes with mutations in Dome do not display different rates of efferocytosis.</w:t>
      </w:r>
      <w:r>
        <w:rPr>
          <w:b/>
        </w:rPr>
        <w:t xml:space="preserve"> </w:t>
      </w:r>
    </w:p>
    <w:p w14:paraId="35E0D4B0" w14:textId="77777777" w:rsidR="00A92BC4" w:rsidRDefault="00A92BC4" w:rsidP="00A92BC4">
      <w:pPr>
        <w:pStyle w:val="NoSpacing"/>
      </w:pPr>
      <w:r>
        <w:t>(A) Representative images of GFP-labelled hemocytes with a STAT reporter (RFP) in stage 15 embryos in controls (</w:t>
      </w:r>
      <w:r w:rsidRPr="000121DD">
        <w:rPr>
          <w:i/>
        </w:rPr>
        <w:t>w;</w:t>
      </w:r>
      <w:r>
        <w:rPr>
          <w:i/>
        </w:rPr>
        <w:t>Srp-GAL4,UAS-GFP/+</w:t>
      </w:r>
      <w:r w:rsidRPr="000121DD">
        <w:rPr>
          <w:i/>
        </w:rPr>
        <w:t>;</w:t>
      </w:r>
      <w:r>
        <w:rPr>
          <w:i/>
        </w:rPr>
        <w:t>Crq-GAL4,UAS-GFP/STAT-dsRed</w:t>
      </w:r>
      <w:r>
        <w:t xml:space="preserve">) and embryos with expression of </w:t>
      </w:r>
      <w:r w:rsidRPr="009E3FF6">
        <w:rPr>
          <w:i/>
        </w:rPr>
        <w:t>UAS-Dome</w:t>
      </w:r>
      <w:r w:rsidRPr="009E3FF6">
        <w:rPr>
          <w:i/>
          <w:vertAlign w:val="superscript"/>
        </w:rPr>
        <w:t>DTMCYT</w:t>
      </w:r>
      <w:r>
        <w:t xml:space="preserve"> (</w:t>
      </w:r>
      <w:r w:rsidRPr="000121DD">
        <w:rPr>
          <w:i/>
        </w:rPr>
        <w:t>w;</w:t>
      </w:r>
      <w:r>
        <w:rPr>
          <w:i/>
        </w:rPr>
        <w:t>Srp-GAL4,UAS-GFP</w:t>
      </w:r>
      <w:r w:rsidRPr="000121DD">
        <w:rPr>
          <w:i/>
        </w:rPr>
        <w:t>/UAS-Dome</w:t>
      </w:r>
      <w:r>
        <w:rPr>
          <w:i/>
          <w:vertAlign w:val="superscript"/>
        </w:rPr>
        <w:t>DTM</w:t>
      </w:r>
      <w:r w:rsidRPr="000121DD">
        <w:rPr>
          <w:i/>
          <w:vertAlign w:val="superscript"/>
        </w:rPr>
        <w:t>CYT</w:t>
      </w:r>
      <w:r w:rsidRPr="000121DD">
        <w:rPr>
          <w:i/>
        </w:rPr>
        <w:t>;</w:t>
      </w:r>
      <w:r>
        <w:rPr>
          <w:i/>
        </w:rPr>
        <w:t>Crq-GAL4,UAS-GFP/STAT-dsRed</w:t>
      </w:r>
      <w:r>
        <w:t xml:space="preserve">) and </w:t>
      </w:r>
      <w:r w:rsidRPr="009E3FF6">
        <w:rPr>
          <w:i/>
        </w:rPr>
        <w:t>UAS-Dome</w:t>
      </w:r>
      <w:r w:rsidRPr="009E3FF6">
        <w:rPr>
          <w:i/>
          <w:vertAlign w:val="superscript"/>
        </w:rPr>
        <w:t>ΔCYT</w:t>
      </w:r>
      <w:r>
        <w:t xml:space="preserve"> (</w:t>
      </w:r>
      <w:r w:rsidRPr="000121DD">
        <w:rPr>
          <w:i/>
        </w:rPr>
        <w:t>w;</w:t>
      </w:r>
      <w:r>
        <w:rPr>
          <w:i/>
        </w:rPr>
        <w:t>Srp-GAL4,UAS-GFP</w:t>
      </w:r>
      <w:r w:rsidRPr="000121DD">
        <w:rPr>
          <w:i/>
        </w:rPr>
        <w:t>/UAS-Dome</w:t>
      </w:r>
      <w:r w:rsidRPr="000121DD">
        <w:rPr>
          <w:i/>
          <w:vertAlign w:val="superscript"/>
        </w:rPr>
        <w:t>∆CYT</w:t>
      </w:r>
      <w:r w:rsidRPr="000121DD">
        <w:rPr>
          <w:i/>
        </w:rPr>
        <w:t>;</w:t>
      </w:r>
      <w:r>
        <w:rPr>
          <w:i/>
        </w:rPr>
        <w:t>Crq-GAL4,UAS-GFP</w:t>
      </w:r>
      <w:r w:rsidRPr="000121DD">
        <w:rPr>
          <w:i/>
        </w:rPr>
        <w:t>/</w:t>
      </w:r>
      <w:r>
        <w:rPr>
          <w:i/>
        </w:rPr>
        <w:t>STAT-dsRed</w:t>
      </w:r>
      <w:r>
        <w:t xml:space="preserve">). Scale bars represent 20μm. (A1-9) Zoomed images of (A), scale bars represent 10μm. (B) Scatterplot of the average hemocyte dsRed intensity within hemocytes in an embryo. Lines and error bars represent mean ± SD, n=10, 8 and 6 for embryos control, </w:t>
      </w:r>
      <w:r w:rsidRPr="009E3FF6">
        <w:rPr>
          <w:i/>
        </w:rPr>
        <w:t>UAS-Dome</w:t>
      </w:r>
      <w:r w:rsidRPr="009E3FF6">
        <w:rPr>
          <w:i/>
          <w:vertAlign w:val="superscript"/>
        </w:rPr>
        <w:t>DTMCYT</w:t>
      </w:r>
      <w:r>
        <w:t xml:space="preserve"> and </w:t>
      </w:r>
      <w:r w:rsidRPr="009E3FF6">
        <w:rPr>
          <w:i/>
        </w:rPr>
        <w:t>UAS-Dome</w:t>
      </w:r>
      <w:r w:rsidRPr="009E3FF6">
        <w:rPr>
          <w:i/>
          <w:vertAlign w:val="superscript"/>
        </w:rPr>
        <w:t>ΔCYT</w:t>
      </w:r>
      <w:r>
        <w:t xml:space="preserve"> respectively. One-way ANOVA with Dunnett’s multiple comparisons test, **p&lt;0.01 and 0.124 for </w:t>
      </w:r>
      <w:r w:rsidRPr="009E3FF6">
        <w:rPr>
          <w:i/>
        </w:rPr>
        <w:t>UAS-Dome</w:t>
      </w:r>
      <w:r w:rsidRPr="009E3FF6">
        <w:rPr>
          <w:i/>
          <w:vertAlign w:val="superscript"/>
        </w:rPr>
        <w:t>DTMCYT</w:t>
      </w:r>
      <w:r>
        <w:t xml:space="preserve"> and </w:t>
      </w:r>
      <w:r w:rsidRPr="009E3FF6">
        <w:rPr>
          <w:i/>
        </w:rPr>
        <w:t>UAS-Dome</w:t>
      </w:r>
      <w:r w:rsidRPr="009E3FF6">
        <w:rPr>
          <w:i/>
          <w:vertAlign w:val="superscript"/>
        </w:rPr>
        <w:t>ΔCYT</w:t>
      </w:r>
      <w:r>
        <w:t xml:space="preserve"> respectively. </w:t>
      </w:r>
    </w:p>
    <w:p w14:paraId="0D4C38D6" w14:textId="77777777" w:rsidR="00A92BC4" w:rsidRDefault="00A92BC4" w:rsidP="00A92BC4">
      <w:pPr>
        <w:pStyle w:val="Heading3"/>
      </w:pPr>
      <w:bookmarkStart w:id="222" w:name="_Toc515560595"/>
      <w:bookmarkStart w:id="223" w:name="_Toc4589380"/>
      <w:r>
        <w:lastRenderedPageBreak/>
        <w:t>5</w:t>
      </w:r>
      <w:r w:rsidRPr="002D59A3">
        <w:t>.2.</w:t>
      </w:r>
      <w:r>
        <w:t>9</w:t>
      </w:r>
      <w:r w:rsidRPr="002D59A3">
        <w:t xml:space="preserve"> </w:t>
      </w:r>
      <w:bookmarkEnd w:id="222"/>
      <w:r>
        <w:t>Constitutive JAK activity does not affect hemocyte responses to wounding</w:t>
      </w:r>
      <w:bookmarkEnd w:id="223"/>
    </w:p>
    <w:p w14:paraId="402D1580" w14:textId="77777777" w:rsidR="00A92BC4" w:rsidRDefault="00A92BC4" w:rsidP="00A92BC4">
      <w:pPr>
        <w:pStyle w:val="Thesisnormal"/>
      </w:pPr>
    </w:p>
    <w:p w14:paraId="1C9EAC57" w14:textId="22861EBB" w:rsidR="00A92BC4" w:rsidRDefault="00A92BC4" w:rsidP="00A92BC4">
      <w:pPr>
        <w:pStyle w:val="Thesisnormal"/>
      </w:pPr>
      <w:r>
        <w:t>In reducing JAK/STAT signalling, we have shown that hemocyte responses to wounds are increased. It could be hypothesised that activating the JAK/STAT pathway would therefore have an opposing effect, limiting hemocyte responses to wounding. We first utilised a UAS line containing a constitutively active form of Hop, Hop</w:t>
      </w:r>
      <w:r>
        <w:rPr>
          <w:vertAlign w:val="superscript"/>
        </w:rPr>
        <w:t>Tuml</w:t>
      </w:r>
      <w:r>
        <w:t xml:space="preserve"> (</w:t>
      </w:r>
      <w:r>
        <w:rPr>
          <w:i/>
        </w:rPr>
        <w:t>Hop</w:t>
      </w:r>
      <w:r>
        <w:rPr>
          <w:i/>
          <w:vertAlign w:val="superscript"/>
        </w:rPr>
        <w:t>Tuml</w:t>
      </w:r>
      <w:r>
        <w:rPr>
          <w:i/>
        </w:rPr>
        <w:t>/Y;Srp-GAL4,UAS-GFP/+;Crq-GAL4,UAS-GFP/+</w:t>
      </w:r>
      <w:r>
        <w:t xml:space="preserve">) </w:t>
      </w:r>
      <w:r>
        <w:fldChar w:fldCharType="begin"/>
      </w:r>
      <w:r w:rsidR="000A209C">
        <w:instrText xml:space="preserve"> ADDIN ZOTERO_ITEM CSL_CITATION {"citationID":"SyTRmmEt","properties":{"formattedCitation":"(207)","plainCitation":"(207)","noteIndex":0},"citationItems":[{"id":1350,"uris":["http://zotero.org/users/952979/items/5Z9RHFIG"],"uri":["http://zotero.org/users/952979/items/5Z9RHFIG"],"itemData":{"id":1350,"type":"article-journal","title":"The Drosophila Tumorous-lethal hematopoietic oncogene is a dominant mutation in the hopscotch locus","container-title":"Molecular &amp; general genetics: MGG","page":"33-37","volume":"238","issue":"1-2","source":"PubMed","abstract":"The Drosophila Tumorous-lethal (Tum-l) mutation acts as an activated oncogene, causing hematopoietic neoplasms, overproliferation, and premature differentiation. Tum-l is a dominant mutation in the hopscotch (hop) locus, which is required for cell division and for proper embryonic segmentation. The Tum-l temperature-sensitive period for melanotic tumor formation includes most of larval and pupal development.","ISSN":"0026-8925","note":"PMID: 8479437","journalAbbreviation":"Mol. Gen. Genet.","language":"eng","author":[{"family":"Hanratty","given":"W. P."},{"family":"Dearolf","given":"C. R."}],"issued":{"date-parts":[["1993",4]]}}}],"schema":"https://github.com/citation-style-language/schema/raw/master/csl-citation.json"} </w:instrText>
      </w:r>
      <w:r>
        <w:fldChar w:fldCharType="separate"/>
      </w:r>
      <w:r w:rsidR="004A1963" w:rsidRPr="004A1963">
        <w:rPr>
          <w:rFonts w:ascii="Calibri" w:hAnsi="Calibri"/>
        </w:rPr>
        <w:t>(207)</w:t>
      </w:r>
      <w:r>
        <w:fldChar w:fldCharType="end"/>
      </w:r>
      <w:r>
        <w:t xml:space="preserve">. This dominant mutation is known to increase hemocyte proliferation in larvae leading to the formation of melanotic tumours </w:t>
      </w:r>
      <w:r>
        <w:fldChar w:fldCharType="begin"/>
      </w:r>
      <w:r w:rsidR="000A209C">
        <w:instrText xml:space="preserve"> ADDIN ZOTERO_ITEM CSL_CITATION {"citationID":"wTbLkRuM","properties":{"formattedCitation":"(207)","plainCitation":"(207)","noteIndex":0},"citationItems":[{"id":1350,"uris":["http://zotero.org/users/952979/items/5Z9RHFIG"],"uri":["http://zotero.org/users/952979/items/5Z9RHFIG"],"itemData":{"id":1350,"type":"article-journal","title":"The Drosophila Tumorous-lethal hematopoietic oncogene is a dominant mutation in the hopscotch locus","container-title":"Molecular &amp; general genetics: MGG","page":"33-37","volume":"238","issue":"1-2","source":"PubMed","abstract":"The Drosophila Tumorous-lethal (Tum-l) mutation acts as an activated oncogene, causing hematopoietic neoplasms, overproliferation, and premature differentiation. Tum-l is a dominant mutation in the hopscotch (hop) locus, which is required for cell division and for proper embryonic segmentation. The Tum-l temperature-sensitive period for melanotic tumor formation includes most of larval and pupal development.","ISSN":"0026-8925","note":"PMID: 8479437","journalAbbreviation":"Mol. Gen. Genet.","language":"eng","author":[{"family":"Hanratty","given":"W. P."},{"family":"Dearolf","given":"C. R."}],"issued":{"date-parts":[["1993",4]]}}}],"schema":"https://github.com/citation-style-language/schema/raw/master/csl-citation.json"} </w:instrText>
      </w:r>
      <w:r>
        <w:fldChar w:fldCharType="separate"/>
      </w:r>
      <w:r w:rsidR="004A1963" w:rsidRPr="004A1963">
        <w:rPr>
          <w:rFonts w:ascii="Calibri" w:hAnsi="Calibri"/>
        </w:rPr>
        <w:t>(207)</w:t>
      </w:r>
      <w:r>
        <w:fldChar w:fldCharType="end"/>
      </w:r>
      <w:r>
        <w:t xml:space="preserve">, but we did not observe any obvious differences in hemocyte numbers along the ventral midline in stage 15 embryos, suggesting that this genetic background may not be functioning the same in embryonic stages of development (Fig 5.11 A). Furthermore, we did not observe any difference in hemocyte responses to wounding between control and </w:t>
      </w:r>
      <w:r w:rsidRPr="00F807F1">
        <w:rPr>
          <w:i/>
        </w:rPr>
        <w:t>Hop</w:t>
      </w:r>
      <w:r w:rsidRPr="00F807F1">
        <w:rPr>
          <w:i/>
          <w:vertAlign w:val="superscript"/>
        </w:rPr>
        <w:t>Tuml</w:t>
      </w:r>
      <w:r>
        <w:t xml:space="preserve"> mutant embryos (n=27 embryos for control and </w:t>
      </w:r>
      <w:r w:rsidRPr="00F807F1">
        <w:rPr>
          <w:i/>
        </w:rPr>
        <w:t>Hop</w:t>
      </w:r>
      <w:r w:rsidRPr="00F807F1">
        <w:rPr>
          <w:i/>
          <w:vertAlign w:val="superscript"/>
        </w:rPr>
        <w:t>Tuml</w:t>
      </w:r>
      <w:r>
        <w:t xml:space="preserve">; p=0.934 via Student’s t-test; Fig 5.11 A’-B). </w:t>
      </w:r>
      <w:r>
        <w:br/>
        <w:t>However, we did observe melanotic masses in the adult flies, suggesting that the Hop</w:t>
      </w:r>
      <w:r>
        <w:rPr>
          <w:vertAlign w:val="superscript"/>
        </w:rPr>
        <w:t>Tuml</w:t>
      </w:r>
      <w:r>
        <w:t xml:space="preserve"> line was functioning correctly (data not shown). This data suggests that either Hop is not involved in hemocyte responses to wounding, or that this genetic background does not affect hemocytes at this stage in development. </w:t>
      </w:r>
    </w:p>
    <w:p w14:paraId="0E463B1C" w14:textId="77777777" w:rsidR="00A92BC4" w:rsidRDefault="00A92BC4" w:rsidP="00A92BC4">
      <w:pPr>
        <w:pStyle w:val="Thesisnormal"/>
      </w:pPr>
    </w:p>
    <w:p w14:paraId="375648CF" w14:textId="77777777" w:rsidR="00A92BC4" w:rsidRDefault="00A92BC4" w:rsidP="00A92BC4">
      <w:pPr>
        <w:pStyle w:val="Thesisnormal"/>
      </w:pPr>
    </w:p>
    <w:p w14:paraId="04340A6A" w14:textId="77777777" w:rsidR="00A92BC4" w:rsidRDefault="00A92BC4" w:rsidP="00A92BC4">
      <w:pPr>
        <w:pStyle w:val="Thesisnormal"/>
      </w:pPr>
    </w:p>
    <w:p w14:paraId="5B80367C" w14:textId="77777777" w:rsidR="00A92BC4" w:rsidRDefault="00A92BC4" w:rsidP="00A92BC4">
      <w:pPr>
        <w:pStyle w:val="Thesisnormal"/>
      </w:pPr>
      <w:r>
        <w:rPr>
          <w:noProof/>
          <w:lang w:eastAsia="en-GB"/>
        </w:rPr>
        <w:lastRenderedPageBreak/>
        <w:drawing>
          <wp:inline distT="0" distB="0" distL="0" distR="0" wp14:anchorId="58A38287" wp14:editId="13D34D3D">
            <wp:extent cx="5821426" cy="3905250"/>
            <wp:effectExtent l="0" t="0" r="8255" b="0"/>
            <wp:docPr id="54" name="Picture 54" descr="C:\Users\Gigabyte\Dropbox\PhD\Writing\Thesis\Chapter 5 JAK STAT signalling in the embryo\Figures\Hop Tuml Wounding fig\HopTuml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gabyte\Dropbox\PhD\Writing\Thesis\Chapter 5 JAK STAT signalling in the embryo\Figures\Hop Tuml Wounding fig\HopTuml wounding fig.tif"/>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52771"/>
                    <a:stretch/>
                  </pic:blipFill>
                  <pic:spPr bwMode="auto">
                    <a:xfrm>
                      <a:off x="0" y="0"/>
                      <a:ext cx="5823708" cy="3906781"/>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0B712CE" w14:textId="72286C1C" w:rsidR="00A92BC4" w:rsidRPr="00465CB9" w:rsidRDefault="00A92BC4" w:rsidP="00A92BC4">
      <w:pPr>
        <w:pStyle w:val="NoSpacing"/>
        <w:rPr>
          <w:b/>
        </w:rPr>
      </w:pPr>
      <w:r>
        <w:rPr>
          <w:b/>
        </w:rPr>
        <w:t>Figure 5</w:t>
      </w:r>
      <w:r w:rsidRPr="00465CB9">
        <w:rPr>
          <w:b/>
        </w:rPr>
        <w:t>.</w:t>
      </w:r>
      <w:r>
        <w:rPr>
          <w:b/>
        </w:rPr>
        <w:t>11</w:t>
      </w:r>
      <w:r w:rsidRPr="00465CB9">
        <w:rPr>
          <w:b/>
        </w:rPr>
        <w:t xml:space="preserve"> </w:t>
      </w:r>
      <w:r>
        <w:rPr>
          <w:b/>
        </w:rPr>
        <w:t xml:space="preserve">Expression of constitutively active Jak/Hop in hemocytes does not alter </w:t>
      </w:r>
      <w:r w:rsidR="00A06D46">
        <w:rPr>
          <w:b/>
        </w:rPr>
        <w:t>recruitment to wounds.</w:t>
      </w:r>
    </w:p>
    <w:p w14:paraId="6A5947EB" w14:textId="08428D07" w:rsidR="00A92BC4" w:rsidRDefault="00A92BC4" w:rsidP="00A92BC4">
      <w:pPr>
        <w:pStyle w:val="NoSpacing"/>
      </w:pPr>
      <w:r>
        <w:t>(A) Representative stills of GFP-labelled hemocytes, pre-wounding of control (</w:t>
      </w:r>
      <w:proofErr w:type="gramStart"/>
      <w:r>
        <w:rPr>
          <w:i/>
        </w:rPr>
        <w:t>w;Srp</w:t>
      </w:r>
      <w:proofErr w:type="gramEnd"/>
      <w:r>
        <w:rPr>
          <w:i/>
        </w:rPr>
        <w:t>-GAL4,UAS-GFP/+;Crq-GAL4,UAS-GFP/+</w:t>
      </w:r>
      <w:r>
        <w:t xml:space="preserve">) and </w:t>
      </w:r>
      <w:r w:rsidRPr="009E3FF6">
        <w:rPr>
          <w:i/>
        </w:rPr>
        <w:t>Hop</w:t>
      </w:r>
      <w:r w:rsidRPr="009E3FF6">
        <w:rPr>
          <w:i/>
          <w:vertAlign w:val="superscript"/>
        </w:rPr>
        <w:t>Tuml</w:t>
      </w:r>
      <w:r>
        <w:t xml:space="preserve"> (</w:t>
      </w:r>
      <w:r>
        <w:rPr>
          <w:i/>
        </w:rPr>
        <w:t>Hop</w:t>
      </w:r>
      <w:r>
        <w:rPr>
          <w:i/>
          <w:vertAlign w:val="superscript"/>
        </w:rPr>
        <w:t>Tuml</w:t>
      </w:r>
      <w:r>
        <w:rPr>
          <w:i/>
        </w:rPr>
        <w:t>/Y;Srp-GAL4,UAS-GFP/+;Crq-GAL4,UAS-GFP/+</w:t>
      </w:r>
      <w:r>
        <w:t xml:space="preserve">) at stage 15. (A’) Representative stills 60-minutes post-wounding in stage 15 embryos.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n=27 for control and</w:t>
      </w:r>
      <w:r w:rsidRPr="009E3FF6">
        <w:rPr>
          <w:i/>
        </w:rPr>
        <w:t xml:space="preserve"> Hop</w:t>
      </w:r>
      <w:r w:rsidRPr="009E3FF6">
        <w:rPr>
          <w:i/>
          <w:vertAlign w:val="superscript"/>
        </w:rPr>
        <w:t>Tuml</w:t>
      </w:r>
      <w:r>
        <w:t xml:space="preserve"> embryos. Student’s t-test, p=0.934. White dashed ovals outline wound perimeter. Scale bars represent 20μm. </w:t>
      </w:r>
    </w:p>
    <w:p w14:paraId="7E28EF77" w14:textId="77777777" w:rsidR="00A92BC4" w:rsidRDefault="00A92BC4" w:rsidP="00A92BC4">
      <w:pPr>
        <w:pStyle w:val="Thesisnormal"/>
      </w:pPr>
    </w:p>
    <w:p w14:paraId="0377940E" w14:textId="04506F2E" w:rsidR="00A92BC4" w:rsidRDefault="00A92BC4" w:rsidP="00A92BC4">
      <w:pPr>
        <w:pStyle w:val="Heading3"/>
      </w:pPr>
      <w:bookmarkStart w:id="224" w:name="_Toc4589381"/>
      <w:r>
        <w:t>5</w:t>
      </w:r>
      <w:r w:rsidRPr="002D59A3">
        <w:t>.2.</w:t>
      </w:r>
      <w:r>
        <w:t>10</w:t>
      </w:r>
      <w:r w:rsidRPr="002D59A3">
        <w:t xml:space="preserve"> </w:t>
      </w:r>
      <w:r>
        <w:t>Hemocyte-specific o</w:t>
      </w:r>
      <w:r w:rsidRPr="005F5D84">
        <w:t>verexpression</w:t>
      </w:r>
      <w:r>
        <w:t xml:space="preserve"> of JAK/Hop does not affect </w:t>
      </w:r>
      <w:r w:rsidR="00A06D46">
        <w:t>hemocyte recruitment to wounds</w:t>
      </w:r>
      <w:bookmarkEnd w:id="224"/>
    </w:p>
    <w:p w14:paraId="1D779F40" w14:textId="77777777" w:rsidR="00A92BC4" w:rsidRDefault="00A92BC4" w:rsidP="00A92BC4">
      <w:pPr>
        <w:pStyle w:val="Thesisnormal"/>
      </w:pPr>
    </w:p>
    <w:p w14:paraId="11251CA4" w14:textId="4BE386C9" w:rsidR="00A92BC4" w:rsidRDefault="00A92BC4" w:rsidP="00A92BC4">
      <w:pPr>
        <w:pStyle w:val="Thesisnormal"/>
      </w:pPr>
      <w:r>
        <w:t xml:space="preserve">Since we could not observe an alteration in </w:t>
      </w:r>
      <w:r w:rsidR="00A06D46">
        <w:t xml:space="preserve">hemocyte </w:t>
      </w:r>
      <w:r w:rsidR="00A06D46" w:rsidRPr="00A06D46">
        <w:t>recruitment to wound</w:t>
      </w:r>
      <w:r>
        <w:t>s with constitutive activation of Hop in hemocytes, we utilised an independent means of activation of JAK signalling in hemocytes. To do this, we overexpressed Hop specifically within hemocytes (</w:t>
      </w:r>
      <w:r w:rsidRPr="003155CF">
        <w:rPr>
          <w:i/>
        </w:rPr>
        <w:t>w;</w:t>
      </w:r>
      <w:r>
        <w:rPr>
          <w:i/>
        </w:rPr>
        <w:t>Srp-GAL4,UAS-GFP</w:t>
      </w:r>
      <w:r w:rsidRPr="003155CF">
        <w:rPr>
          <w:i/>
        </w:rPr>
        <w:t>/UAS-Hop;</w:t>
      </w:r>
      <w:r>
        <w:rPr>
          <w:i/>
        </w:rPr>
        <w:t>Crq-GAL4,UAS-GFP</w:t>
      </w:r>
      <w:r w:rsidRPr="003155CF">
        <w:rPr>
          <w:i/>
        </w:rPr>
        <w:t>/+</w:t>
      </w:r>
      <w:r>
        <w:t xml:space="preserve">), since overexpression of Hop can also lead to constitutive activation of this kinase </w:t>
      </w:r>
      <w:r>
        <w:fldChar w:fldCharType="begin"/>
      </w:r>
      <w:r w:rsidR="000A209C">
        <w:instrText xml:space="preserve"> ADDIN ZOTERO_ITEM CSL_CITATION {"citationID":"rNhtxieO","properties":{"formattedCitation":"(313)","plainCitation":"(313)","noteIndex":0},"citationItems":[{"id":1622,"uris":["http://zotero.org/users/952979/items/DD4Q4VFI"],"uri":["http://zotero.org/users/952979/items/DD4Q4VFI"],"itemData":{"id":1622,"type":"article-journal","title":"Characterization of a unique lethal tumorous mutation in Drosophila","container-title":"Molecular &amp; general genetics: MGG","page":"345-347","volume":"144","issue":"3","source":"PubMed","ISSN":"0026-8925","note":"PMID: 178992","journalAbbreviation":"Mol. Gen. Genet.","language":"eng","author":[{"family":"Corwin","given":"H. O."},{"family":"Hanratty","given":"W. P."}],"issued":{"date-parts":[["1976",3,30]]}}}],"schema":"https://github.com/citation-style-language/schema/raw/master/csl-citation.json"} </w:instrText>
      </w:r>
      <w:r>
        <w:fldChar w:fldCharType="separate"/>
      </w:r>
      <w:r w:rsidR="004A1963" w:rsidRPr="004A1963">
        <w:rPr>
          <w:rFonts w:ascii="Calibri" w:hAnsi="Calibri"/>
        </w:rPr>
        <w:t>(313)</w:t>
      </w:r>
      <w:r>
        <w:fldChar w:fldCharType="end"/>
      </w:r>
      <w:r>
        <w:t xml:space="preserve">. Pre-wound images did not reveal any obvious differences in the morphology or number of hemocytes on the ventral midline (Fig 5.12 A), nor did we observe any significant difference in the numbers of hemocytes responding to a wound, 60-minutes post-wounding (n=12 and 10 embryos for </w:t>
      </w:r>
      <w:r>
        <w:lastRenderedPageBreak/>
        <w:t xml:space="preserve">control and </w:t>
      </w:r>
      <w:r w:rsidRPr="00F807F1">
        <w:rPr>
          <w:i/>
        </w:rPr>
        <w:t>UAS-Hop</w:t>
      </w:r>
      <w:r>
        <w:t xml:space="preserve"> respectively; p=0.749 via Student’s t-test; Fig 5.12 A’-B). This suggests that overexpression of </w:t>
      </w:r>
      <w:r w:rsidRPr="00A11C0B">
        <w:rPr>
          <w:i/>
        </w:rPr>
        <w:t>Hop</w:t>
      </w:r>
      <w:r>
        <w:t xml:space="preserve"> does not alter hemocyte responses to wounding, although this remains to be confirmed with additional experiments.</w:t>
      </w:r>
    </w:p>
    <w:p w14:paraId="57C87081" w14:textId="77777777" w:rsidR="00A92BC4" w:rsidRDefault="00A92BC4" w:rsidP="00A92BC4">
      <w:pPr>
        <w:pStyle w:val="Thesisnormal"/>
      </w:pPr>
    </w:p>
    <w:p w14:paraId="3F90F628" w14:textId="77777777" w:rsidR="00A92BC4" w:rsidRDefault="00A92BC4" w:rsidP="00A92BC4">
      <w:pPr>
        <w:pStyle w:val="Thesisnormal"/>
      </w:pPr>
      <w:r>
        <w:rPr>
          <w:b/>
          <w:noProof/>
          <w:lang w:eastAsia="en-GB"/>
        </w:rPr>
        <w:drawing>
          <wp:inline distT="0" distB="0" distL="0" distR="0" wp14:anchorId="2C46C89F" wp14:editId="328B3CBA">
            <wp:extent cx="6028538" cy="3914775"/>
            <wp:effectExtent l="0" t="0" r="0" b="0"/>
            <wp:docPr id="55" name="Picture 55" descr="C:\Users\Gigabyte\Dropbox\PhD\Writing\Thesis\Chapter 5 JAK STAT signalling in the embryo\Figures\uas-Hop wounding fig\UAS-Hop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igabyte\Dropbox\PhD\Writing\Thesis\Chapter 5 JAK STAT signalling in the embryo\Figures\uas-Hop wounding fig\UAS-Hop Wounding fig.tif"/>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54282"/>
                    <a:stretch/>
                  </pic:blipFill>
                  <pic:spPr bwMode="auto">
                    <a:xfrm>
                      <a:off x="0" y="0"/>
                      <a:ext cx="6033907" cy="3918262"/>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7402896" w14:textId="7C729598" w:rsidR="00A92BC4" w:rsidRPr="00465CB9" w:rsidRDefault="00A92BC4" w:rsidP="00A92BC4">
      <w:pPr>
        <w:pStyle w:val="NoSpacing"/>
        <w:rPr>
          <w:b/>
        </w:rPr>
      </w:pPr>
      <w:r>
        <w:rPr>
          <w:b/>
        </w:rPr>
        <w:t>Figure 5</w:t>
      </w:r>
      <w:r w:rsidRPr="00465CB9">
        <w:rPr>
          <w:b/>
        </w:rPr>
        <w:t>.</w:t>
      </w:r>
      <w:r>
        <w:rPr>
          <w:b/>
        </w:rPr>
        <w:t>12</w:t>
      </w:r>
      <w:r w:rsidRPr="00465CB9">
        <w:rPr>
          <w:b/>
        </w:rPr>
        <w:t xml:space="preserve"> Hemocytes </w:t>
      </w:r>
      <w:r>
        <w:rPr>
          <w:b/>
        </w:rPr>
        <w:t>overexpressing Hop do not display different</w:t>
      </w:r>
      <w:r w:rsidRPr="00465CB9">
        <w:rPr>
          <w:b/>
        </w:rPr>
        <w:t xml:space="preserve"> </w:t>
      </w:r>
      <w:r w:rsidR="00A06D46">
        <w:rPr>
          <w:b/>
        </w:rPr>
        <w:t>numbers of hemocytes recruited to wounds</w:t>
      </w:r>
      <w:r>
        <w:rPr>
          <w:b/>
        </w:rPr>
        <w:t xml:space="preserve">. </w:t>
      </w:r>
    </w:p>
    <w:p w14:paraId="3361C3FB" w14:textId="3E2899CB" w:rsidR="00A92BC4" w:rsidRDefault="00A92BC4" w:rsidP="00A92BC4">
      <w:pPr>
        <w:pStyle w:val="NoSpacing"/>
      </w:pPr>
      <w:r>
        <w:t>(A) Representative stills of GFP-labelled hemocytes, pre-wounding of control (</w:t>
      </w:r>
      <w:proofErr w:type="gramStart"/>
      <w:r w:rsidRPr="003155CF">
        <w:rPr>
          <w:i/>
        </w:rPr>
        <w:t>w;</w:t>
      </w:r>
      <w:r>
        <w:rPr>
          <w:i/>
        </w:rPr>
        <w:t>Srp</w:t>
      </w:r>
      <w:proofErr w:type="gramEnd"/>
      <w:r>
        <w:rPr>
          <w:i/>
        </w:rPr>
        <w:t>-GAL4,UAS-GFP</w:t>
      </w:r>
      <w:r w:rsidRPr="003155CF">
        <w:rPr>
          <w:i/>
        </w:rPr>
        <w:t>/</w:t>
      </w:r>
      <w:r>
        <w:rPr>
          <w:i/>
        </w:rPr>
        <w:t>+</w:t>
      </w:r>
      <w:r w:rsidRPr="003155CF">
        <w:rPr>
          <w:i/>
        </w:rPr>
        <w:t>;</w:t>
      </w:r>
      <w:r>
        <w:rPr>
          <w:i/>
        </w:rPr>
        <w:t>Crq-GAL4,UAS-GFP</w:t>
      </w:r>
      <w:r w:rsidRPr="003155CF">
        <w:rPr>
          <w:i/>
        </w:rPr>
        <w:t>/+</w:t>
      </w:r>
      <w:r>
        <w:t xml:space="preserve">) and </w:t>
      </w:r>
      <w:r w:rsidRPr="00F807F1">
        <w:rPr>
          <w:i/>
        </w:rPr>
        <w:t>UAS-Hop</w:t>
      </w:r>
      <w:r>
        <w:rPr>
          <w:i/>
        </w:rPr>
        <w:t xml:space="preserve"> (</w:t>
      </w:r>
      <w:r w:rsidRPr="003155CF">
        <w:rPr>
          <w:i/>
        </w:rPr>
        <w:t>w;</w:t>
      </w:r>
      <w:r>
        <w:rPr>
          <w:i/>
        </w:rPr>
        <w:t>Srp-GAL4,UAS-GFP</w:t>
      </w:r>
      <w:r w:rsidRPr="003155CF">
        <w:rPr>
          <w:i/>
        </w:rPr>
        <w:t>/UAS-Hop;</w:t>
      </w:r>
      <w:r>
        <w:rPr>
          <w:i/>
        </w:rPr>
        <w:t>Crq-GAL4,UAS-GFP</w:t>
      </w:r>
      <w:r w:rsidRPr="003155CF">
        <w:rPr>
          <w:i/>
        </w:rPr>
        <w:t>/+</w:t>
      </w:r>
      <w:r>
        <w:rPr>
          <w:i/>
        </w:rPr>
        <w:t xml:space="preserve">) </w:t>
      </w:r>
      <w:r w:rsidRPr="00F807F1">
        <w:t>at stage 15</w:t>
      </w:r>
      <w:r>
        <w:t xml:space="preserve">. (A’) Representative stills 60-minutes post-wounding.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n=12 and 10 for control and </w:t>
      </w:r>
      <w:r w:rsidRPr="00F807F1">
        <w:rPr>
          <w:i/>
        </w:rPr>
        <w:t xml:space="preserve">UAS-Hop </w:t>
      </w:r>
      <w:r>
        <w:t xml:space="preserve">embryos respectively. Student’s t-test, p=0.749. White dashed ovals outline wound perimeter. Scale bars represent 20μm. </w:t>
      </w:r>
    </w:p>
    <w:p w14:paraId="48A84495" w14:textId="77777777" w:rsidR="00A92BC4" w:rsidRDefault="00A92BC4" w:rsidP="00A92BC4">
      <w:pPr>
        <w:pStyle w:val="Thesisnormal"/>
      </w:pPr>
    </w:p>
    <w:p w14:paraId="7A5BDE25" w14:textId="54B4D53D" w:rsidR="00A92BC4" w:rsidRDefault="00A92BC4" w:rsidP="00A92BC4">
      <w:pPr>
        <w:pStyle w:val="Heading3"/>
      </w:pPr>
      <w:bookmarkStart w:id="225" w:name="_Toc4589382"/>
      <w:r>
        <w:t>5</w:t>
      </w:r>
      <w:r w:rsidRPr="002D59A3">
        <w:t>.2.</w:t>
      </w:r>
      <w:r>
        <w:t>11</w:t>
      </w:r>
      <w:r w:rsidRPr="002D59A3">
        <w:t xml:space="preserve"> </w:t>
      </w:r>
      <w:r>
        <w:t xml:space="preserve">Overexpression of Socs36e does not affect hemocyte </w:t>
      </w:r>
      <w:r w:rsidR="00A06D46">
        <w:t>recruitment to wounds</w:t>
      </w:r>
      <w:bookmarkEnd w:id="225"/>
    </w:p>
    <w:p w14:paraId="31661F5D" w14:textId="77777777" w:rsidR="00A92BC4" w:rsidRDefault="00A92BC4" w:rsidP="00A92BC4">
      <w:pPr>
        <w:pStyle w:val="Thesisnormal"/>
      </w:pPr>
    </w:p>
    <w:p w14:paraId="35CDF83F" w14:textId="000C0158" w:rsidR="00A92BC4" w:rsidRPr="00BF629F" w:rsidRDefault="00A92BC4" w:rsidP="00A92BC4">
      <w:pPr>
        <w:pStyle w:val="Thesisnormal"/>
      </w:pPr>
      <w:r>
        <w:t xml:space="preserve">There are many regulators of JAK/STAT in </w:t>
      </w:r>
      <w:r>
        <w:rPr>
          <w:i/>
        </w:rPr>
        <w:t>Drosophila</w:t>
      </w:r>
      <w:r>
        <w:t xml:space="preserve"> </w:t>
      </w:r>
      <w:r>
        <w:fldChar w:fldCharType="begin"/>
      </w:r>
      <w:r w:rsidR="000A209C">
        <w:instrText xml:space="preserve"> ADDIN ZOTERO_ITEM CSL_CITATION {"citationID":"EtLDNC1s","properties":{"formattedCitation":"(454)","plainCitation":"(454)","noteIndex":0},"citationItems":[{"id":1377,"uris":["http://zotero.org/users/952979/items/AE2CIZD2"],"uri":["http://zotero.org/users/952979/items/AE2CIZD2"],"itemData":{"id":1377,"type":"article-journal","title":"Drosophila SOCS Proteins","container-title":"Journal of Signal Transduction","page":"894510","volume":"2011","source":"PubMed","abstract":"The importance of signal transduction cascades such as the EGFR and JAK/STAT pathways for development and homeostasis is highlighted by the high levels of molecular conservation maintained between organisms as evolutionary diverged as fruit flies and humans. This conservation is also mirrored in many of the regulatory mechanisms that control the extent and duration of signalling in vivo. One group of proteins that represent important physiological regulators of both EGFR and JAK/STAT signalling is the members of the SOCS family. Only 3 SOCS-like proteins are encoded by the Drosophila genome, and despite this low complexity, Drosophila SOCS proteins share many similarities to their human homologues. SOCS36E is both a target gene and negative regulator of JAK/STAT signalling while SOCS44A and SOCS36E represent positive and negative regulators of EGFR signalling. Here we review our current understanding of Drosophila SOCS proteins, their roles in vivo, and future approaches to elucidating their functions.","DOI":"10.1155/2011/894510","ISSN":"2090-1747","note":"PMID: 22203896\nPMCID: PMC3238392","journalAbbreviation":"J Signal Transduct","language":"eng","author":[{"family":"Stec","given":"Wojciech J."},{"family":"Zeidler","given":"Martin P."}],"issued":{"date-parts":[["2011"]]}}}],"schema":"https://github.com/citation-style-language/schema/raw/master/csl-citation.json"} </w:instrText>
      </w:r>
      <w:r>
        <w:fldChar w:fldCharType="separate"/>
      </w:r>
      <w:r w:rsidR="003902A3" w:rsidRPr="003902A3">
        <w:rPr>
          <w:rFonts w:ascii="Calibri" w:hAnsi="Calibri"/>
        </w:rPr>
        <w:t>(454)</w:t>
      </w:r>
      <w:r>
        <w:fldChar w:fldCharType="end"/>
      </w:r>
      <w:r>
        <w:t xml:space="preserve">. We investigated the negative regulator, </w:t>
      </w:r>
      <w:r w:rsidRPr="00F807F1">
        <w:rPr>
          <w:i/>
        </w:rPr>
        <w:t>socs36e</w:t>
      </w:r>
      <w:r>
        <w:t xml:space="preserve">, as this has been the best characterised </w:t>
      </w:r>
      <w:r>
        <w:fldChar w:fldCharType="begin"/>
      </w:r>
      <w:r w:rsidR="000A209C">
        <w:instrText xml:space="preserve"> ADDIN ZOTERO_ITEM CSL_CITATION {"citationID":"FMyKlxqm","properties":{"formattedCitation":"(455)","plainCitation":"(455)","noteIndex":0},"citationItems":[{"id":1089,"uris":["http://zotero.org/users/952979/items/7WXU9KKH"],"uri":["http://zotero.org/users/952979/items/7WXU9KKH"],"itemData":{"id":1089,"type":"article-journal","title":"The Drosophila JAK-STAT pathway","container-title":"JAK-STAT","page":"e25353","volume":"2","issue":"3","source":"PubMed","abstract":"The conservation of signaling cascades between humans and Drosophila, over more than 500 million years of evolutionary time, means that the genetic tractability of the fly can be used to its full advantage to understand the functional requirements for JAK-STAT pathway signaling across species. Here we review the background to how the pathway was first identified and the first characterization of JAK-STAT pathway phenotypes in the Drosophila system, highlighting the molecular, functional, and disease-related conservation of the pathway.","DOI":"10.4161/jkst.25353","ISSN":"2162-3988","note":"PMID: 24069564\nPMCID: PMC3772116","journalAbbreviation":"JAKSTAT","language":"eng","author":[{"family":"Zeidler","given":"Martin P."},{"family":"Bausek","given":"Nina"}],"issued":{"date-parts":[["2013",7,1]]}}}],"schema":"https://github.com/citation-style-language/schema/raw/master/csl-citation.json"} </w:instrText>
      </w:r>
      <w:r>
        <w:fldChar w:fldCharType="separate"/>
      </w:r>
      <w:r w:rsidR="003902A3" w:rsidRPr="003902A3">
        <w:rPr>
          <w:rFonts w:ascii="Calibri" w:hAnsi="Calibri"/>
        </w:rPr>
        <w:t>(455)</w:t>
      </w:r>
      <w:r>
        <w:fldChar w:fldCharType="end"/>
      </w:r>
      <w:r>
        <w:t xml:space="preserve">. Furthermore, SOCS proteins have multiple roles in macrophage polarisation </w:t>
      </w:r>
      <w:r>
        <w:fldChar w:fldCharType="begin"/>
      </w:r>
      <w:r w:rsidR="000A209C">
        <w:instrText xml:space="preserve"> ADDIN ZOTERO_ITEM CSL_CITATION {"citationID":"PVHBJMvj","properties":{"formattedCitation":"(485)","plainCitation":"(485)","noteIndex":0},"citationItems":[{"id":1474,"uris":["http://zotero.org/users/952979/items/JWHW9PAW"],"uri":["http://zotero.org/users/952979/items/JWHW9PAW"],"itemData":{"id":1474,"type":"article-journal","title":"SOCS Proteins in Macrophage Polarization and Function","container-title":"Frontiers in Immunology","volume":"5","source":"PubMed Central","URL":"http://www.ncbi.nlm.nih.gov/pmc/articles/PMC4112788/","DOI":"10.3389/fimmu.2014.00357","ISSN":"1664-3224","note":"PMID: 25120543\nPMCID: PMC4112788","journalAbbreviation":"Front Immunol","author":[{"family":"Wilson","given":"Heather M."}],"issued":{"date-parts":[["2014",7,28]]},"accessed":{"date-parts":[["2015",11,22]]}}}],"schema":"https://github.com/citation-style-language/schema/raw/master/csl-citation.json"} </w:instrText>
      </w:r>
      <w:r>
        <w:fldChar w:fldCharType="separate"/>
      </w:r>
      <w:r w:rsidR="003902A3" w:rsidRPr="003902A3">
        <w:rPr>
          <w:rFonts w:ascii="Calibri" w:hAnsi="Calibri"/>
        </w:rPr>
        <w:t>(485)</w:t>
      </w:r>
      <w:r>
        <w:fldChar w:fldCharType="end"/>
      </w:r>
      <w:r>
        <w:t xml:space="preserve">. We hypothesised that overexpression of </w:t>
      </w:r>
      <w:r w:rsidRPr="00F807F1">
        <w:rPr>
          <w:i/>
        </w:rPr>
        <w:t xml:space="preserve">socs36e </w:t>
      </w:r>
      <w:r>
        <w:t xml:space="preserve">would impair hemocyte recruitment to wounds due to a reduction in JAK/STAT </w:t>
      </w:r>
      <w:r>
        <w:lastRenderedPageBreak/>
        <w:t xml:space="preserve">signalling activity. We overexpressed </w:t>
      </w:r>
      <w:r w:rsidRPr="00F807F1">
        <w:rPr>
          <w:i/>
        </w:rPr>
        <w:t xml:space="preserve">socs36e </w:t>
      </w:r>
      <w:r>
        <w:t>specifically in hemocytes (</w:t>
      </w:r>
      <w:proofErr w:type="gramStart"/>
      <w:r w:rsidRPr="00410F86">
        <w:rPr>
          <w:i/>
        </w:rPr>
        <w:t>w;Srp</w:t>
      </w:r>
      <w:proofErr w:type="gramEnd"/>
      <w:r>
        <w:rPr>
          <w:i/>
        </w:rPr>
        <w:t>-GAL4,UAS-</w:t>
      </w:r>
      <w:r w:rsidRPr="00410F86">
        <w:rPr>
          <w:i/>
        </w:rPr>
        <w:t>GFP/U</w:t>
      </w:r>
      <w:r>
        <w:rPr>
          <w:i/>
        </w:rPr>
        <w:t>AS-socs</w:t>
      </w:r>
      <w:r w:rsidRPr="00410F86">
        <w:rPr>
          <w:i/>
        </w:rPr>
        <w:t>36</w:t>
      </w:r>
      <w:r>
        <w:rPr>
          <w:i/>
        </w:rPr>
        <w:t>e</w:t>
      </w:r>
      <w:r w:rsidRPr="00410F86">
        <w:rPr>
          <w:i/>
        </w:rPr>
        <w:t>;</w:t>
      </w:r>
      <w:r>
        <w:rPr>
          <w:i/>
        </w:rPr>
        <w:t>Crq-GAL4,UAS-GFP</w:t>
      </w:r>
      <w:r w:rsidRPr="00410F86">
        <w:rPr>
          <w:i/>
        </w:rPr>
        <w:t>/+</w:t>
      </w:r>
      <w:r>
        <w:t xml:space="preserve">). In the pre-wound images, there were no obvious differences in the numbers of hemocytes on the ventral midline (Fig 5.13 A). Furthermore, hemocytes in control embryos and those overexpressing </w:t>
      </w:r>
      <w:r w:rsidRPr="00F807F1">
        <w:rPr>
          <w:i/>
        </w:rPr>
        <w:t xml:space="preserve">UAS-socs36e </w:t>
      </w:r>
      <w:r>
        <w:t xml:space="preserve">exhibited similar morphologies. Overexpression of </w:t>
      </w:r>
      <w:r w:rsidRPr="00F807F1">
        <w:rPr>
          <w:i/>
        </w:rPr>
        <w:t xml:space="preserve">socs36e </w:t>
      </w:r>
      <w:r>
        <w:t xml:space="preserve">within hemocytes did not increase the number of hemocytes responding to wounding (n=54 and 22 embryos for control and </w:t>
      </w:r>
      <w:r w:rsidRPr="00F807F1">
        <w:rPr>
          <w:i/>
        </w:rPr>
        <w:t>UAS-socs36e</w:t>
      </w:r>
      <w:r>
        <w:t xml:space="preserve">, respectively; p=0.798 via Student’s t-test; Fig 5.13 A’-B). This suggests that socs36e regulation of JAK/STAT signalling is not sufficient to alter wounding responses. </w:t>
      </w:r>
    </w:p>
    <w:p w14:paraId="39B94AF9" w14:textId="77777777" w:rsidR="00A92BC4" w:rsidRDefault="00A92BC4" w:rsidP="00A92BC4">
      <w:pPr>
        <w:pStyle w:val="Thesisnormal"/>
      </w:pPr>
    </w:p>
    <w:p w14:paraId="147E143E" w14:textId="77777777" w:rsidR="00A92BC4" w:rsidRDefault="00A92BC4" w:rsidP="00A92BC4">
      <w:pPr>
        <w:pStyle w:val="Thesisnormal"/>
        <w:rPr>
          <w:highlight w:val="yellow"/>
        </w:rPr>
      </w:pPr>
      <w:r>
        <w:rPr>
          <w:noProof/>
          <w:lang w:eastAsia="en-GB"/>
        </w:rPr>
        <w:drawing>
          <wp:inline distT="0" distB="0" distL="0" distR="0" wp14:anchorId="22A5718E" wp14:editId="40022117">
            <wp:extent cx="5900515" cy="3609975"/>
            <wp:effectExtent l="0" t="0" r="5080" b="0"/>
            <wp:docPr id="56" name="Picture 56" descr="C:\Users\Gigabyte\Dropbox\PhD\Writing\Thesis\Chapter 5 JAK STAT signalling in the embryo\Figures\UAS-socs wounding fig\UAS-socs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igabyte\Dropbox\PhD\Writing\Thesis\Chapter 5 JAK STAT signalling in the embryo\Figures\UAS-socs wounding fig\UAS-socs wounding fig.t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56927"/>
                    <a:stretch/>
                  </pic:blipFill>
                  <pic:spPr bwMode="auto">
                    <a:xfrm>
                      <a:off x="0" y="0"/>
                      <a:ext cx="5904102" cy="361217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3DB4393" w14:textId="19BC72F5" w:rsidR="00A92BC4" w:rsidRPr="00465CB9" w:rsidRDefault="00A92BC4" w:rsidP="00A92BC4">
      <w:pPr>
        <w:pStyle w:val="NoSpacing"/>
        <w:rPr>
          <w:b/>
        </w:rPr>
      </w:pPr>
      <w:r>
        <w:rPr>
          <w:b/>
        </w:rPr>
        <w:t>Figure 5</w:t>
      </w:r>
      <w:r w:rsidRPr="00465CB9">
        <w:rPr>
          <w:b/>
        </w:rPr>
        <w:t>.</w:t>
      </w:r>
      <w:r>
        <w:rPr>
          <w:b/>
        </w:rPr>
        <w:t>13</w:t>
      </w:r>
      <w:r w:rsidRPr="00465CB9">
        <w:rPr>
          <w:b/>
        </w:rPr>
        <w:t xml:space="preserve"> Hemocytes </w:t>
      </w:r>
      <w:r>
        <w:rPr>
          <w:b/>
        </w:rPr>
        <w:t>w</w:t>
      </w:r>
      <w:r w:rsidRPr="00465CB9">
        <w:rPr>
          <w:b/>
        </w:rPr>
        <w:t xml:space="preserve">ith </w:t>
      </w:r>
      <w:r>
        <w:rPr>
          <w:b/>
        </w:rPr>
        <w:t>overexpression of socs36e do not display different</w:t>
      </w:r>
      <w:r w:rsidRPr="00465CB9">
        <w:rPr>
          <w:b/>
        </w:rPr>
        <w:t xml:space="preserve"> </w:t>
      </w:r>
      <w:r w:rsidR="00A06D46">
        <w:rPr>
          <w:b/>
        </w:rPr>
        <w:t>numbers of hemocytes recruited to wounds</w:t>
      </w:r>
      <w:r>
        <w:rPr>
          <w:b/>
        </w:rPr>
        <w:t xml:space="preserve">. </w:t>
      </w:r>
    </w:p>
    <w:p w14:paraId="4DBC28F5" w14:textId="366C9328" w:rsidR="00A92BC4" w:rsidRDefault="00A92BC4" w:rsidP="00A92BC4">
      <w:pPr>
        <w:pStyle w:val="NoSpacing"/>
      </w:pPr>
      <w:r>
        <w:t>(A) Representative stills of GFP-labelled hemocytes, pre-wounding of control (</w:t>
      </w:r>
      <w:proofErr w:type="gramStart"/>
      <w:r w:rsidRPr="00410F86">
        <w:rPr>
          <w:i/>
        </w:rPr>
        <w:t>w;Srp</w:t>
      </w:r>
      <w:proofErr w:type="gramEnd"/>
      <w:r>
        <w:rPr>
          <w:i/>
        </w:rPr>
        <w:t>-GAL4,UAS-GFP/+</w:t>
      </w:r>
      <w:r w:rsidRPr="00410F86">
        <w:rPr>
          <w:i/>
        </w:rPr>
        <w:t>;</w:t>
      </w:r>
      <w:r>
        <w:rPr>
          <w:i/>
        </w:rPr>
        <w:t>Crq-GAL4,UAS-GFP</w:t>
      </w:r>
      <w:r w:rsidRPr="00410F86">
        <w:rPr>
          <w:i/>
        </w:rPr>
        <w:t>/+</w:t>
      </w:r>
      <w:r>
        <w:t xml:space="preserve">) and </w:t>
      </w:r>
      <w:r w:rsidRPr="00F807F1">
        <w:rPr>
          <w:i/>
        </w:rPr>
        <w:t>UAS-socs36e</w:t>
      </w:r>
      <w:r>
        <w:rPr>
          <w:i/>
        </w:rPr>
        <w:t xml:space="preserve"> (</w:t>
      </w:r>
      <w:r w:rsidRPr="00410F86">
        <w:rPr>
          <w:i/>
        </w:rPr>
        <w:t>w;Srp</w:t>
      </w:r>
      <w:r>
        <w:rPr>
          <w:i/>
        </w:rPr>
        <w:t>-GAL4,UAS-</w:t>
      </w:r>
      <w:r w:rsidRPr="00410F86">
        <w:rPr>
          <w:i/>
        </w:rPr>
        <w:t>GFP/U</w:t>
      </w:r>
      <w:r>
        <w:rPr>
          <w:i/>
        </w:rPr>
        <w:t>AS-socs</w:t>
      </w:r>
      <w:r w:rsidRPr="00410F86">
        <w:rPr>
          <w:i/>
        </w:rPr>
        <w:t>36</w:t>
      </w:r>
      <w:r>
        <w:rPr>
          <w:i/>
        </w:rPr>
        <w:t>e</w:t>
      </w:r>
      <w:r w:rsidRPr="00410F86">
        <w:rPr>
          <w:i/>
        </w:rPr>
        <w:t>;</w:t>
      </w:r>
      <w:r>
        <w:rPr>
          <w:i/>
        </w:rPr>
        <w:t>Crq-GAL4,UAS-GFP</w:t>
      </w:r>
      <w:r w:rsidRPr="00410F86">
        <w:rPr>
          <w:i/>
        </w:rPr>
        <w:t>/+</w:t>
      </w:r>
      <w:r>
        <w:rPr>
          <w:i/>
        </w:rPr>
        <w:t>)</w:t>
      </w:r>
      <w:r>
        <w:t xml:space="preserve">. (A’) Representative stills 60-minutes post-wounding in stage 15 embryos.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n=54 and 22 for control and </w:t>
      </w:r>
      <w:r w:rsidRPr="0085158D">
        <w:rPr>
          <w:i/>
        </w:rPr>
        <w:t>UAS-socs36e</w:t>
      </w:r>
      <w:r>
        <w:t xml:space="preserve"> embryos respectively. Student’s t-test, p=0.798.  White dashed ovals outline wound perimeter. Scale bars represent 20μm. </w:t>
      </w:r>
    </w:p>
    <w:p w14:paraId="467C0E94" w14:textId="77777777" w:rsidR="00A92BC4" w:rsidRDefault="00A92BC4" w:rsidP="00A92BC4">
      <w:pPr>
        <w:pStyle w:val="Thesisnormal"/>
        <w:rPr>
          <w:highlight w:val="yellow"/>
        </w:rPr>
      </w:pPr>
    </w:p>
    <w:p w14:paraId="204819DC" w14:textId="77777777" w:rsidR="00A92BC4" w:rsidRDefault="00A92BC4" w:rsidP="00A92BC4">
      <w:pPr>
        <w:pStyle w:val="Thesisnormal"/>
        <w:rPr>
          <w:highlight w:val="yellow"/>
        </w:rPr>
      </w:pPr>
    </w:p>
    <w:p w14:paraId="0914DB73" w14:textId="77777777" w:rsidR="00A92BC4" w:rsidRDefault="00A92BC4" w:rsidP="00A92BC4">
      <w:pPr>
        <w:pStyle w:val="Thesisnormal"/>
        <w:rPr>
          <w:highlight w:val="yellow"/>
        </w:rPr>
      </w:pPr>
    </w:p>
    <w:p w14:paraId="3C93C6CB" w14:textId="77777777" w:rsidR="00A92BC4" w:rsidRPr="000B636B" w:rsidRDefault="00A92BC4" w:rsidP="00A92BC4">
      <w:pPr>
        <w:pStyle w:val="Heading3"/>
      </w:pPr>
      <w:bookmarkStart w:id="226" w:name="_Toc4589383"/>
      <w:r>
        <w:lastRenderedPageBreak/>
        <w:t>5</w:t>
      </w:r>
      <w:r w:rsidRPr="002D59A3">
        <w:t>.2.</w:t>
      </w:r>
      <w:r>
        <w:t>12</w:t>
      </w:r>
      <w:r w:rsidRPr="002D59A3">
        <w:t xml:space="preserve"> </w:t>
      </w:r>
      <w:r w:rsidRPr="005C5348">
        <w:rPr>
          <w:i/>
        </w:rPr>
        <w:t>UAS-socs36e</w:t>
      </w:r>
      <w:r>
        <w:t xml:space="preserve"> does not modulate STAT signalling</w:t>
      </w:r>
      <w:bookmarkEnd w:id="226"/>
    </w:p>
    <w:p w14:paraId="0C3E2E92" w14:textId="77777777" w:rsidR="00A92BC4" w:rsidRDefault="00A92BC4" w:rsidP="00A92BC4">
      <w:pPr>
        <w:pStyle w:val="Thesisnormal"/>
      </w:pPr>
    </w:p>
    <w:p w14:paraId="488D3BD4" w14:textId="77777777" w:rsidR="00A92BC4" w:rsidRDefault="00A92BC4" w:rsidP="00A92BC4">
      <w:pPr>
        <w:pStyle w:val="Thesisnormal"/>
      </w:pPr>
      <w:r>
        <w:t xml:space="preserve">As we did not observe any difference in hemocytes responses to wounding in hemocytes expressing </w:t>
      </w:r>
      <w:r w:rsidRPr="00C03A01">
        <w:rPr>
          <w:i/>
        </w:rPr>
        <w:t>UAS-socs36</w:t>
      </w:r>
      <w:r>
        <w:t>, we wished to confirm that the construct was modulating JAK/STAT signalling. We again utilised a fluorescent reporter for STAT (</w:t>
      </w:r>
      <w:r w:rsidRPr="000B636B">
        <w:rPr>
          <w:i/>
        </w:rPr>
        <w:t>STAT-dsRed</w:t>
      </w:r>
      <w:r>
        <w:t>) to measure the abundance of STAT within hemocytes for control (</w:t>
      </w:r>
      <w:proofErr w:type="gramStart"/>
      <w:r w:rsidRPr="00410F86">
        <w:rPr>
          <w:i/>
        </w:rPr>
        <w:t>w;Srp</w:t>
      </w:r>
      <w:proofErr w:type="gramEnd"/>
      <w:r>
        <w:rPr>
          <w:i/>
        </w:rPr>
        <w:t>-GAL4,UAS-GFP/+</w:t>
      </w:r>
      <w:r w:rsidRPr="00410F86">
        <w:rPr>
          <w:i/>
        </w:rPr>
        <w:t>;</w:t>
      </w:r>
      <w:r>
        <w:rPr>
          <w:i/>
        </w:rPr>
        <w:t>Crq-GAL4,UAS-GFP</w:t>
      </w:r>
      <w:r w:rsidRPr="00410F86">
        <w:rPr>
          <w:i/>
        </w:rPr>
        <w:t>/</w:t>
      </w:r>
      <w:r>
        <w:rPr>
          <w:i/>
        </w:rPr>
        <w:t>STAT-dsRed</w:t>
      </w:r>
      <w:r>
        <w:t xml:space="preserve">) and </w:t>
      </w:r>
      <w:r w:rsidRPr="00F807F1">
        <w:rPr>
          <w:i/>
        </w:rPr>
        <w:t>UAS-socs36e</w:t>
      </w:r>
      <w:r>
        <w:rPr>
          <w:i/>
        </w:rPr>
        <w:t xml:space="preserve"> (</w:t>
      </w:r>
      <w:r w:rsidRPr="00410F86">
        <w:rPr>
          <w:i/>
        </w:rPr>
        <w:t>w;Srp</w:t>
      </w:r>
      <w:r>
        <w:rPr>
          <w:i/>
        </w:rPr>
        <w:t>-GAL4,UAS-</w:t>
      </w:r>
      <w:r w:rsidRPr="00410F86">
        <w:rPr>
          <w:i/>
        </w:rPr>
        <w:t>GFP/U</w:t>
      </w:r>
      <w:r>
        <w:rPr>
          <w:i/>
        </w:rPr>
        <w:t>AS-socs</w:t>
      </w:r>
      <w:r w:rsidRPr="00410F86">
        <w:rPr>
          <w:i/>
        </w:rPr>
        <w:t>36</w:t>
      </w:r>
      <w:r>
        <w:rPr>
          <w:i/>
        </w:rPr>
        <w:t>e</w:t>
      </w:r>
      <w:r w:rsidRPr="00410F86">
        <w:rPr>
          <w:i/>
        </w:rPr>
        <w:t>;</w:t>
      </w:r>
      <w:r>
        <w:rPr>
          <w:i/>
        </w:rPr>
        <w:t>Crq-GAL4,UAS-GFP/STAT-dsRed)</w:t>
      </w:r>
      <w:r>
        <w:t xml:space="preserve"> embryos. We found that in hemocytes expressing </w:t>
      </w:r>
      <w:r>
        <w:rPr>
          <w:i/>
        </w:rPr>
        <w:t xml:space="preserve">UAS-socs36e, </w:t>
      </w:r>
      <w:r>
        <w:t xml:space="preserve">there was no difference in the levels of STAT compared to controls (n=9 and 8 embryos for control and </w:t>
      </w:r>
      <w:r w:rsidRPr="00F807F1">
        <w:rPr>
          <w:i/>
        </w:rPr>
        <w:t>UAS-</w:t>
      </w:r>
      <w:r>
        <w:rPr>
          <w:i/>
        </w:rPr>
        <w:t>socs36e</w:t>
      </w:r>
      <w:r>
        <w:t xml:space="preserve"> respectively; p=0.569 via Student’s t-test; Fig 5.14 A-B). This suggests that this construct is not affecting STAT levels. </w:t>
      </w:r>
    </w:p>
    <w:p w14:paraId="6D3D14F8" w14:textId="77777777" w:rsidR="00A92BC4" w:rsidRDefault="00A92BC4" w:rsidP="00A92BC4">
      <w:pPr>
        <w:pStyle w:val="Thesisnormal"/>
      </w:pPr>
    </w:p>
    <w:p w14:paraId="5B5A6FF1" w14:textId="77777777" w:rsidR="00A92BC4" w:rsidRDefault="00A92BC4" w:rsidP="00A92BC4">
      <w:pPr>
        <w:pStyle w:val="Thesisnormal"/>
        <w:rPr>
          <w:highlight w:val="yellow"/>
        </w:rPr>
      </w:pPr>
    </w:p>
    <w:p w14:paraId="37856883" w14:textId="77777777" w:rsidR="00A92BC4" w:rsidRDefault="00A92BC4" w:rsidP="00A92BC4">
      <w:pPr>
        <w:pStyle w:val="Thesisnormal"/>
        <w:rPr>
          <w:highlight w:val="yellow"/>
        </w:rPr>
      </w:pPr>
    </w:p>
    <w:p w14:paraId="14073C04" w14:textId="77777777" w:rsidR="00A92BC4" w:rsidRDefault="00A92BC4" w:rsidP="00A92BC4">
      <w:pPr>
        <w:pStyle w:val="Thesisnormal"/>
        <w:rPr>
          <w:highlight w:val="yellow"/>
        </w:rPr>
      </w:pPr>
    </w:p>
    <w:p w14:paraId="7496116F" w14:textId="77777777" w:rsidR="00A92BC4" w:rsidRDefault="00A92BC4" w:rsidP="00A92BC4">
      <w:pPr>
        <w:pStyle w:val="Thesisnormal"/>
        <w:rPr>
          <w:highlight w:val="yellow"/>
        </w:rPr>
      </w:pPr>
    </w:p>
    <w:p w14:paraId="3C27C111" w14:textId="77777777" w:rsidR="00A92BC4" w:rsidRDefault="00A92BC4" w:rsidP="00A92BC4">
      <w:pPr>
        <w:pStyle w:val="Thesisnormal"/>
        <w:rPr>
          <w:highlight w:val="yellow"/>
        </w:rPr>
      </w:pPr>
    </w:p>
    <w:p w14:paraId="5C2678D3" w14:textId="77777777" w:rsidR="00A92BC4" w:rsidRDefault="00A92BC4" w:rsidP="00A92BC4">
      <w:pPr>
        <w:pStyle w:val="Thesisnormal"/>
        <w:rPr>
          <w:highlight w:val="yellow"/>
        </w:rPr>
      </w:pPr>
    </w:p>
    <w:p w14:paraId="4AF613B7" w14:textId="77777777" w:rsidR="00A92BC4" w:rsidRDefault="00A92BC4" w:rsidP="00A92BC4">
      <w:pPr>
        <w:pStyle w:val="Thesisnormal"/>
        <w:rPr>
          <w:highlight w:val="yellow"/>
        </w:rPr>
      </w:pPr>
    </w:p>
    <w:p w14:paraId="5D5F1DE2" w14:textId="77777777" w:rsidR="00A92BC4" w:rsidRDefault="00A92BC4" w:rsidP="00A92BC4">
      <w:pPr>
        <w:pStyle w:val="Thesisnormal"/>
        <w:rPr>
          <w:highlight w:val="yellow"/>
        </w:rPr>
      </w:pPr>
    </w:p>
    <w:p w14:paraId="250A4F1B" w14:textId="77777777" w:rsidR="00A92BC4" w:rsidRDefault="00A92BC4" w:rsidP="00A92BC4">
      <w:pPr>
        <w:pStyle w:val="Thesisnormal"/>
        <w:rPr>
          <w:highlight w:val="yellow"/>
        </w:rPr>
      </w:pPr>
    </w:p>
    <w:p w14:paraId="178976C8" w14:textId="77777777" w:rsidR="00A92BC4" w:rsidRDefault="00A92BC4" w:rsidP="00A92BC4">
      <w:pPr>
        <w:pStyle w:val="Thesisnormal"/>
        <w:rPr>
          <w:highlight w:val="yellow"/>
        </w:rPr>
      </w:pPr>
    </w:p>
    <w:p w14:paraId="0F9EA46F" w14:textId="77777777" w:rsidR="00A92BC4" w:rsidRDefault="00A92BC4" w:rsidP="00A92BC4">
      <w:pPr>
        <w:pStyle w:val="Thesisnormal"/>
        <w:rPr>
          <w:highlight w:val="yellow"/>
        </w:rPr>
      </w:pPr>
    </w:p>
    <w:p w14:paraId="5416FEA1" w14:textId="77777777" w:rsidR="00A92BC4" w:rsidRDefault="00A92BC4" w:rsidP="00A92BC4">
      <w:pPr>
        <w:pStyle w:val="Thesisnormal"/>
        <w:rPr>
          <w:highlight w:val="yellow"/>
        </w:rPr>
      </w:pPr>
    </w:p>
    <w:p w14:paraId="11334B32" w14:textId="77777777" w:rsidR="00A92BC4" w:rsidRDefault="00A92BC4" w:rsidP="00A92BC4">
      <w:pPr>
        <w:pStyle w:val="Thesisnormal"/>
        <w:rPr>
          <w:highlight w:val="yellow"/>
        </w:rPr>
      </w:pPr>
    </w:p>
    <w:p w14:paraId="77D8756F" w14:textId="77777777" w:rsidR="00A92BC4" w:rsidRDefault="00A92BC4" w:rsidP="00A92BC4">
      <w:pPr>
        <w:pStyle w:val="Thesisnormal"/>
        <w:rPr>
          <w:highlight w:val="yellow"/>
        </w:rPr>
      </w:pPr>
    </w:p>
    <w:p w14:paraId="461E0CF9" w14:textId="77777777" w:rsidR="00A92BC4" w:rsidRDefault="00A92BC4" w:rsidP="00A92BC4">
      <w:pPr>
        <w:pStyle w:val="Thesisnormal"/>
        <w:rPr>
          <w:highlight w:val="yellow"/>
        </w:rPr>
      </w:pPr>
    </w:p>
    <w:p w14:paraId="09E48ACC" w14:textId="77777777" w:rsidR="00A92BC4" w:rsidRDefault="00A92BC4" w:rsidP="00A92BC4">
      <w:pPr>
        <w:pStyle w:val="Thesisnormal"/>
        <w:rPr>
          <w:highlight w:val="yellow"/>
        </w:rPr>
      </w:pPr>
    </w:p>
    <w:p w14:paraId="1FAD5B86" w14:textId="77777777" w:rsidR="00A92BC4" w:rsidRDefault="00A92BC4" w:rsidP="00A92BC4">
      <w:pPr>
        <w:pStyle w:val="Thesisnormal"/>
        <w:rPr>
          <w:highlight w:val="yellow"/>
        </w:rPr>
      </w:pPr>
    </w:p>
    <w:p w14:paraId="589CEBFC" w14:textId="77777777" w:rsidR="00A92BC4" w:rsidRDefault="00A92BC4" w:rsidP="00A92BC4">
      <w:pPr>
        <w:pStyle w:val="Thesisnormal"/>
        <w:rPr>
          <w:highlight w:val="yellow"/>
        </w:rPr>
      </w:pPr>
    </w:p>
    <w:p w14:paraId="17160741" w14:textId="77777777" w:rsidR="00A92BC4" w:rsidRDefault="00A92BC4" w:rsidP="00A92BC4">
      <w:pPr>
        <w:pStyle w:val="Thesisnormal"/>
        <w:rPr>
          <w:highlight w:val="yellow"/>
        </w:rPr>
      </w:pPr>
    </w:p>
    <w:p w14:paraId="432100E2" w14:textId="77777777" w:rsidR="00A92BC4" w:rsidRDefault="00A92BC4" w:rsidP="00A92BC4">
      <w:pPr>
        <w:pStyle w:val="Thesisnormal"/>
        <w:rPr>
          <w:highlight w:val="yellow"/>
        </w:rPr>
      </w:pPr>
    </w:p>
    <w:p w14:paraId="642BC7C0" w14:textId="77777777" w:rsidR="00A92BC4" w:rsidRDefault="00A92BC4" w:rsidP="00A92BC4">
      <w:pPr>
        <w:pStyle w:val="Thesisnormal"/>
        <w:rPr>
          <w:highlight w:val="yellow"/>
        </w:rPr>
      </w:pPr>
      <w:r>
        <w:rPr>
          <w:noProof/>
          <w:highlight w:val="yellow"/>
          <w:lang w:eastAsia="en-GB"/>
        </w:rPr>
        <w:lastRenderedPageBreak/>
        <w:drawing>
          <wp:inline distT="0" distB="0" distL="0" distR="0" wp14:anchorId="2CBC344A" wp14:editId="4B2ED8EB">
            <wp:extent cx="5924486" cy="7505700"/>
            <wp:effectExtent l="0" t="0" r="635" b="0"/>
            <wp:docPr id="57" name="Picture 57" descr="D:\Dropbox\PhD\writing\thesis\chapter 5 jak stat signalling in the embryo\figures\uas-socs36e dsred fig\uas-socs dsR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PhD\writing\thesis\chapter 5 jak stat signalling in the embryo\figures\uas-socs36e dsred fig\uas-socs dsRed.t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0807"/>
                    <a:stretch/>
                  </pic:blipFill>
                  <pic:spPr bwMode="auto">
                    <a:xfrm>
                      <a:off x="0" y="0"/>
                      <a:ext cx="5925752" cy="7507303"/>
                    </a:xfrm>
                    <a:prstGeom prst="rect">
                      <a:avLst/>
                    </a:prstGeom>
                    <a:noFill/>
                    <a:ln>
                      <a:noFill/>
                    </a:ln>
                    <a:extLst>
                      <a:ext uri="{53640926-AAD7-44D8-BBD7-CCE9431645EC}">
                        <a14:shadowObscured xmlns:a14="http://schemas.microsoft.com/office/drawing/2010/main"/>
                      </a:ext>
                    </a:extLst>
                  </pic:spPr>
                </pic:pic>
              </a:graphicData>
            </a:graphic>
          </wp:inline>
        </w:drawing>
      </w:r>
    </w:p>
    <w:p w14:paraId="7E9AEEEE" w14:textId="77777777" w:rsidR="00A92BC4" w:rsidRDefault="00A92BC4" w:rsidP="00A92BC4">
      <w:pPr>
        <w:pStyle w:val="NoSpacing"/>
      </w:pPr>
      <w:r>
        <w:rPr>
          <w:b/>
        </w:rPr>
        <w:t>Figure 5.14</w:t>
      </w:r>
      <w:r w:rsidRPr="006B7AB0">
        <w:rPr>
          <w:b/>
        </w:rPr>
        <w:t xml:space="preserve"> Hemocytes with mutations in Dome do not display different rates of efferocytosis.</w:t>
      </w:r>
      <w:r>
        <w:rPr>
          <w:b/>
        </w:rPr>
        <w:t xml:space="preserve"> </w:t>
      </w:r>
    </w:p>
    <w:p w14:paraId="18CD2D07" w14:textId="77777777" w:rsidR="00A92BC4" w:rsidRDefault="00A92BC4" w:rsidP="00A92BC4">
      <w:pPr>
        <w:pStyle w:val="NoSpacing"/>
      </w:pPr>
      <w:r>
        <w:t>(A) Representative images of GFP-labelled hemocytes with a STAT reporter (RFP) in stage 15 embryos in control (</w:t>
      </w:r>
      <w:proofErr w:type="gramStart"/>
      <w:r w:rsidRPr="00410F86">
        <w:rPr>
          <w:i/>
        </w:rPr>
        <w:t>w;Srp</w:t>
      </w:r>
      <w:proofErr w:type="gramEnd"/>
      <w:r>
        <w:rPr>
          <w:i/>
        </w:rPr>
        <w:t>-GAL4,UAS-GFP/+</w:t>
      </w:r>
      <w:r w:rsidRPr="00410F86">
        <w:rPr>
          <w:i/>
        </w:rPr>
        <w:t>;</w:t>
      </w:r>
      <w:r>
        <w:rPr>
          <w:i/>
        </w:rPr>
        <w:t>Crq-GAL4,UAS-GFP</w:t>
      </w:r>
      <w:r w:rsidRPr="00410F86">
        <w:rPr>
          <w:i/>
        </w:rPr>
        <w:t>/</w:t>
      </w:r>
      <w:r>
        <w:rPr>
          <w:i/>
        </w:rPr>
        <w:t>STAT-dsRed</w:t>
      </w:r>
      <w:r>
        <w:t xml:space="preserve">) and </w:t>
      </w:r>
      <w:r w:rsidRPr="00F807F1">
        <w:rPr>
          <w:i/>
        </w:rPr>
        <w:t>UAS-socs36e</w:t>
      </w:r>
      <w:r>
        <w:rPr>
          <w:i/>
        </w:rPr>
        <w:t xml:space="preserve"> (</w:t>
      </w:r>
      <w:r w:rsidRPr="00410F86">
        <w:rPr>
          <w:i/>
        </w:rPr>
        <w:t>w;Srp</w:t>
      </w:r>
      <w:r>
        <w:rPr>
          <w:i/>
        </w:rPr>
        <w:t>-GAL4,UAS-</w:t>
      </w:r>
      <w:r w:rsidRPr="00410F86">
        <w:rPr>
          <w:i/>
        </w:rPr>
        <w:t>GFP/U</w:t>
      </w:r>
      <w:r>
        <w:rPr>
          <w:i/>
        </w:rPr>
        <w:t>AS-socs</w:t>
      </w:r>
      <w:r w:rsidRPr="00410F86">
        <w:rPr>
          <w:i/>
        </w:rPr>
        <w:t>36</w:t>
      </w:r>
      <w:r>
        <w:rPr>
          <w:i/>
        </w:rPr>
        <w:t>e</w:t>
      </w:r>
      <w:r w:rsidRPr="00410F86">
        <w:rPr>
          <w:i/>
        </w:rPr>
        <w:t>;</w:t>
      </w:r>
      <w:r>
        <w:rPr>
          <w:i/>
        </w:rPr>
        <w:t>Crq-GAL4,UAS-GFP/STAT-dsRed)</w:t>
      </w:r>
      <w:r>
        <w:t xml:space="preserve"> embryos. Scale bars represent 20μm. (A1-9) Zoomed images of (A), scale bars represent 5μm. (B) </w:t>
      </w:r>
      <w:r>
        <w:lastRenderedPageBreak/>
        <w:t xml:space="preserve">Scatterplot of the average hemocyte dsRed intensity within hemocytes in an embryo. Lines and error bars represent mean ± SD, n=9 and 8 for control and </w:t>
      </w:r>
      <w:r w:rsidRPr="009E3FF6">
        <w:rPr>
          <w:i/>
        </w:rPr>
        <w:t>UAS-</w:t>
      </w:r>
      <w:r>
        <w:rPr>
          <w:i/>
        </w:rPr>
        <w:t>socs36e</w:t>
      </w:r>
      <w:r>
        <w:t xml:space="preserve"> </w:t>
      </w:r>
      <w:r w:rsidRPr="00EC592D">
        <w:t>embryos</w:t>
      </w:r>
      <w:r>
        <w:rPr>
          <w:i/>
        </w:rPr>
        <w:t xml:space="preserve"> </w:t>
      </w:r>
      <w:r>
        <w:t xml:space="preserve">respectively. Student’s t-test, p=0.569. </w:t>
      </w:r>
    </w:p>
    <w:p w14:paraId="12453618" w14:textId="77777777" w:rsidR="00A92BC4" w:rsidRDefault="00A92BC4" w:rsidP="00A92BC4">
      <w:pPr>
        <w:pStyle w:val="Thesisnormal"/>
        <w:rPr>
          <w:highlight w:val="yellow"/>
        </w:rPr>
      </w:pPr>
    </w:p>
    <w:p w14:paraId="0438F450" w14:textId="77777777" w:rsidR="00A92BC4" w:rsidRDefault="00A92BC4" w:rsidP="00A92BC4">
      <w:pPr>
        <w:pStyle w:val="Thesisnormal"/>
        <w:rPr>
          <w:highlight w:val="yellow"/>
        </w:rPr>
      </w:pPr>
    </w:p>
    <w:p w14:paraId="18016061" w14:textId="77777777" w:rsidR="00A92BC4" w:rsidRDefault="00A92BC4" w:rsidP="00A92BC4">
      <w:pPr>
        <w:pStyle w:val="Heading3"/>
      </w:pPr>
      <w:bookmarkStart w:id="227" w:name="_Toc4589384"/>
      <w:r w:rsidRPr="008A2225">
        <w:t>5.2.1</w:t>
      </w:r>
      <w:r>
        <w:t>3</w:t>
      </w:r>
      <w:r w:rsidRPr="008A2225">
        <w:t xml:space="preserve"> Knockdown of </w:t>
      </w:r>
      <w:r w:rsidRPr="00F807F1">
        <w:rPr>
          <w:i/>
        </w:rPr>
        <w:t xml:space="preserve">socs36e </w:t>
      </w:r>
      <w:r w:rsidRPr="008A2225">
        <w:t>in hemocytes does not affect responses to wounding</w:t>
      </w:r>
      <w:bookmarkEnd w:id="227"/>
    </w:p>
    <w:p w14:paraId="07DB2F60" w14:textId="77777777" w:rsidR="00A92BC4" w:rsidRDefault="00A92BC4" w:rsidP="00A92BC4">
      <w:pPr>
        <w:pStyle w:val="Thesisnormal"/>
        <w:rPr>
          <w:highlight w:val="yellow"/>
        </w:rPr>
      </w:pPr>
      <w:bookmarkStart w:id="228" w:name="_Toc515560592"/>
    </w:p>
    <w:p w14:paraId="7EB529F2" w14:textId="77777777" w:rsidR="00A92BC4" w:rsidRPr="004222D9" w:rsidRDefault="00A92BC4" w:rsidP="00A92BC4">
      <w:pPr>
        <w:pStyle w:val="Thesisnormal"/>
      </w:pPr>
      <w:r w:rsidRPr="004222D9">
        <w:t xml:space="preserve">We did not </w:t>
      </w:r>
      <w:r>
        <w:t xml:space="preserve">observe any difference in wounding responses when </w:t>
      </w:r>
      <w:r w:rsidRPr="00F807F1">
        <w:rPr>
          <w:i/>
        </w:rPr>
        <w:t xml:space="preserve">socs36e </w:t>
      </w:r>
      <w:r>
        <w:t xml:space="preserve">was overexpressed in hemocytes. To further investigate this, we utilised RNA to knockdown </w:t>
      </w:r>
      <w:r w:rsidRPr="00F807F1">
        <w:rPr>
          <w:i/>
        </w:rPr>
        <w:t>socs3</w:t>
      </w:r>
      <w:r>
        <w:rPr>
          <w:i/>
        </w:rPr>
        <w:t>6</w:t>
      </w:r>
      <w:r w:rsidRPr="00F807F1">
        <w:rPr>
          <w:i/>
        </w:rPr>
        <w:t xml:space="preserve">e </w:t>
      </w:r>
      <w:r>
        <w:t>expression in hemocytes (</w:t>
      </w:r>
      <w:proofErr w:type="gramStart"/>
      <w:r w:rsidRPr="00410F86">
        <w:rPr>
          <w:i/>
        </w:rPr>
        <w:t>w;</w:t>
      </w:r>
      <w:r>
        <w:rPr>
          <w:i/>
        </w:rPr>
        <w:t>Srp</w:t>
      </w:r>
      <w:proofErr w:type="gramEnd"/>
      <w:r>
        <w:rPr>
          <w:i/>
        </w:rPr>
        <w:t>-GAL4,UAS-GFP</w:t>
      </w:r>
      <w:r w:rsidRPr="00410F86">
        <w:rPr>
          <w:i/>
        </w:rPr>
        <w:t>/UAS-</w:t>
      </w:r>
      <w:r>
        <w:rPr>
          <w:i/>
        </w:rPr>
        <w:t>RNAi-socs36e</w:t>
      </w:r>
      <w:r w:rsidRPr="00410F86">
        <w:rPr>
          <w:i/>
        </w:rPr>
        <w:t>;</w:t>
      </w:r>
      <w:r>
        <w:rPr>
          <w:i/>
        </w:rPr>
        <w:t>Crq-GAL4,UAS-GFP</w:t>
      </w:r>
      <w:r w:rsidRPr="00410F86">
        <w:rPr>
          <w:i/>
        </w:rPr>
        <w:t>/+</w:t>
      </w:r>
      <w:r>
        <w:t xml:space="preserve">). Similar to overexpression, RNAi-mediated knockdown of </w:t>
      </w:r>
      <w:r w:rsidRPr="00F807F1">
        <w:rPr>
          <w:i/>
        </w:rPr>
        <w:t xml:space="preserve">socs36e </w:t>
      </w:r>
      <w:r>
        <w:t xml:space="preserve">did not display any overt differences in morphology or numbers of hemocytes. Furthermore, there was no significant difference in numbers of hemocytes responding to wounds (n=16 and 17 embryos for control and </w:t>
      </w:r>
      <w:r w:rsidRPr="00F807F1">
        <w:rPr>
          <w:i/>
        </w:rPr>
        <w:t>UAS-RNAi-socs36e</w:t>
      </w:r>
      <w:r>
        <w:t xml:space="preserve">, respectively; p=0.867 via Student’s t-test; Fig 5.15 A’-B). This confirms that manipulation of </w:t>
      </w:r>
      <w:r w:rsidRPr="00F807F1">
        <w:rPr>
          <w:i/>
        </w:rPr>
        <w:t>socs36e</w:t>
      </w:r>
      <w:r>
        <w:t xml:space="preserve"> does not affect hemocyte responses to wounding. </w:t>
      </w:r>
    </w:p>
    <w:bookmarkEnd w:id="228"/>
    <w:p w14:paraId="07173256" w14:textId="77777777" w:rsidR="00A92BC4" w:rsidRDefault="00A92BC4" w:rsidP="00A92BC4">
      <w:pPr>
        <w:pStyle w:val="Thesisnormal"/>
      </w:pPr>
    </w:p>
    <w:p w14:paraId="1FF2C5D1" w14:textId="77777777" w:rsidR="00A92BC4" w:rsidRDefault="00A92BC4" w:rsidP="00A92BC4">
      <w:pPr>
        <w:pStyle w:val="Thesisnormal"/>
      </w:pPr>
      <w:r>
        <w:rPr>
          <w:noProof/>
          <w:lang w:eastAsia="en-GB"/>
        </w:rPr>
        <w:drawing>
          <wp:inline distT="0" distB="0" distL="0" distR="0" wp14:anchorId="5F4487A3" wp14:editId="63145101">
            <wp:extent cx="6067778" cy="3810000"/>
            <wp:effectExtent l="0" t="0" r="9525" b="0"/>
            <wp:docPr id="58" name="Picture 58" descr="C:\Users\Gigabyte\Dropbox\PhD\Writing\Thesis\Chapter 5 JAK STAT signalling in the embryo\Figures\RNAi socs wounding fig\RNAi-Socs wounding 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gabyte\Dropbox\PhD\Writing\Thesis\Chapter 5 JAK STAT signalling in the embryo\Figures\RNAi socs wounding fig\RNAi-Socs wounding fig.tif"/>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55793"/>
                    <a:stretch/>
                  </pic:blipFill>
                  <pic:spPr bwMode="auto">
                    <a:xfrm>
                      <a:off x="0" y="0"/>
                      <a:ext cx="6070525" cy="3811725"/>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F9B9BB9" w14:textId="1A52F191" w:rsidR="00A92BC4" w:rsidRPr="00465CB9" w:rsidRDefault="00A92BC4" w:rsidP="00A92BC4">
      <w:pPr>
        <w:pStyle w:val="NoSpacing"/>
        <w:rPr>
          <w:b/>
        </w:rPr>
      </w:pPr>
      <w:r>
        <w:rPr>
          <w:b/>
        </w:rPr>
        <w:t>Figure 5</w:t>
      </w:r>
      <w:r w:rsidRPr="00465CB9">
        <w:rPr>
          <w:b/>
        </w:rPr>
        <w:t>.</w:t>
      </w:r>
      <w:r>
        <w:rPr>
          <w:b/>
        </w:rPr>
        <w:t>15</w:t>
      </w:r>
      <w:r w:rsidRPr="00465CB9">
        <w:rPr>
          <w:b/>
        </w:rPr>
        <w:t xml:space="preserve"> Hemocyte</w:t>
      </w:r>
      <w:r>
        <w:rPr>
          <w:b/>
        </w:rPr>
        <w:t>-specific</w:t>
      </w:r>
      <w:r w:rsidRPr="00465CB9">
        <w:rPr>
          <w:b/>
        </w:rPr>
        <w:t xml:space="preserve"> </w:t>
      </w:r>
      <w:r>
        <w:rPr>
          <w:b/>
        </w:rPr>
        <w:t xml:space="preserve">knockdown of </w:t>
      </w:r>
      <w:r w:rsidRPr="00F807F1">
        <w:rPr>
          <w:b/>
          <w:i/>
        </w:rPr>
        <w:t xml:space="preserve">socs36e </w:t>
      </w:r>
      <w:r>
        <w:rPr>
          <w:b/>
        </w:rPr>
        <w:t xml:space="preserve">does not alter </w:t>
      </w:r>
      <w:r w:rsidR="00A06D46">
        <w:rPr>
          <w:b/>
        </w:rPr>
        <w:t>the numbers of hemocytes recruited to wounds</w:t>
      </w:r>
      <w:r>
        <w:rPr>
          <w:b/>
        </w:rPr>
        <w:t xml:space="preserve">. </w:t>
      </w:r>
    </w:p>
    <w:p w14:paraId="4FB1D5E8" w14:textId="4B815B7C" w:rsidR="00A92BC4" w:rsidRDefault="00A92BC4" w:rsidP="00A92BC4">
      <w:pPr>
        <w:pStyle w:val="NoSpacing"/>
      </w:pPr>
      <w:r>
        <w:t>(A) Representative stills of GFP labelled hemocytes, pre-wounding of control (</w:t>
      </w:r>
      <w:proofErr w:type="gramStart"/>
      <w:r>
        <w:rPr>
          <w:i/>
        </w:rPr>
        <w:t>w;Srp</w:t>
      </w:r>
      <w:proofErr w:type="gramEnd"/>
      <w:r>
        <w:rPr>
          <w:i/>
        </w:rPr>
        <w:t>-GAL4,UAS-</w:t>
      </w:r>
      <w:r w:rsidRPr="00410F86">
        <w:rPr>
          <w:i/>
        </w:rPr>
        <w:t>GFP/</w:t>
      </w:r>
      <w:r>
        <w:rPr>
          <w:i/>
        </w:rPr>
        <w:t>+</w:t>
      </w:r>
      <w:r w:rsidRPr="00410F86">
        <w:rPr>
          <w:i/>
        </w:rPr>
        <w:t>;Crq</w:t>
      </w:r>
      <w:r>
        <w:rPr>
          <w:i/>
        </w:rPr>
        <w:t>-GAL4,UAS-</w:t>
      </w:r>
      <w:r w:rsidRPr="00410F86">
        <w:rPr>
          <w:i/>
        </w:rPr>
        <w:t>GFP/+</w:t>
      </w:r>
      <w:r>
        <w:t xml:space="preserve">) and </w:t>
      </w:r>
      <w:r w:rsidRPr="0085158D">
        <w:rPr>
          <w:i/>
        </w:rPr>
        <w:t>UAS-RNAi-socs36e</w:t>
      </w:r>
      <w:r>
        <w:rPr>
          <w:i/>
        </w:rPr>
        <w:t xml:space="preserve"> (w;Srp-GAL4,UAS-</w:t>
      </w:r>
      <w:r w:rsidRPr="00410F86">
        <w:rPr>
          <w:i/>
        </w:rPr>
        <w:t>GFP/</w:t>
      </w:r>
      <w:r>
        <w:rPr>
          <w:i/>
        </w:rPr>
        <w:t>UAS-</w:t>
      </w:r>
      <w:r>
        <w:rPr>
          <w:i/>
        </w:rPr>
        <w:lastRenderedPageBreak/>
        <w:t>RNAi-socs36e</w:t>
      </w:r>
      <w:r w:rsidRPr="00410F86">
        <w:rPr>
          <w:i/>
        </w:rPr>
        <w:t>;Crq</w:t>
      </w:r>
      <w:r>
        <w:rPr>
          <w:i/>
        </w:rPr>
        <w:t>-GAL4,UAS-</w:t>
      </w:r>
      <w:r w:rsidRPr="00410F86">
        <w:rPr>
          <w:i/>
        </w:rPr>
        <w:t>GFP/+</w:t>
      </w:r>
      <w:r>
        <w:rPr>
          <w:i/>
        </w:rPr>
        <w:t>)</w:t>
      </w:r>
      <w:r w:rsidRPr="0085158D">
        <w:rPr>
          <w:i/>
        </w:rPr>
        <w:t>.</w:t>
      </w:r>
      <w:r>
        <w:t xml:space="preserve"> (A’) Representative stills 60-minute post-wounding in stage 15 embryos. (B) Scatterplot of the hemocyte </w:t>
      </w:r>
      <w:r w:rsidR="00A06D46">
        <w:t>recruitment to wounds</w:t>
      </w:r>
      <w:r>
        <w:t xml:space="preserve"> per embryo (number of hemocytes per μm</w:t>
      </w:r>
      <w:r>
        <w:rPr>
          <w:vertAlign w:val="superscript"/>
        </w:rPr>
        <w:t>2</w:t>
      </w:r>
      <w:r>
        <w:t xml:space="preserve"> of wound area, normalised to control average). Lines and error bars represent mean ± SD, n=16 and 17 for control and UAS-RNAi-socs36e embryos respectively. Student’s t-test, p=0.867. White dashed ovals outline wound perimeter. Scale bars represent 20μm. </w:t>
      </w:r>
    </w:p>
    <w:p w14:paraId="74680CFB" w14:textId="77777777" w:rsidR="00A92BC4" w:rsidRDefault="00A92BC4" w:rsidP="00A92BC4">
      <w:pPr>
        <w:pStyle w:val="NoSpacing"/>
      </w:pPr>
    </w:p>
    <w:p w14:paraId="56C6E202" w14:textId="77777777" w:rsidR="00A92BC4" w:rsidRDefault="00A92BC4" w:rsidP="00A92BC4">
      <w:pPr>
        <w:pStyle w:val="NoSpacing"/>
      </w:pPr>
    </w:p>
    <w:p w14:paraId="484EDA87" w14:textId="77777777" w:rsidR="00EF5724" w:rsidRDefault="00EF5724" w:rsidP="00EF5724">
      <w:pPr>
        <w:pStyle w:val="Heading2"/>
      </w:pPr>
      <w:bookmarkStart w:id="229" w:name="_Toc515560597"/>
      <w:bookmarkStart w:id="230" w:name="_Toc4589385"/>
      <w:r>
        <w:t>5.3 Discussion</w:t>
      </w:r>
      <w:bookmarkEnd w:id="229"/>
      <w:bookmarkEnd w:id="230"/>
    </w:p>
    <w:p w14:paraId="1422379A" w14:textId="77777777" w:rsidR="00EF5724" w:rsidRDefault="00EF5724" w:rsidP="00EF5724">
      <w:pPr>
        <w:pStyle w:val="Thesisnormal"/>
      </w:pPr>
    </w:p>
    <w:p w14:paraId="7FBBB827" w14:textId="77777777" w:rsidR="00EF5724" w:rsidRDefault="00EF5724" w:rsidP="00EF5724">
      <w:pPr>
        <w:pStyle w:val="Thesisnormal"/>
      </w:pPr>
      <w:r>
        <w:t xml:space="preserve">In this chapter, we have provided evidence that JAK/STAT signalling is required for limiting hemocyte responses to wounding. We have shown this with four different mutants in two separate components of the pathway (Dome and Upd). Moreover, this appears to be a result of JAK/STAT signalling specifically within hemocytes, as demonstrated by dominant-negative </w:t>
      </w:r>
      <w:r w:rsidRPr="00EA4098">
        <w:rPr>
          <w:i/>
        </w:rPr>
        <w:t>Dome</w:t>
      </w:r>
      <w:r>
        <w:t xml:space="preserve"> mutations. This supports our hypothesis that JAK/STAT signalling is involved in hemocyte responses to sites of injury. However, the RNAi constructs utilised throughout this chapter did not appear to have any effect. Moreover, expression </w:t>
      </w:r>
      <w:r w:rsidRPr="00DB337F">
        <w:rPr>
          <w:i/>
        </w:rPr>
        <w:t>UAS-Upd</w:t>
      </w:r>
      <w:r>
        <w:t xml:space="preserve">, </w:t>
      </w:r>
      <w:r w:rsidRPr="007142D0">
        <w:rPr>
          <w:i/>
        </w:rPr>
        <w:t>UAS-Hop</w:t>
      </w:r>
      <w:r>
        <w:t xml:space="preserve"> and constitutively active </w:t>
      </w:r>
      <w:r w:rsidRPr="007142D0">
        <w:rPr>
          <w:i/>
        </w:rPr>
        <w:t>Hop</w:t>
      </w:r>
      <w:r>
        <w:t xml:space="preserve"> within hemocytes did not affect hemocyte recruitment to wounds. Therefore, the data presented here provides preliminary evidence for a role of JAK/STAT signalling in hemocytes responses to wounds. </w:t>
      </w:r>
    </w:p>
    <w:p w14:paraId="5F94AC9F" w14:textId="77777777" w:rsidR="00EF5724" w:rsidRDefault="00EF5724" w:rsidP="00EF5724">
      <w:pPr>
        <w:pStyle w:val="Thesisnormal"/>
      </w:pPr>
    </w:p>
    <w:p w14:paraId="65AF44B9" w14:textId="1EA641C0" w:rsidR="00EF5724" w:rsidRDefault="00EF5724" w:rsidP="00EF5724">
      <w:pPr>
        <w:pStyle w:val="Heading3"/>
      </w:pPr>
      <w:bookmarkStart w:id="231" w:name="_Toc4589386"/>
      <w:r>
        <w:t xml:space="preserve">5.3.1 JAK/STAT signalling limits </w:t>
      </w:r>
      <w:r w:rsidR="00A06D46">
        <w:t>hemocyte recruitment to wounds</w:t>
      </w:r>
      <w:bookmarkEnd w:id="231"/>
    </w:p>
    <w:p w14:paraId="0FEC5BCE" w14:textId="77777777" w:rsidR="00EF5724" w:rsidRDefault="00EF5724" w:rsidP="00EF5724">
      <w:pPr>
        <w:pStyle w:val="Thesisnormal"/>
      </w:pPr>
    </w:p>
    <w:p w14:paraId="77DC9E1A" w14:textId="007AA84E" w:rsidR="000A209C" w:rsidRDefault="00EF5724" w:rsidP="00EF5724">
      <w:pPr>
        <w:pStyle w:val="Thesisnormal"/>
      </w:pPr>
      <w:r>
        <w:t xml:space="preserve">Laser ablation of </w:t>
      </w:r>
      <w:r>
        <w:rPr>
          <w:i/>
        </w:rPr>
        <w:t>Drosophila</w:t>
      </w:r>
      <w:r>
        <w:t xml:space="preserve"> embryos represents a pro-inflammatory stimuli. Using this technique, we demonstrated that when JAK/STAT signalling is impaired both globally and specifically within hemocytes, there is an increase in the </w:t>
      </w:r>
      <w:r w:rsidR="00A06D46">
        <w:t>recruitment of</w:t>
      </w:r>
      <w:r>
        <w:t xml:space="preserve"> hemocytes to</w:t>
      </w:r>
      <w:r w:rsidR="00A06D46">
        <w:t xml:space="preserve"> sites of</w:t>
      </w:r>
      <w:r>
        <w:t xml:space="preserve"> injury (Figs 5.3 and 5.7). This suggests that normal JAK/STAT functioning within hemocytes limits the embryonic hemocyte </w:t>
      </w:r>
      <w:r w:rsidR="00A06D46">
        <w:t>recruitment</w:t>
      </w:r>
      <w:r>
        <w:t xml:space="preserve"> to wounding; hemocyte morphology and expression of markers (Srp and Crq expression) was normal, confirming that our manipulations did not affect hemocyte specification. We confirmed that </w:t>
      </w:r>
      <w:r w:rsidRPr="00F807F1">
        <w:rPr>
          <w:i/>
        </w:rPr>
        <w:t xml:space="preserve">Upd </w:t>
      </w:r>
      <w:r w:rsidRPr="00F807F1">
        <w:t xml:space="preserve">mutants </w:t>
      </w:r>
      <w:r>
        <w:t xml:space="preserve">and </w:t>
      </w:r>
      <w:r w:rsidRPr="00F807F1">
        <w:rPr>
          <w:i/>
        </w:rPr>
        <w:t>Dome</w:t>
      </w:r>
      <w:r>
        <w:rPr>
          <w:i/>
          <w:vertAlign w:val="superscript"/>
        </w:rPr>
        <w:t>DTMCYT</w:t>
      </w:r>
      <w:r w:rsidRPr="00F807F1">
        <w:rPr>
          <w:i/>
        </w:rPr>
        <w:t xml:space="preserve"> </w:t>
      </w:r>
      <w:r>
        <w:t xml:space="preserve">construct functioned as expected correctly using </w:t>
      </w:r>
      <w:r w:rsidRPr="0009170A">
        <w:rPr>
          <w:i/>
        </w:rPr>
        <w:t>STAT-dsRed</w:t>
      </w:r>
      <w:r>
        <w:t xml:space="preserve"> reporters and cuticle preparations (Figs 5.5 &amp; 5.10), affirming that these manipulations do modulate JAK/STAT signalling in hemocytes. However, </w:t>
      </w:r>
      <w:r>
        <w:rPr>
          <w:i/>
        </w:rPr>
        <w:t>Dome</w:t>
      </w:r>
      <w:r>
        <w:rPr>
          <w:i/>
          <w:vertAlign w:val="superscript"/>
        </w:rPr>
        <w:t>∆CYT</w:t>
      </w:r>
      <w:r>
        <w:t xml:space="preserve"> and </w:t>
      </w:r>
      <w:r>
        <w:rPr>
          <w:i/>
        </w:rPr>
        <w:t>UAS-socs36e</w:t>
      </w:r>
      <w:r>
        <w:t xml:space="preserve"> did not appear to modulate STAT92E levels (Figs 5.10 &amp; 5.14). </w:t>
      </w:r>
      <w:r w:rsidR="00991F61">
        <w:t xml:space="preserve">The </w:t>
      </w:r>
      <w:r w:rsidR="00991F61" w:rsidRPr="00991F61">
        <w:rPr>
          <w:i/>
        </w:rPr>
        <w:t>STAT-dsRed</w:t>
      </w:r>
      <w:r w:rsidR="00991F61">
        <w:t xml:space="preserve"> reporters appeared to label vacuoles. These reporters have not been investigated in the embryo so we cannot be certain </w:t>
      </w:r>
      <w:r w:rsidR="00991F61">
        <w:lastRenderedPageBreak/>
        <w:t xml:space="preserve">that the reporter is behaving normally or not. Indeed any published images of similar reporters are not imaged in enough detail to discern such detail </w:t>
      </w:r>
      <w:r w:rsidR="00991F61">
        <w:fldChar w:fldCharType="begin"/>
      </w:r>
      <w:r w:rsidR="000A209C">
        <w:instrText xml:space="preserve"> ADDIN ZOTERO_ITEM CSL_CITATION {"citationID":"PrTIzhhC","properties":{"formattedCitation":"(467)","plainCitation":"(467)","noteIndex":0},"citationItems":[{"id":1414,"uris":["http://zotero.org/users/952979/items/6KNZKQNJ"],"uri":["http://zotero.org/users/952979/items/6KNZKQNJ"],"itemData":{"id":1414,"type":"article-journal","title":"JAK/STAT signaling in Drosophila muscles controls the cellular immune response against parasitoid infection","container-title":"EMBO reports","page":"1664-1672","volume":"16","issue":"12","source":"PubMed","abstract":"The role of JAK/STAT signaling in the cellular immune response of Drosophila is not well understood. Here, we show that parasitoid wasp infection activates JAK/STAT signaling in somatic muscles of the Drosophila larva, triggered by secretion of the cytokines Upd2 and Upd3 from circulating hemocytes. Deletion of upd2 or upd3, but not the related os (upd1) gene, reduced the cellular immune response, and suppression of the JAK/STAT pathway in muscle cells reduced the encapsulation of wasp eggs and the number of circulating lamellocyte effector cells. These results suggest that JAK/STAT signaling in muscles participates in a systemic immune defense against wasp infection.","DOI":"10.15252/embr.201540277","ISSN":"1469-3178","note":"PMID: 26412855\nPMCID: PMC4687419","journalAbbreviation":"EMBO Rep.","language":"eng","author":[{"family":"Yang","given":"Hairu"},{"family":"Kronhamn","given":"Jesper"},{"family":"Ekström","given":"Jens-Ola"},{"family":"Korkut","given":"Gül Gizem"},{"family":"Hultmark","given":"Dan"}],"issued":{"date-parts":[["2015",12]]}}}],"schema":"https://github.com/citation-style-language/schema/raw/master/csl-citation.json"} </w:instrText>
      </w:r>
      <w:r w:rsidR="00991F61">
        <w:fldChar w:fldCharType="separate"/>
      </w:r>
      <w:r w:rsidR="00991F61" w:rsidRPr="00991F61">
        <w:rPr>
          <w:rFonts w:ascii="Calibri" w:hAnsi="Calibri"/>
        </w:rPr>
        <w:t>(467)</w:t>
      </w:r>
      <w:r w:rsidR="00991F61">
        <w:fldChar w:fldCharType="end"/>
      </w:r>
      <w:r w:rsidR="00991F61">
        <w:t xml:space="preserve">. </w:t>
      </w:r>
      <w:bookmarkStart w:id="232" w:name="_Hlk5187836"/>
      <w:r w:rsidR="00FB2CDD">
        <w:t xml:space="preserve">Additionally, phosphorylated STAT, rather than total STAT levels, is </w:t>
      </w:r>
      <w:r w:rsidR="000A209C">
        <w:t xml:space="preserve">a more accurate measurement of STAT activity as STAT required phosphorylation before it can translocate to the nucleus </w:t>
      </w:r>
      <w:r w:rsidR="000A209C">
        <w:fldChar w:fldCharType="begin"/>
      </w:r>
      <w:r w:rsidR="000A209C">
        <w:instrText xml:space="preserve"> ADDIN ZOTERO_ITEM CSL_CITATION {"citationID":"2CLlIEfq","properties":{"formattedCitation":"(455,493)","plainCitation":"(455,493)","noteIndex":0},"citationItems":[{"id":4768,"uris":["http://zotero.org/users/952979/items/AF9EJXK5"],"uri":["http://zotero.org/users/952979/items/AF9EJXK5"],"itemData":{"id":4768,"type":"article-journal","title":"Canonical and non-canonical JAK–STAT signaling","container-title":"Trends in cell biology","page":"545-551","volume":"18","issue":"11","source":"PubMed Central","abstract":"Aberrant activation of the JAK–STAT pathway has been implicated in many human cancers. It has widely been assumed that the effects of STAT activation are mediated by direct transcriptional induction of STAT target genes. However, recent findings in Drosophila have identified a non-canonical mode of JAK–STAT signaling, which directly controls heterochromatin stability. This indicates that the JAK–STAT pathway also controls cellular epigenetic status, which affects expression of genes beyond those under direct STAT transcriptional control. Given the evolutionary conservation of the canonical pathway among different species, the non-canonical mode of JAK–STAT signaling might also operate in vertebrates. In this review, canonical versus non-canonical JAK–STAT signaling and the implications for gene regulation and cancer formation are discussed.","DOI":"10.1016/j.tcb.2008.08.008","ISSN":"0962-8924","note":"PMID: 18848449\nPMCID: PMC3082280","journalAbbreviation":"Trends Cell Biol","author":[{"family":"Li","given":"Willis X."}],"issued":{"date-parts":[["2008",11]]}}},{"id":1089,"uris":["http://zotero.org/users/952979/items/7WXU9KKH"],"uri":["http://zotero.org/users/952979/items/7WXU9KKH"],"itemData":{"id":1089,"type":"article-journal","title":"The Drosophila JAK-STAT pathway","container-title":"JAK-STAT","page":"e25353","volume":"2","issue":"3","source":"PubMed","abstract":"The conservation of signaling cascades between humans and Drosophila, over more than 500 million years of evolutionary time, means that the genetic tractability of the fly can be used to its full advantage to understand the functional requirements for JAK-STAT pathway signaling across species. Here we review the background to how the pathway was first identified and the first characterization of JAK-STAT pathway phenotypes in the Drosophila system, highlighting the molecular, functional, and disease-related conservation of the pathway.","DOI":"10.4161/jkst.25353","ISSN":"2162-3988","note":"PMID: 24069564\nPMCID: PMC3772116","journalAbbreviation":"JAKSTAT","language":"eng","author":[{"family":"Zeidler","given":"Martin P."},{"family":"Bausek","given":"Nina"}],"issued":{"date-parts":[["2013",7,1]]}}}],"schema":"https://github.com/citation-style-language/schema/raw/master/csl-citation.json"} </w:instrText>
      </w:r>
      <w:r w:rsidR="000A209C">
        <w:fldChar w:fldCharType="separate"/>
      </w:r>
      <w:r w:rsidR="000A209C" w:rsidRPr="000A209C">
        <w:rPr>
          <w:rFonts w:ascii="Calibri" w:hAnsi="Calibri" w:cs="Calibri"/>
        </w:rPr>
        <w:t>(455,493)</w:t>
      </w:r>
      <w:r w:rsidR="000A209C">
        <w:fldChar w:fldCharType="end"/>
      </w:r>
      <w:r w:rsidR="000A209C">
        <w:t xml:space="preserve">. Western blotting for phospho-STAT could have confirm our observations and provided further information on the behaviour of the STAT reporter used here. </w:t>
      </w:r>
    </w:p>
    <w:bookmarkEnd w:id="232"/>
    <w:p w14:paraId="4FD4A042" w14:textId="77777777" w:rsidR="000A209C" w:rsidRDefault="000A209C" w:rsidP="00EF5724">
      <w:pPr>
        <w:pStyle w:val="Thesisnormal"/>
      </w:pPr>
    </w:p>
    <w:p w14:paraId="798AA534" w14:textId="3BAFC10C" w:rsidR="00EF5724" w:rsidRPr="00067D6A" w:rsidRDefault="00EF5724" w:rsidP="00EF5724">
      <w:pPr>
        <w:pStyle w:val="Thesisnormal"/>
      </w:pPr>
      <w:r>
        <w:t xml:space="preserve">Interestingly, </w:t>
      </w:r>
      <w:r w:rsidR="00FB2CDD">
        <w:t>our</w:t>
      </w:r>
      <w:r>
        <w:t xml:space="preserve"> data conflicts with other investigations of JAK/STAT signalling and its involvement in </w:t>
      </w:r>
      <w:r w:rsidR="003709E0">
        <w:t xml:space="preserve">hemocyte </w:t>
      </w:r>
      <w:r w:rsidR="003709E0" w:rsidRPr="003709E0">
        <w:t>recruitment to wounds</w:t>
      </w:r>
      <w:r>
        <w:t>. For instance, expression of</w:t>
      </w:r>
      <w:r w:rsidRPr="00F81533">
        <w:t xml:space="preserve"> </w:t>
      </w:r>
      <w:r w:rsidRPr="0009170A">
        <w:rPr>
          <w:i/>
        </w:rPr>
        <w:t>Dome</w:t>
      </w:r>
      <w:r w:rsidRPr="0009170A">
        <w:rPr>
          <w:i/>
          <w:vertAlign w:val="superscript"/>
        </w:rPr>
        <w:t>ΔCYT</w:t>
      </w:r>
      <w:r w:rsidRPr="00F81533">
        <w:t xml:space="preserve"> in </w:t>
      </w:r>
      <w:r>
        <w:t xml:space="preserve">larval hemocytes leads to the presence of </w:t>
      </w:r>
      <w:r w:rsidRPr="007E28A8">
        <w:t>decreased numbers of hemocytes 24 hours post wounding in larval wing discs</w:t>
      </w:r>
      <w:r>
        <w:t xml:space="preserve"> </w:t>
      </w:r>
      <w:r>
        <w:fldChar w:fldCharType="begin"/>
      </w:r>
      <w:r w:rsidR="000A209C">
        <w:instrText xml:space="preserve"> ADDIN ZOTERO_ITEM CSL_CITATION {"citationID":"0DC7lBC4","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rsidRPr="007E28A8">
        <w:t>. This disparity between our findings and the literature could be explained due to the different time-periods utilised post-wounding</w:t>
      </w:r>
      <w:r>
        <w:t xml:space="preserve"> or developmental stages analysed. The differences in physiology between the larval and embryonic stages could account for the different activities of JAK/STAT signalling </w:t>
      </w:r>
      <w:r>
        <w:fldChar w:fldCharType="begin"/>
      </w:r>
      <w:r w:rsidR="000A209C">
        <w:instrText xml:space="preserve"> ADDIN ZOTERO_ITEM CSL_CITATION {"citationID":"rCzQRoF4","properties":{"formattedCitation":"(164,165)","plainCitation":"(164,165)","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S."},{"family":"Brückner","given":"Katja"}],"issued":{"date-parts":[["2014",8]]}}}],"schema":"https://github.com/citation-style-language/schema/raw/master/csl-citation.json"} </w:instrText>
      </w:r>
      <w:r>
        <w:fldChar w:fldCharType="separate"/>
      </w:r>
      <w:r w:rsidR="004A1963" w:rsidRPr="004A1963">
        <w:rPr>
          <w:rFonts w:ascii="Calibri" w:hAnsi="Calibri"/>
        </w:rPr>
        <w:t>(164,165)</w:t>
      </w:r>
      <w:r>
        <w:fldChar w:fldCharType="end"/>
      </w:r>
      <w:r>
        <w:t xml:space="preserve">. </w:t>
      </w:r>
      <w:bookmarkStart w:id="233" w:name="_Hlk5216947"/>
      <w:r>
        <w:t xml:space="preserve">In the embryo, there are higher levels of apoptosis than in the larvae, peaking at the stage that we perform wounding </w:t>
      </w:r>
      <w:r>
        <w:fldChar w:fldCharType="begin"/>
      </w:r>
      <w:r w:rsidR="000A209C">
        <w:instrText xml:space="preserve"> ADDIN ZOTERO_ITEM CSL_CITATION {"citationID":"YFHDP8WV","properties":{"formattedCitation":"(494)","plainCitation":"(494)","noteIndex":0},"citationItems":[{"id":1470,"uris":["http://zotero.org/users/952979/items/3Q876ZJ2"],"uri":["http://zotero.org/users/952979/items/3Q876ZJ2"],"itemData":{"id":1470,"type":"article-journal","title":"Programmed cell death during Drosophila embryogenesis","container-title":"Development (Cambridge, England)","page":"29-43","volume":"117","issue":"1","source":"PubMed","abstract":"The deliberate and orderly removal of cells by programmed cell death is a common phenomenon during the development of metazoan animals. We have examined the distribution and ultrastructural appearance of cell deaths that occur during embryogenesis in Drosophila melanogaster. A large number of cells die during embryonic development in Drosophila. These cells display ultrastructural features that resemble apoptosis observed in vertebrate systems, including nuclear condensation, fragmentation and engulfment by macrophages. Programmed cell deaths can be rapidly and reliably visualized in living wild-type and mutant Drosophila embryos using the vital dyes acridine orange or nile blue. Acridine orange appears to selectively stain apoptotic forms of death in these preparations, since cells undergoing necrotic deaths were not significantly labelled. Likewise, toluidine blue staining of fixed tissues resulted in highly specific labelling of apoptotic cells, indicating that apoptosis leads to specific biochemical changes responsible for the selective affinity to these dyes. Cell death begins at stage 11 (approximately 7 hours) of embryogenesis and thereafter becomes widespread, affecting many different tissues and regions of the embryo. Although the distribution of dying cells changes drastically over time, the overall pattern of cell death is highly reproducible for any given developmental stage. Detailed analysis of cell death in the central nervous system of stage 16 embryos (13-16 hours) revealed asymmetries in the exact number and position of dying cells on either side of the midline, suggesting that the decision to die may not be strictly predetermined at this stage. This work provides the basis for further molecular genetic studies on the control and execution of programmed cell death in Drosophila.","ISSN":"0950-1991","note":"PMID: 8223253","journalAbbreviation":"Development","language":"eng","author":[{"family":"Abrams","given":"J. M."},{"family":"White","given":"K."},{"family":"Fessler","given":"L. I."},{"family":"Steller","given":"H."}],"issued":{"date-parts":[["1993",1]]}}}],"schema":"https://github.com/citation-style-language/schema/raw/master/csl-citation.json"} </w:instrText>
      </w:r>
      <w:r>
        <w:fldChar w:fldCharType="separate"/>
      </w:r>
      <w:r w:rsidR="000A209C" w:rsidRPr="000A209C">
        <w:rPr>
          <w:rFonts w:ascii="Calibri" w:hAnsi="Calibri" w:cs="Calibri"/>
        </w:rPr>
        <w:t>(494)</w:t>
      </w:r>
      <w:r>
        <w:fldChar w:fldCharType="end"/>
      </w:r>
      <w:r>
        <w:t xml:space="preserve">. </w:t>
      </w:r>
      <w:bookmarkEnd w:id="233"/>
      <w:r>
        <w:t xml:space="preserve">Indeed, although embryonic hemocytes persist into the larvae, they become more sessile and less active </w:t>
      </w:r>
      <w:r>
        <w:fldChar w:fldCharType="begin"/>
      </w:r>
      <w:r w:rsidR="000A209C">
        <w:instrText xml:space="preserve"> ADDIN ZOTERO_ITEM CSL_CITATION {"citationID":"B2klf92l","properties":{"formattedCitation":"(274,495)","plainCitation":"(274,495)","noteIndex":0},"citationItems":[{"id":1338,"uris":["http://zotero.org/users/952979/items/8ZS7DKZG"],"uri":["http://zotero.org/users/952979/items/8ZS7DKZG"],"itemData":{"id":1338,"type":"article-journal","title":"Drosophila sessile hemocyte clusters are true hematopoietic tissues that regulate larval blood cell differentiation","container-title":"eLife","volume":"4","source":"PubMed Central","abstract":"Virtually all species of coelomate animals contain blood cells that display a division of labor necessary for homeostasis. This functional partition depends upon the balance between proliferation and differentiation mostly accomplished in the hematopoietic organs. In Drosophila melanogaster, the lymph gland produces plasmatocytes and crystal cells that are not released until pupariation. Yet, throughout larval development, both hemocyte types increase in numbers. Mature plasmatocytes can proliferate but it is not known if crystal cell numbers increase by self-renewal or by de novo differentiation. We show that new crystal cells in third instar larvae originate through a Notch-dependent process of plasmatocyte transdifferentiation. This process occurs in the sessile clusters and is contingent upon the integrity of these structures. The existence of this hematopoietic tissue, relying on structure-dependent signaling events to promote blood homeostasis, creates a new paradigm for addressing outstanding questions in Drosophila hematopoiesis and establishing further parallels with vertebrate systems., DOI:\nhttp://dx.doi.org/10.7554/eLife.06166.001, Insects have several different types of blood cell, many of which are unable to divide to form new cells once they have matured. Instead, fresh blood cells are normally generated in specialized ‘hematopoietic’ organs, such as the lymph gland in the Drosophila species of fruit fly. The structure of these organs plays an important role in controlling how new blood cells develop., Drosophila embryos make two types of blood cell: plasmatocytes and crystal cells. Both defend against harmful microorganisms, but in different ways. Plasmatocytes engulf and destroy invaders, whereas crystal cells release chemicals that encase microbes in a hardened gel. The blood cells made in the Drosophila embryo are still present once the fly enters its larval stages. At this stage of development, most of the blood cells are found in clusters attached to the cuticle that covers the larva's surface, but a few circulate freely around the larva's body., As a Drosophila larva develops, the number of blood cells in the larva increases. However, previous work has shown these additional blood cells are not normally released from the lymph gland of the larva. Furthermore, mature crystal cells do not appear to form new cells by dividing in two., Leitão and Sucena now show that the stationary clusters of blood cells produce new crystal cells in Drosophila larvae. Within the clusters, plasmatocytes are made to turn into crystal cells via a signaling pathway controlled by a protein called Notch. This pathway was already known to be essential for forming crystal cells. Leitão and Sucena also show that the structure of the clusters influences whether crystal cells are made, which means that the clusters can be considered to be hematopoietic tissue., It is now important to compare how the production of the same cell type is controlled in two distinct hematopoietic structures: the clusters and the lymph gland. From this comparison, general principles may be drawn and tested in other systems, including vertebrates., DOI:\nhttp://dx.doi.org/10.7554/eLife.06166.002","URL":"http://www.ncbi.nlm.nih.gov/pmc/articles/PMC4357286/","DOI":"10.7554/eLife.06166","ISSN":"2050-084X","note":"PMID: 25650737\nPMCID: PMC4357286","journalAbbreviation":"eLife","author":[{"family":"Leitão","given":"Alexandre B"},{"family":"Sucena","given":"Élio"}],"issued":{"date-parts":[["2015"]]},"accessed":{"date-parts":[["2015",10,2]]}}},{"id":1458,"uris":["http://zotero.org/users/952979/items/HX638QUG"],"uri":["http://zotero.org/users/952979/items/HX638QUG"],"itemData":{"id":1458,"type":"article-journal","title":"Assaying Blood Cell Populations of the Drosophila melanogaster Larva","container-title":"Journal of Visualized Experiments: JoVE","issue":"105","source":"PubMed","abstract":"In vertebrates, hematopoiesis is regulated by inductive microenvironments (niches). Likewise, in the invertebrate model organism Drosophila melanogaster, inductive microenvironments known as larval Hematopoietic Pockets (HPs) have been identified as anatomical sites for the development and regulation of blood cells (hemocytes), in particular of the self-renewing macrophage lineage. HPs are segmentally repeated pockets between the epidermis and muscle layers of the larva, which also comprise sensory neurons of the peripheral nervous system. In the larva, resident (sessile) hemocytes are exposed to anti-apoptotic, adhesive and proliferative cues from these sensory neurons and potentially other components of the HPs, such as the lining muscle and epithelial layers. During normal development, gradual release of resident hemocytes from the HPs fuels the population of circulating hemocytes, which culminates in the release of most of the resident hemocytes at the beginning of metamorphosis. Immune assaults, physical injury or mechanical disturbance trigger the premature release of resident hemocytes into circulation. The switch of larval hemocytes between resident locations and circulation raises the need for a common standard/procedure to selectively isolate and quantify these two populations of blood cells from single Drosophila larvae. Accordingly, this protocol describes an automated method to release and quantify the resident and circulating hemocytes from single larvae. The method facilitates ex vivo approaches, and may be adapted to serve a variety of developmental stages of Drosophila and other invertebrate organisms.","DOI":"10.3791/52733","ISSN":"1940-087X","note":"PMID: 26650404","journalAbbreviation":"J Vis Exp","language":"ENG","author":[{"family":"Petraki","given":"Sophia"},{"family":"Alexander","given":"Brandy"},{"family":"Brückner","given":"Katja"}],"issued":{"date-parts":[["2015"]]}}}],"schema":"https://github.com/citation-style-language/schema/raw/master/csl-citation.json"} </w:instrText>
      </w:r>
      <w:r>
        <w:fldChar w:fldCharType="separate"/>
      </w:r>
      <w:r w:rsidR="000A209C" w:rsidRPr="000A209C">
        <w:rPr>
          <w:rFonts w:ascii="Calibri" w:hAnsi="Calibri" w:cs="Calibri"/>
        </w:rPr>
        <w:t>(274,495)</w:t>
      </w:r>
      <w:r>
        <w:fldChar w:fldCharType="end"/>
      </w:r>
      <w:r>
        <w:t xml:space="preserve">. Moreover, embryonic hemocytes follow developmental signals that compete with damage signals which are absent in the larvae </w:t>
      </w:r>
      <w:r>
        <w:fldChar w:fldCharType="begin"/>
      </w:r>
      <w:r w:rsidR="000A209C">
        <w:instrText xml:space="preserve"> ADDIN ZOTERO_ITEM CSL_CITATION {"citationID":"12BA4OiQ","properties":{"formattedCitation":"(224)","plainCitation":"(224)","noteIndex":0},"citationItems":[{"id":1082,"uris":["http://zotero.org/users/952979/items/62ARD639"],"uri":["http://zotero.org/users/952979/items/62ARD639"],"itemData":{"id":1082,"type":"article-journal","title":"Prioritization of competing damage and developmental signals by migrating macrophages in the Drosophila embryo","container-title":"Current biology: CB","page":"464-470","volume":"20","issue":"5","source":"PubMed","abstract":"The function of immune cells is critically dependent on their capacity to respond to a complex series of navigational cues that enable them to home to various organ sites in the body or to respond to inflammatory cues such as those released at sites of tissue damage. From early embryonic stages, immune cells are faced with a barrage of signals that will not all be directing the cell to do the same thing. Here we use the Drosophila embryo to investigate how hemocytes (Drosophila macrophages), are able to prioritize key guidance signals and ignore others so that they are not pulled every which way. We identify the immediate wound attractant signal as H(2)O(2) and investigate how Drosophila macrophages respond to competing guidance cues-those emanating from a wound-versus standard developmental guidance cues, as well as those signals drawing cells toward neighboring dying cells. We reveal a hierarchy of responsiveness to attractant cues that varies over time and we identify why there is a wound refractile period early in embryonic development when macrophages cannot be distracted from their developmental migratory pathway to a site of tissue damage.","DOI":"10.1016/j.cub.2010.01.047","ISSN":"1879-0445","note":"PMID: 20188558","journalAbbreviation":"Curr. Biol.","language":"eng","author":[{"family":"Moreira","given":"Severina"},{"family":"Stramer","given":"Brian"},{"family":"Evans","given":"Iwan"},{"family":"Wood","given":"Will"},{"family":"Martin","given":"Paul"}],"issued":{"date-parts":[["2010",3,9]]}}}],"schema":"https://github.com/citation-style-language/schema/raw/master/csl-citation.json"} </w:instrText>
      </w:r>
      <w:r>
        <w:fldChar w:fldCharType="separate"/>
      </w:r>
      <w:r w:rsidR="004A1963" w:rsidRPr="004A1963">
        <w:rPr>
          <w:rFonts w:ascii="Calibri" w:hAnsi="Calibri"/>
        </w:rPr>
        <w:t>(224)</w:t>
      </w:r>
      <w:r>
        <w:fldChar w:fldCharType="end"/>
      </w:r>
      <w:r>
        <w:t>. It is therefore reasonable to suggest that complex signalling pathways may function differently between the two developmental states. Alternatively, t</w:t>
      </w:r>
      <w:r w:rsidRPr="007E28A8">
        <w:t>his disparity between our findings and the literature could be explained due to the different time-periods utilised post-wounding</w:t>
      </w:r>
      <w:r>
        <w:t xml:space="preserve"> or developmental stages analysed. For example, </w:t>
      </w:r>
      <w:r w:rsidRPr="007E28A8">
        <w:t>i</w:t>
      </w:r>
      <w:r>
        <w:t>n mice</w:t>
      </w:r>
      <w:r w:rsidRPr="007E28A8">
        <w:t xml:space="preserve"> there is a lag period of 3-5 days during which the macrophage wound response switches from M1 to an M2 phenotype </w:t>
      </w:r>
      <w:r>
        <w:fldChar w:fldCharType="begin"/>
      </w:r>
      <w:r w:rsidR="000A209C">
        <w:instrText xml:space="preserve"> ADDIN ZOTERO_ITEM CSL_CITATION {"citationID":"LXeO1RnL","properties":{"formattedCitation":"(348)","plainCitation":"(348)","noteIndex":0},"citationItems":[{"id":1640,"uris":["http://zotero.org/users/952979/items/MQT6FK28"],"uri":["http://zotero.org/users/952979/items/MQT6FK28"],"itemData":{"id":1640,"type":"article-journal","title":"Macrophage Differentiation in Normal and Accelerated Wound Healing","container-title":"Results and problems in cell differentiation","page":"353-364","volume":"62","source":"PubMed Central","abstract":"Chronic wounds pose considerable public health challenges and burden. Wound healing is known to require the participation of macrophages, but mechanisms remain unclear. The M1 phenotype macrophages have a known scavenger function, but they also play multiple roles in tissue repair and regeneration when they transition to an M2 phenotype. Macrophage precursors (mononuclear cells/monocytes) follow the influx of PMN neutrophils into a wound during the natural wound-healing process, to become the major cells in the wound. Natural wound-healing process is a four-phase progression consisting of hemostasis, inflammation, proliferation, and remodeling. A lag phase of 3–6 days precedes the remodeling phase, which is characterized by fibroblast activation and finally collagen production. This normal wound-healing process can be accelerated by the intracellular delivery of ATP to wound tissue. This novel ATP-mediated acceleration arises due to an alternative activation of the M1 to M2 transition (macrophage polarization), a central and critical feature of the wound-healing process. This response is also characterized by an early increased release of pro-inflammatory cytokines (TNF, IL-1 beta, IL-6), a chemokine (MCP-1), an activation of purinergic receptors (a family of plasma membrane receptors found in almost all mammalian cells), and an increased production of platelets and platelet microparticles. These factors trigger a massive influx of macrophages, as well as in situ proliferation of the resident macrophages and increased synthesis of VEGFs. These responses are followed, in turn, by rapid neovascularization and collagen production by the macrophages, resulting in wound covering with granulation tissue within 24 h.","DOI":"10.1007/978-3-319-54090-0_14","ISSN":"0080-1844","note":"PMID: 28455716\nPMCID: PMC5841920","journalAbbreviation":"Results Probl Cell Differ","author":[{"family":"Kotwal","given":"Girish J."},{"family":"Chien","given":"Sufan"}],"issued":{"date-parts":[["2017"]]}}}],"schema":"https://github.com/citation-style-language/schema/raw/master/csl-citation.json"} </w:instrText>
      </w:r>
      <w:r>
        <w:fldChar w:fldCharType="separate"/>
      </w:r>
      <w:r w:rsidR="00A53A6B" w:rsidRPr="00A53A6B">
        <w:rPr>
          <w:rFonts w:ascii="Calibri" w:hAnsi="Calibri"/>
        </w:rPr>
        <w:t>(348)</w:t>
      </w:r>
      <w:r>
        <w:fldChar w:fldCharType="end"/>
      </w:r>
      <w:r w:rsidRPr="007E28A8">
        <w:t xml:space="preserve">. It is possible that looking at 1-hour </w:t>
      </w:r>
      <w:r>
        <w:t xml:space="preserve">post-wounding (in our assays) </w:t>
      </w:r>
      <w:r w:rsidRPr="007E28A8">
        <w:t xml:space="preserve">compared to 24 hours </w:t>
      </w:r>
      <w:r>
        <w:t xml:space="preserve">post wounding (in larvae wounding assays) </w:t>
      </w:r>
      <w:r w:rsidRPr="007E28A8">
        <w:t>is akin to this lag</w:t>
      </w:r>
      <w:r>
        <w:t xml:space="preserve"> and the hemocyte phenotype has switched.</w:t>
      </w:r>
      <w:r w:rsidRPr="007B19CA">
        <w:t xml:space="preserve"> </w:t>
      </w:r>
      <w:r>
        <w:t xml:space="preserve">To further this data, hemocytes could be tracked to wounds to determine if loss of JAK/STAT signalling impacts hemocyte migration towards wounds. Various reporter constructs, such as </w:t>
      </w:r>
      <w:r w:rsidRPr="00067D6A">
        <w:rPr>
          <w:i/>
        </w:rPr>
        <w:t>STAT-dsRed</w:t>
      </w:r>
      <w:r>
        <w:t xml:space="preserve"> could be employed to investigate signalling in hemocytes and other tissues following wounding. </w:t>
      </w:r>
    </w:p>
    <w:p w14:paraId="56F0C502" w14:textId="77777777" w:rsidR="00EF5724" w:rsidRDefault="00EF5724" w:rsidP="00EF5724">
      <w:pPr>
        <w:pStyle w:val="Thesisnormal"/>
      </w:pPr>
    </w:p>
    <w:p w14:paraId="574E3F8A" w14:textId="36BAD44E" w:rsidR="009E6FD6" w:rsidRDefault="00EF5724" w:rsidP="009E6FD6">
      <w:pPr>
        <w:pStyle w:val="Thesisnormal"/>
      </w:pPr>
      <w:r>
        <w:t>Furthermore, in the context of larval wound responses, all thre</w:t>
      </w:r>
      <w:r w:rsidRPr="00F8119C">
        <w:t>e Upd ligands were increased in the local wound area</w:t>
      </w:r>
      <w:r>
        <w:t xml:space="preserve">, although the authors only investigated this 6-hours post-wounding </w:t>
      </w:r>
      <w:r>
        <w:lastRenderedPageBreak/>
        <w:fldChar w:fldCharType="begin"/>
      </w:r>
      <w:r w:rsidR="000A209C">
        <w:instrText xml:space="preserve"> ADDIN ZOTERO_ITEM CSL_CITATION {"citationID":"Z64WMPzn","properties":{"formattedCitation":"(249)","plainCitation":"(249)","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Carlos"},{"family":"Wu","given":"Ming"},{"family":"Xu","given":"Tian"}],"issued":{"date-parts":[["2008",9,1]]}}}],"schema":"https://github.com/citation-style-language/schema/raw/master/csl-citation.json"} </w:instrText>
      </w:r>
      <w:r>
        <w:fldChar w:fldCharType="separate"/>
      </w:r>
      <w:r w:rsidR="004A1963" w:rsidRPr="004A1963">
        <w:rPr>
          <w:rFonts w:ascii="Calibri" w:hAnsi="Calibri"/>
        </w:rPr>
        <w:t>(249)</w:t>
      </w:r>
      <w:r>
        <w:fldChar w:fldCharType="end"/>
      </w:r>
      <w:r w:rsidRPr="00F8119C">
        <w:t>.</w:t>
      </w:r>
      <w:r>
        <w:t xml:space="preserve"> This is not consistent with our data in which global knockout of </w:t>
      </w:r>
      <w:r w:rsidRPr="0009170A">
        <w:rPr>
          <w:i/>
        </w:rPr>
        <w:t>Upd</w:t>
      </w:r>
      <w:r>
        <w:t xml:space="preserve"> increased </w:t>
      </w:r>
      <w:r w:rsidR="00126602">
        <w:t>hemocyte recruitment to wounds</w:t>
      </w:r>
      <w:r>
        <w:t xml:space="preserve">. It is possible that Upd is released in the local wound site once a hemocyte response has been established but does not appear to be required for attracting hemocytes to sites of injury. We were unable to confirm the role of Upd3, as it appeared that the RNAi may not have been functioning correctly, although this was not investigated due to time restrictions (use of a </w:t>
      </w:r>
      <w:r w:rsidRPr="00A955CD">
        <w:rPr>
          <w:i/>
        </w:rPr>
        <w:t>STAT-dsRed</w:t>
      </w:r>
      <w:r>
        <w:t xml:space="preserve"> reporter construct would have confirmed this assumption). However, the role of JAK/STAT signalling in embryonic wounding has not been shown yet, despite research into the damage cues in the embryo </w:t>
      </w:r>
      <w:r>
        <w:fldChar w:fldCharType="begin"/>
      </w:r>
      <w:r w:rsidR="000A209C">
        <w:instrText xml:space="preserve"> ADDIN ZOTERO_ITEM CSL_CITATION {"citationID":"Dx1eCrCa","properties":{"formattedCitation":"(253)","plainCitation":"(253)","noteIndex":0},"citationItems":[{"id":1084,"uris":["http://zotero.org/users/952979/items/MDDCU7XU"],"uri":["http://zotero.org/users/952979/items/MDDCU7XU"],"itemData":{"id":1084,"type":"article-journal","title":"Draper/CED-1 mediates an ancient damage response to control inflammatory blood cell migration in vivo","container-title":"Current biology: CB","page":"1606-1612","volume":"25","issue":"12","source":"PubMed","abstract":"Tissue damage leads to a robust and rapid inflammatory response whereby leukocytes are actively drawn toward the wound. Hydrogen peroxide (H2O2) has been shown to be an immediate damage signal essential for the recruitment of these inflammatory blood cells to wound sites in both Drosophila and vertebrates [1, 2]. Recent studies in zebrafish have shown that wound-induced H2O2 is detected by the redox-sensitive Src family kinase (SFK) Lyn within the responding blood cells [3]. Here, we show the same signaling occurs in Drosophila inflammatory cells in response to wound-induced H2O2 with mutants for the Lyn homolog Src42A displaying impaired inflammatory migration to wounds. We go on to show that activation of Src42A is necessary to trigger a signaling cascade within the inflammatory cells involving the ITAM domain-containing protein Draper-I (a member of the CED-1 family of apoptotic cell clearance receptors) and a downstream kinase, Shark, that is required for migration to wounds. The Src42A-Draper-Shark-mediated signaling axis is homologous to the well-established SFK-ITAM-Syk-signaling pathway used in vertebrate adaptive immune responses. Consequently, our results suggest that adaptive immunoreceptor-signaling pathways important in distinguishing self from non-self appear to have evolved from a more-ancient damage response. Furthermore, this changes the role of H2O2 from an inflammatory chemoattractant to an activator signal that primes immune cells to respond to damage cues via the activation of damage receptors such as Draper.","DOI":"10.1016/j.cub.2015.04.037","ISSN":"1879-0445","note":"PMID: 26028435\nPMCID: PMC4503800","journalAbbreviation":"Curr. Biol.","language":"eng","author":[{"family":"Evans","given":"Iwan Robert"},{"family":"Rodrigues","given":"Frederico S. L. M."},{"family":"Armitage","given":"Emma Louise"},{"family":"Wood","given":"Will"}],"issued":{"date-parts":[["2015",6,15]]}}}],"schema":"https://github.com/citation-style-language/schema/raw/master/csl-citation.json"} </w:instrText>
      </w:r>
      <w:r>
        <w:fldChar w:fldCharType="separate"/>
      </w:r>
      <w:r w:rsidR="004A1963" w:rsidRPr="004A1963">
        <w:rPr>
          <w:rFonts w:ascii="Calibri" w:hAnsi="Calibri"/>
        </w:rPr>
        <w:t>(253)</w:t>
      </w:r>
      <w:r>
        <w:fldChar w:fldCharType="end"/>
      </w:r>
      <w:r>
        <w:t xml:space="preserve">. It is possible that our observations of increased hemocyte responses to wounding in Upd mutants is a result of impaired signalling specifically in hemocytes. This is supported by our observations utilising Dome constructs, lacking an intracellular region, with a hemocyte specific driver. This hypothesis could be confirmed by utilising </w:t>
      </w:r>
      <w:r w:rsidRPr="007A5C8A">
        <w:rPr>
          <w:i/>
        </w:rPr>
        <w:t>Upd</w:t>
      </w:r>
      <w:r>
        <w:t xml:space="preserve"> knockdown constructs in a cell/tissue specific manner. </w:t>
      </w:r>
      <w:bookmarkStart w:id="234" w:name="_Hlk5189379"/>
      <w:r w:rsidR="000A209C">
        <w:t xml:space="preserve">Together, our data suggests that JAK/STAT is anti-inflammatory in </w:t>
      </w:r>
      <w:r w:rsidR="000A209C">
        <w:rPr>
          <w:i/>
        </w:rPr>
        <w:t>Drosophila</w:t>
      </w:r>
      <w:r w:rsidR="000A209C">
        <w:t xml:space="preserve">, akin to IL-4 or IL-10 signalling </w:t>
      </w:r>
      <w:r w:rsidR="009E6FD6">
        <w:t xml:space="preserve">via STAT3 and STAT6 </w:t>
      </w:r>
      <w:r w:rsidR="000A209C">
        <w:t>in vertebrate macrophages</w:t>
      </w:r>
      <w:r w:rsidR="009E6FD6">
        <w:t xml:space="preserve"> (Fig 5.2; </w:t>
      </w:r>
      <w:r w:rsidR="009E6FD6">
        <w:fldChar w:fldCharType="begin"/>
      </w:r>
      <w:r w:rsidR="00AA533A">
        <w:instrText xml:space="preserve"> ADDIN ZOTERO_ITEM CSL_CITATION {"citationID":"suCpfZW5","properties":{"formattedCitation":"(381,478)","plainCitation":"(381,478)","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K."}],"issued":{"date-parts":[["2013",6,1]]}}},{"id":57,"uris":["http://zotero.org/users/952979/items/NSDTF97T"],"uri":["http://zotero.org/users/952979/items/NSDTF97T"],"itemData":{"id":57,"type":"article-journal","title":"The macrophage response towards LPS and its control through the p38(MAPK)-STAT3 axis","container-title":"Cellular Signalling","page":"1185-1194","volume":"24","issue":"6","source":"PubMed","abstract":"In macrophages detection of gram-negative bacteria particularly involves binding of the outer-wall component lipopolysaccharide (LPS) to its cognate receptor complex, comprising Toll like receptor 4 (TLR4), CD14 and MD2. LPS-induced formation of the LPS receptor complex elicits a signaling network, including intra-cellular signal-transduction directly activated by the TLR4 receptor complex as well as successional induction of indirect autocrine and paracrine signaling events. All these different pathways are integrated into the macrophage response towards an inflammatory stimulus by a highly complex cross-talk of the pathways engaged. This also includes a tight control by several intra- and inter-cellular feedback loops warranting an inflammatory response sufficient to battle invading pathogens and to avoid non-essential tissue damage caused by an overwhelming inflammatory response. Several evidences indicate that the reciprocal cross-talk between the p38(MAPK)-pathway and signal transducer and activator of transcription (STAT)3-mediated signal-transduction forms a critical axis successively activated by LPS. The balanced activation of this axis is essential for both induction and propagation of the inflammatory macrophage response as well as for the control of the resolution phase, which is largely driven by IL-10 and sustained STAT3 activation. In this context regulation of suppressor of cytokine signaling (SOCS)3 expression and the recently described divergent regulatory roles of the two p38(MAPK)-activated protein kinases MK2 and MK3 for the regulation of LPS-induced NF-κB- and IRF3-mediated signal-transduction and gene expression, which includes the regulation of IFNβ, IL-10 and DUSP1, appears to play an important role.","DOI":"10.1016/j.cellsig.2012.01.018","ISSN":"1873-3913","note":"PMID: 22330073","journalAbbreviation":"Cell. Signal.","language":"eng","author":[{"family":"Bode","given":"Johannes G."},{"family":"Ehlting","given":"Christian"},{"family":"Häussinger","given":"Dieter"}],"issued":{"date-parts":[["2012",6]]}}}],"schema":"https://github.com/citation-style-language/schema/raw/master/csl-citation.json"} </w:instrText>
      </w:r>
      <w:r w:rsidR="009E6FD6">
        <w:fldChar w:fldCharType="separate"/>
      </w:r>
      <w:r w:rsidR="009E6FD6" w:rsidRPr="003902A3">
        <w:rPr>
          <w:rFonts w:ascii="Calibri" w:hAnsi="Calibri"/>
        </w:rPr>
        <w:t>(381,478)</w:t>
      </w:r>
      <w:r w:rsidR="009E6FD6">
        <w:fldChar w:fldCharType="end"/>
      </w:r>
      <w:r w:rsidR="009E6FD6">
        <w:t>)</w:t>
      </w:r>
      <w:r w:rsidR="000A209C">
        <w:t>.</w:t>
      </w:r>
      <w:r w:rsidR="00AA533A" w:rsidRPr="00AA533A">
        <w:t xml:space="preserve"> </w:t>
      </w:r>
      <w:r w:rsidR="00AA533A">
        <w:t xml:space="preserve">Indeed, loss of STAT3 specifically within </w:t>
      </w:r>
      <w:r w:rsidR="00717A30">
        <w:t xml:space="preserve">tissue resident </w:t>
      </w:r>
      <w:r w:rsidR="00AA533A">
        <w:t>macrophages caused enhanced production of the pro-inflammatory cytokines, IL-6, TNF-α, IFN-γ and IL-1β</w:t>
      </w:r>
      <w:r w:rsidR="00717A30">
        <w:t xml:space="preserve"> </w:t>
      </w:r>
      <w:r w:rsidR="00AA533A">
        <w:fldChar w:fldCharType="begin"/>
      </w:r>
      <w:r w:rsidR="00AA533A">
        <w:instrText xml:space="preserve"> ADDIN ZOTERO_ITEM CSL_CITATION {"citationID":"5izmkxjO","properties":{"formattedCitation":"(479,480)","plainCitation":"(479,480)","noteIndex":0},"citationItems":[{"id":34,"uris":["http://zotero.org/users/952979/items/8RAXPB42"],"uri":["http://zotero.org/users/952979/items/8RAXPB42"],"itemData":{"id":34,"type":"article-journal","title":"Enhanced Th1 Activity and Development of Chronic Enterocolitis in Mice Devoid of Stat3 in Macrophages and Neutrophils","container-title":"Immunity","page":"39-49","volume":"10","issue":"1","source":"ScienceDirect","abstract":"We have generated mice with a cell type-specific disruption of the Stat3 gene in macrophages and neutrophils. The mutant mice are highly susceptible to endotoxin shock with increased production of inflammatory cytokines such as TNFα, IL-1, IFNγ, and IL-6. Endotoxin-induced production of inflammatory cytokines is augmented because the suppressive effects of IL-10 on inflammatory cytokine production from macrophages and neutrophils are completely abolished. The mice show a polarized immune response toward the Th1 type and develop chronic enterocolitis with age. Taken together, Stat3 plays a critical role in deactivation of macrophages and neutrophils mainly exerted by IL-10.","DOI":"10.1016/S1074-7613(00)80005-9","ISSN":"1074-7613","journalAbbreviation":"Immunity","author":[{"family":"Takeda","given":"Kiyoshi"},{"family":"Clausen","given":"Björn E"},{"family":"Kaisho","given":"Tsuneyasu"},{"family":"Tsujimura","given":"Tohru"},{"family":"Terada","given":"Nobuyuki"},{"family":"Förster","given":"Irmgard"},{"family":"Akira","given":"Shizuo"}],"issued":{"date-parts":[["1999",1,1]]}}},{"id":58,"uris":["http://zotero.org/users/952979/items/DWQZLLJQ"],"uri":["http://zotero.org/users/952979/items/DWQZLLJQ"],"itemData":{"id":58,"type":"article-journal","title":"Stat3 in Resident Macrophages as a Repressor Protein of Inflammatory Response","container-title":"The Journal of Immunology","page":"3354-3359","volume":"175","issue":"5","source":"www.jimmunol.org","abstract":"Inflammation is counterbalanced by anti-inflammatory cytokines such as IL-10, in which Stat3 mediates the signaling pathway. In this study, we demonstrate that resident macrophages, but not other cell types, are important targets of IL-10 in a murine model of acute peritonitis. Injection of thioglycollate i.p. induced a considerable number of neutrophils and macrophages in the peritoneum, which was significantly augmented in mice with a cell-type specific disruption of the Stat3 gene in macrophages and neutrophils (LysMcre/Stat3flox/− mice). The augmented leukocyte infiltration was accompanied by increased peritoneal levels of TNF-α, MIP-2, KC chemokine (KC), and MCP-1/CCL2. Stat3 was tyrosine phosphorylated in peritoneal resident macrophages as well as infiltrating leukocytes in the littermate controls, suggesting that Stat3 in either or both of these cells might play a regulatory role in inflammation. The peritoneal levels of TNF-α, MIP-2, KC, and MCP-1 were similarly elevated in LysMcre/Stat3flox/− mice rendered leukopenic by cyclophosphamide treatment as compared with the controls. Adoptive transfer of resident macrophages from LysMcre/Stat3flox/− mice into the control littermates resulted in increases in the peritoneal level of TNF-α, MIP-2, KC, and MCP-1 after i.p. injection of thioglycollate. Under these conditions, control littermates harboring LysMcre/Stat3flox/− macrophages exhibited an augmented leukocyte infiltration relative to those received control macrophages. Taken together, these data provide evidence that resident macrophages, but not other cell types, play a regulatory role in inflammation through a Stat3 signaling pathway. Stat3 in resident macrophages appears to function as a repressor protein in this model of acute inflammation.","DOI":"10.4049/jimmunol.175.5.3354","ISSN":"0022-1767, 1550-6606","note":"PMID: 16116228","language":"en","author":[{"family":"Matsukawa","given":"Akihiro"},{"family":"Kudo","given":"Shinji"},{"family":"Maeda","given":"Takako"},{"family":"Numata","given":"Kousuke"},{"family":"Watanabe","given":"Hiroyuki"},{"family":"Takeda","given":"Kiyoshi"},{"family":"Akira","given":"Shizuo"},{"family":"Ito","given":"Takaaki"}],"issued":{"date-parts":[["2005",9,1]]}}}],"schema":"https://github.com/citation-style-language/schema/raw/master/csl-citation.json"} </w:instrText>
      </w:r>
      <w:r w:rsidR="00AA533A">
        <w:fldChar w:fldCharType="separate"/>
      </w:r>
      <w:r w:rsidR="00AA533A" w:rsidRPr="00AA533A">
        <w:rPr>
          <w:rFonts w:ascii="Calibri" w:hAnsi="Calibri" w:cs="Calibri"/>
        </w:rPr>
        <w:t>(479,480)</w:t>
      </w:r>
      <w:r w:rsidR="00AA533A">
        <w:fldChar w:fldCharType="end"/>
      </w:r>
      <w:r w:rsidR="00AA533A">
        <w:t>. In</w:t>
      </w:r>
      <w:r w:rsidR="009E6FD6">
        <w:t xml:space="preserve"> STAT3-deficient macrophages</w:t>
      </w:r>
      <w:r w:rsidR="00AA533A">
        <w:t xml:space="preserve">, </w:t>
      </w:r>
      <w:r w:rsidR="009E6FD6">
        <w:t>IL-10 is unable to exert any anti-inflammatory effect</w:t>
      </w:r>
      <w:r w:rsidR="00717A30">
        <w:t>, which together with previous data, suggests that IL-10 signals via STAT3</w:t>
      </w:r>
      <w:r w:rsidR="009E6FD6">
        <w:t xml:space="preserve"> </w:t>
      </w:r>
      <w:r w:rsidR="00717A30">
        <w:t xml:space="preserve">to maintain tissue resident, anti-inflammatory macrophages </w:t>
      </w:r>
      <w:r w:rsidR="009E6FD6">
        <w:fldChar w:fldCharType="begin"/>
      </w:r>
      <w:r w:rsidR="00AA533A">
        <w:instrText xml:space="preserve"> ADDIN ZOTERO_ITEM CSL_CITATION {"citationID":"gD3Sfwte","properties":{"formattedCitation":"(481)","plainCitation":"(481)","noteIndex":0},"citationItems":[{"id":59,"uris":["http://zotero.org/users/952979/items/45IA9NDD"],"uri":["http://zotero.org/users/952979/items/45IA9NDD"],"itemData":{"id":59,"type":"article-journal","title":"Signal Transducer and Activator of Transcription 3 Is the Dominant Mediator of the Anti-Inflammatory Effects of IL-10 in Human Macrophages","container-title":"The Journal of Immunology","page":"567-576","volume":"172","issue":"1","source":"www.jimmunol.org","abstract":"The signaling mechanism by which the anti-inflammatory cytokine IL-10 mediates suppression of proinflammatory cytokine synthesis remains largely unknown. Macrophage-specific STAT3-null mice have demonstrated that STAT3 plays a critical role in the suppression of LPS-induced TNF-α release, although the mechanism by which STAT3 mediates this inhibition is still not clear. Using an adenoviral system, we have expressed a dominant negative (DN) STAT3 in human macrophages to broaden the investigation to determine the role of STAT3 in IL-10-mediated anti-inflammatory signaling and gene expression. Overexpression of STAT3 DN completely inhibited IL-10-induced suppressor of cytokine signaling 3, tissue inhibitor of MMP-1, TNF receptor expression, and the recently identified IL-10-inducible genes, T cell protein tyrosine phosphatase and signaling lymphocyte activation molecule. STAT3 DN also blocked IL-10-mediated inhibition of MHC class II and COX2 expression. In agreement with the studies in STAT3-null mice, overexpression of the STAT3 DN completely reversed the ability of IL-10 to inhibit LPS-mediated TNF-α and IL-6 production. However, real-time PCR analysis showed that STAT3 DN expression did not affect immediate suppression of TNF-α mRNA, but did reverse the suppression observed at later time points, suggesting a biphasic regulation of TNF-α mRNA levels by IL-10. In conclusion, although STAT3 does appear to be the dominant mediator of the majority of IL-10 functions, there are elements of its anti-inflammatory activity that are STAT3 independent.","DOI":"10.4049/jimmunol.172.1.567","ISSN":"0022-1767, 1550-6606","note":"PMID: 14688368","language":"en","author":[{"family":"Williams","given":"Lynn"},{"family":"Bradley","given":"Laura"},{"family":"Smith","given":"Alexandra"},{"family":"Foxwell","given":"Brian"}],"issued":{"date-parts":[["2004",1,1]]}}}],"schema":"https://github.com/citation-style-language/schema/raw/master/csl-citation.json"} </w:instrText>
      </w:r>
      <w:r w:rsidR="009E6FD6">
        <w:fldChar w:fldCharType="separate"/>
      </w:r>
      <w:r w:rsidR="009E6FD6" w:rsidRPr="003902A3">
        <w:rPr>
          <w:rFonts w:ascii="Calibri" w:hAnsi="Calibri"/>
        </w:rPr>
        <w:t>(481)</w:t>
      </w:r>
      <w:r w:rsidR="009E6FD6">
        <w:fldChar w:fldCharType="end"/>
      </w:r>
      <w:r w:rsidR="009E6FD6">
        <w:t xml:space="preserve">. Activation of the IL-4 receptor </w:t>
      </w:r>
      <w:r w:rsidR="00AA533A">
        <w:t>results in</w:t>
      </w:r>
      <w:r w:rsidR="009E6FD6">
        <w:t xml:space="preserve"> phosphorylation of STAT6 by JAK1/JAK3 </w:t>
      </w:r>
      <w:r w:rsidR="009E6FD6">
        <w:fldChar w:fldCharType="begin"/>
      </w:r>
      <w:r w:rsidR="00AA533A">
        <w:instrText xml:space="preserve"> ADDIN ZOTERO_ITEM CSL_CITATION {"citationID":"DgLvVACE","properties":{"formattedCitation":"(482,483)","plainCitation":"(482,483)","noteIndex":0},"citationItems":[{"id":1776,"uris":["http://zotero.org/users/952979/items/6SQWSSME"],"uri":["http://zotero.org/users/952979/items/6SQWSSME"],"itemData":{"id":1776,"type":"article-journal","title":"Kaempferol Inhibits IL-4-Induced STAT6 Activation by Specifically Targeting JAK3","container-title":"The Journal of Immunology","page":"3881-3887","volume":"179","issue":"6","source":"www.jimmunol.org","abstract":"IL-4 is involved in several human diseases including allergies, autoimmunity, and cancer. Its effects are mainly mediated through the transcription factor STAT6. Therefore, investigation of compounds that regulate STAT6 activation is of great interest for these diseases. Natural polyphenols are compounds reported to have therapeutic properties in diseases involving IL-4 and STAT6. The aim of this study was to investigate the effect of these compounds in the activation of this transcription factor. We found that in hemopoietic cells from human and mouse origin, some flavonoids were able to inhibit the activation of STAT6 by IL-4. To identify molecular mechanisms, we focused on kaempferol, the compound that showed the greatest inhibitory effect with the lowest cell toxicity. Treatment of cells with kaempferol did not affect activation of Src kinase by IL-4 but did prevent the phosphorylation of JAK1 and JAK3. Further enzymatic analysis demonstrated that kaempferol blocked the in vitro phosphorylation activity of JAK3 without affecting JAK1, suggesting that it specifically targeted JAK3 activity. Accordingly, kaempferol had no effect on STAT6 activation in nonhemopoietic cell lines lacking JAK3, supporting its selective inhibition of IL-4 responses through type I receptors expressing JAK3 but not type II lacking this kinase. The inhibitory effect of kaempferol was also observed in IL-2 but not IL-3-mediated responses and correlated with the inhibition of MLC proliferation. These findings reveal the potential use of kaempferol as a tool for selectively controlling cell responses to IL-4 and, in general, JAK3-dependent responses.","DOI":"10.4049/jimmunol.179.6.3881","ISSN":"0022-1767, 1550-6606","note":"PMID: 17785825","language":"en","author":[{"family":"Cortes","given":"Jose R."},{"family":"Perez-G","given":"Moises"},{"family":"Rivas","given":"Maria D."},{"family":"Zamorano","given":"Jose"}],"issued":{"date-parts":[["2007",9,15]]}}},{"id":1418,"uris":["http://zotero.org/users/952979/items/A5FG75JA"],"uri":["http://zotero.org/users/952979/items/A5FG75JA"],"itemData":{"id":1418,"type":"article-journal","title":"Essential role of Stat6 in IL-4 signalling","container-title":"Nature","page":"627-630","volume":"380","issue":"6575","source":"PubMed","abstract":"Interleukin-4 (IL-4) is a pleiotropic lymphokine which plays an important role in the immune system. IL-4 activates two distinct signalling pathways through tyrosine phosphorylation of Stat6, a signal transducer and activator of transcription, and of a 170K protein called 4PS. To investigate the functional role of Stat6 in IL-4 signalling, we generated mice deficient in Stat6 by gene targeting. We report here that in the mutant mice, expression of CD23 and major histocompatibility complex (MHC) class II in resting B cells was not enhanced in response to IL-4. IL-4 induced B-cell proliferation costimulated by anti-IgM antibody was abolished. The T-cell proliferative response was also notably reduced. Furthermore, production of Th2 cytokines from T cells as well as IgE and IgG1 responses after nematode infection were profoundly reduced. These findings agreed with those obtained in IL-4 deficient mice or using antibodies to IL-4 and the IL-4 receptor. We conclude that Stat6 plays a central role in exerting IL-4 mediated biological responses.","DOI":"10.1038/380627a0","ISSN":"0028-0836","note":"PMID: 8602263","journalAbbreviation":"Nature","language":"eng","author":[{"family":"Takeda","given":"K."},{"family":"Tanaka","given":"T."},{"family":"Shi","given":"W."},{"family":"Matsumoto","given":"M."},{"family":"Minami","given":"M."},{"family":"Kashiwamura","given":"S."},{"family":"Nakanishi","given":"K."},{"family":"Yoshida","given":"N."},{"family":"Kishimoto","given":"T."},{"family":"Akira","given":"S."}],"issued":{"date-parts":[["1996",4,18]]}}}],"schema":"https://github.com/citation-style-language/schema/raw/master/csl-citation.json"} </w:instrText>
      </w:r>
      <w:r w:rsidR="009E6FD6">
        <w:fldChar w:fldCharType="separate"/>
      </w:r>
      <w:r w:rsidR="00AA533A" w:rsidRPr="00AA533A">
        <w:rPr>
          <w:rFonts w:ascii="Calibri" w:hAnsi="Calibri" w:cs="Calibri"/>
        </w:rPr>
        <w:t>(482,483)</w:t>
      </w:r>
      <w:r w:rsidR="009E6FD6">
        <w:fldChar w:fldCharType="end"/>
      </w:r>
      <w:r w:rsidR="009E6FD6">
        <w:t xml:space="preserve">. </w:t>
      </w:r>
      <w:r w:rsidR="00717A30">
        <w:t xml:space="preserve">It would be useful to assay pro-inflammatory genes in our system to see if these are indeed reduced, as we did in chapter 4. </w:t>
      </w:r>
      <w:bookmarkEnd w:id="234"/>
      <w:r w:rsidR="0040335A">
        <w:t xml:space="preserve">The molecules or signals that are inducing JAK/STAT signalling have not been investigated here but would represent an addition line of investigation. For example, if apoptotic cells are indeed activating JAK/STAT, and thereby maintaining an anti-inflammatory phenotype, we could reduce the number of apoptotic cells within the embryo and then induce a wound. There is evidence that efferocytosis by mammalian macrophages induces IL-4 expression and anti-inflammatory phenotypes </w:t>
      </w:r>
      <w:r w:rsidR="0040335A">
        <w:fldChar w:fldCharType="begin"/>
      </w:r>
      <w:r w:rsidR="0040335A">
        <w:instrText xml:space="preserve"> ADDIN ZOTERO_ITEM CSL_CITATION {"citationID":"3qVkNwrN","properties":{"formattedCitation":"(496,497)","plainCitation":"(496,497)","noteIndex":0},"citationItems":[{"id":4782,"uris":["http://zotero.org/users/952979/items/MKC842II"],"uri":["http://zotero.org/users/952979/items/MKC842II"],"itemData":{"id":4782,"type":"article-journal","title":"An efferocytosis-induced, IL-4–dependent macrophage-iNKT cell circuit suppresses sterile inflammation and is defective in murine CGD","container-title":"Blood","page":"3473-3483","volume":"121","issue":"17","source":"www.bloodjournal.org","abstract":"Efferocytosis of apoptotic neutrophils by macrophages following tissue injury is fundamental to the resolution of inflammation and initiation of tissue repair. Using a sterile peritonitis model in mice, we identified interleukin (IL)-4–producing efferocytosing macrophages in the peritoneum that activate invariant natural killer T (iNKT) cells to produce cytokines including IL-4, IL-13, and interferon-γ. Importantly, IL-4 from macrophages contributes to alternative activation of peritoneal exudate macrophages and augments type 2 cytokine production from NKT cells to suppress inflammation. The increased peritonitis in mice deficient in IL-4, NKT cells, or IL-4Rα expression on myeloid cells suggested that each is a key component for resolution of sterile inflammation. The reduced NAD phosphate oxidase is also critical for this model, because in mice with X-linked chronic granulomatous disease (X-CGD) that lack oxidase subunits, activation of iNKT cells by X-CGD peritoneal exudate macrophages was impaired during sterile peritonitis, resulting in enhanced and prolonged inflammation in these mice. Therefore, efferocytosis-induced IL-4 production and activation of IL-4–producing iNKT cells by macrophages are immunomodulatory events in an innate immune circuit required to resolve sterile inflammation and promote tissue repair.","DOI":"10.1182/blood-2012-10-461913","ISSN":"0006-4971, 1528-0020","note":"PMID: 23426944","language":"en","author":[{"family":"Zeng","given":"Melody Yue"},{"family":"Pham","given":"Duy"},{"family":"Bagaitkar","given":"Juhi"},{"family":"Liu","given":"Jianyun"},{"family":"Otero","given":"Karel"},{"family":"Shan","given":"Ming"},{"family":"Wynn","given":"Thomas A."},{"family":"Brombacher","given":"Frank"},{"family":"Brutkiewicz","given":"Randy R."},{"family":"Kaplan","given":"Mark H."},{"family":"Dinauer","given":"Mary C."}],"issued":{"date-parts":[["2013",4,25]]}}},{"id":4785,"uris":["http://zotero.org/users/952979/items/CVAISHGT"],"uri":["http://zotero.org/users/952979/items/CVAISHGT"],"itemData":{"id":4785,"type":"article-journal","title":"Macrophage function in tissue repair and remodeling requires IL-4 or IL-13 with apoptotic cells","container-title":"Science (New York, N.Y.)","page":"1072-1076","volume":"356","issue":"6342","source":"PubMed","abstract":"Tissue repair is a subset of a broad repertoire of interleukin-4 (IL-4)- and IL-13-dependent host responses during helminth infection. Here we show that IL-4 or IL-13 alone was not sufficient, but IL-4 or IL-13 together with apoptotic cells induced the tissue repair program in macrophages. Genetic ablation of sensors of apoptotic cells impaired the proliferation of tissue-resident macrophages and the induction of anti-inflammatory and tissue repair genes in the lungs after helminth infection or in the gut after induction of colitis. By contrast, the recognition of apoptotic cells was dispensable for cytokine-dependent induction of pattern recognition receptor, cell adhesion, or chemotaxis genes in macrophages. Detection of apoptotic cells can therefore spatially compartmentalize or prevent premature or ectopic activity of pleiotropic, soluble cytokines such as IL-4 or IL-13.","DOI":"10.1126/science.aai8132","ISSN":"1095-9203","note":"PMID: 28495875\nPMCID: PMC5556699","journalAbbreviation":"Science","language":"eng","author":[{"family":"Bosurgi","given":"Lidia"},{"family":"Cao","given":"Y. Grace"},{"family":"Cabeza-Cabrerizo","given":"Mar"},{"family":"Tucci","given":"Andrea"},{"family":"Hughes","given":"Lindsey D."},{"family":"Kong","given":"Yong"},{"family":"Weinstein","given":"Jason S."},{"family":"Licona-Limon","given":"Paula"},{"family":"Schmid","given":"Edward T."},{"family":"Pelorosso","given":"Facundo"},{"family":"Gagliani","given":"Nicola"},{"family":"Craft","given":"Joseph E."},{"family":"Flavell","given":"Richard A."},{"family":"Ghosh","given":"Sourav"},{"family":"Rothlin","given":"Carla V."}],"issued":{"date-parts":[["2017"]],"season":"09"}}}],"schema":"https://github.com/citation-style-language/schema/raw/master/csl-citation.json"} </w:instrText>
      </w:r>
      <w:r w:rsidR="0040335A">
        <w:fldChar w:fldCharType="separate"/>
      </w:r>
      <w:r w:rsidR="0040335A" w:rsidRPr="0040335A">
        <w:rPr>
          <w:rFonts w:ascii="Calibri" w:hAnsi="Calibri" w:cs="Calibri"/>
        </w:rPr>
        <w:t>(496,497)</w:t>
      </w:r>
      <w:r w:rsidR="0040335A">
        <w:fldChar w:fldCharType="end"/>
      </w:r>
      <w:r w:rsidR="0040335A">
        <w:t xml:space="preserve">, which would fit our proposed model of how JAK/STAT may be functioning in </w:t>
      </w:r>
      <w:r w:rsidR="0040335A">
        <w:rPr>
          <w:i/>
        </w:rPr>
        <w:t>Drosophila</w:t>
      </w:r>
      <w:r w:rsidR="0040335A">
        <w:t>.</w:t>
      </w:r>
      <w:r w:rsidR="004C61E0">
        <w:t xml:space="preserve"> </w:t>
      </w:r>
      <w:bookmarkStart w:id="235" w:name="_Hlk5363516"/>
      <w:r w:rsidR="004C61E0">
        <w:t xml:space="preserve">Of note, in chapter 4, I demonstrated that </w:t>
      </w:r>
      <w:r w:rsidR="004B6406">
        <w:t>interrupting</w:t>
      </w:r>
      <w:r w:rsidR="004C61E0">
        <w:t xml:space="preserve"> oxidative phosphorylation </w:t>
      </w:r>
      <w:r w:rsidR="004B6406">
        <w:t xml:space="preserve">affected efferocytosis. It is known that IL-4 signalling to JAK/STAT activates genes involved in metabolism, such as </w:t>
      </w:r>
      <w:r w:rsidR="00682C6E">
        <w:t>Akt/</w:t>
      </w:r>
      <w:r w:rsidR="004B6406">
        <w:t xml:space="preserve">mTOR signalling genes </w:t>
      </w:r>
      <w:r w:rsidR="004B6406">
        <w:fldChar w:fldCharType="begin"/>
      </w:r>
      <w:r w:rsidR="004B6406">
        <w:instrText xml:space="preserve"> ADDIN ZOTERO_ITEM CSL_CITATION {"citationID":"0KywOLxd","properties":{"formattedCitation":"(498\\uc0\\u8211{}501)","plainCitation":"(498–501)","noteIndex":0},"citationItems":[{"id":4787,"uris":["http://zotero.org/users/952979/items/JX7GZD52"],"uri":["http://zotero.org/users/952979/items/JX7GZD52"],"itemData":{"id":4787,"type":"article-journal","title":"The IL-4 receptor: signaling mechanisms and biologic functions","container-title":"Annual Review of Immunology","page":"701-738","volume":"17","source":"PubMed","abstract":"Interleukin-4 is a multifunctional cytokine that plays a critical role in the regulation of immune responses. Its effects depend upon binding to and signaling through a receptor complex consisting of the IL-4R alpha chain and the common gamma chain (gamma c), resulting in a series of phosphorylation events mediated by receptor-associated kinases. In turn, these cause the recruitment of mediators of cell growth, of resistance to apoptosis, and of gene activation and differentiation. Here we describe our current understanding of the organization of the IL-4 receptor, of the signaling pathways that are induced as a result of receptor occupancy, and of the various mechanisms through which receptor function is modulated. We particularly emphasize the modular nature of the receptor and the specialization of different receptor regions for distinct functions, most notably the independent regulation of cell growth and gene activation.","DOI":"10.1146/annurev.immunol.17.1.701","ISSN":"0732-0582","note":"PMID: 10358772","shortTitle":"The IL-4 receptor","journalAbbreviation":"Annu. Rev. Immunol.","language":"eng","author":[{"family":"Nelms","given":"K."},{"family":"Keegan","given":"A. D."},{"family":"Zamorano","given":"J."},{"family":"Ryan","given":"J. J."},{"family":"Paul","given":"W. E."}],"issued":{"date-parts":[["1999"]]}}},{"id":4789,"uris":["http://zotero.org/users/952979/items/4TV2L8QP"],"uri":["http://zotero.org/users/952979/items/4TV2L8QP"],"itemData":{"id":4789,"type":"article-journal","title":"Type I IL-4Rs selectively activate IRS-2 to induce target gene expression in macrophages","container-title":"Science Signaling","page":"ra17","volume":"1","issue":"51","source":"PubMed","abstract":"Although interleukin-4 (IL-4) and IL-13 participate in allergic inflammation and share a receptor subunit (IL-4Ralpha), they have different functions. We compared cells expressing type I and II IL-4Rs with cells expressing only type II receptors for their responsiveness to these cytokines. IL-4 induced highly efficient, gammaC-dependent tyrosine phosphorylation of insulin receptor substrate 2 (IRS-2), whereas IL-13 was less effective, even when phosphorylation of signal transducer and activator of transcription 6 (STAT6) was maximal. Only type I receptor, gammaC-dependent signaling induced efficient association of IRS-2 with the p85 subunit of phosphoinositide 3-kinase or the adaptor protein growth factor receptor-bound protein 2. In addition, IL-4 signaling through type I IL-4Rs induced more robust expression of a subset of genes associated with alternatively activated macrophages than did IL-13. Thus, IL-4 activates signaling pathways through type I IL-4Rs qualitatively differently from IL-13, which cooperate to induce optimal gene expression.","DOI":"10.1126/scisignal.1164795","ISSN":"1937-9145","note":"PMID: 19109239\nPMCID: PMC2739727","journalAbbreviation":"Sci Signal","language":"eng","author":[{"family":"Heller","given":"Nicola M."},{"family":"Qi","given":"Xiulan"},{"family":"Junttila","given":"Ilkka S."},{"family":"Shirey","given":"Kari Ann"},{"family":"Vogel","given":"Stefanie N."},{"family":"Paul","given":"William E."},{"family":"Keegan","given":"Achsah D."}],"issued":{"date-parts":[["2008",12,23]]}}},{"id":4791,"uris":["http://zotero.org/users/952979/items/Z8QNBVEF"],"uri":["http://zotero.org/users/952979/items/Z8QNBVEF"],"itemData":{"id":4791,"type":"article-journal","title":"Metabolism Supports Macrophage Activation","container-title":"Frontiers in Immunology","volume":"8","source":"Frontiers","abstract":"Macrophages are found in most tissues of the body, where they have tissue- and context-dependent roles in maintaining homeostasis as well as coordinating adaptive responses to a variety of stresses. Their capacity for specialized functions is controlled by polarizing signals, which activate (or polarize) macrophages by upregulating transcriptional programs that encode distinct effector functions. An important conceptual advance in the field of macrophage biology, emerging from recent studies, is that macrophage activation is critically supported by metabolic shifts. Metabolic shifts fuel multiple aspects of macrophage activation, and preventing these shifts impairs appropriate activation. These findings raise the exciting possibility that macrophage functions in various contexts could be regulated by manipulating their metabolism. Here we review the rapidly evolving field of macrophage metabolism, discussing how polarizing signals trigger metabolic shifts and how these shifts enable appropriate activation and sustain effector activities. We also discuss recent studies indicating that the mitochondria are central hubs in inflammatory macrophage activation.","URL":"https://www.frontiersin.org/articles/10.3389/fimmu.2017.00061/full#B1","DOI":"10.3389/fimmu.2017.00061","ISSN":"1664-3224","journalAbbreviation":"Front. Immunol.","language":"English","author":[{"family":"Langston","given":"P. Kent"},{"family":"Shibata","given":"Munehiko"},{"family":"Horng","given":"Tiffany"}],"issued":{"date-parts":[["2017"]]},"accessed":{"date-parts":[["2019",4,5]]}}},{"id":4792,"uris":["http://zotero.org/users/952979/items/CASSZ9I4"],"uri":["http://zotero.org/users/952979/items/CASSZ9I4"],"itemData":{"id":4792,"type":"article-journal","title":"Interleukin-4- and interleukin-13-mediated alternatively activated macrophages: roles in homeostasis and disease","container-title":"Annual Review of Immunology","page":"317-343","volume":"31","source":"PubMed","abstract":"The macrophage, a versatile cell type prominently involved in host defense and immunity, assumes a distinct state of alternative activation in the context of polarized type 2 immune responses such as allergic inflammation and helminth infection. This alternatively activated phenotype is induced by the canonical type 2 cytokines interleukin (IL)-4 and IL-13, which mediate expression of several characteristic markers along with a dramatic shift in macrophage metabolic pathways that influence surrounding cells and tissues. We discuss recent advances in the understanding of IL-4- and IL-13-mediated alternatively activated macrophages and type 2 immune responses; such advances have led to an expanded appreciation for functions of these cells beyond immunity, including maintenance of physiologic homeostasis and tissue repair.","DOI":"10.1146/annurev-immunol-032712-095906","ISSN":"1545-3278","note":"PMID: 23298208\nPMCID: PMC3606684","shortTitle":"Interleukin-4- and interleukin-13-mediated alternatively activated macrophages","journalAbbreviation":"Annu. Rev. Immunol.","language":"eng","author":[{"family":"Van Dyken","given":"Steven J."},{"family":"Locksley","given":"Richard M."}],"issued":{"date-parts":[["2013"]]}}}],"schema":"https://github.com/citation-style-language/schema/raw/master/csl-citation.json"} </w:instrText>
      </w:r>
      <w:r w:rsidR="004B6406">
        <w:fldChar w:fldCharType="separate"/>
      </w:r>
      <w:r w:rsidR="004B6406" w:rsidRPr="004B6406">
        <w:rPr>
          <w:rFonts w:ascii="Calibri" w:hAnsi="Calibri" w:cs="Calibri"/>
        </w:rPr>
        <w:t>(498–501)</w:t>
      </w:r>
      <w:r w:rsidR="004B6406">
        <w:fldChar w:fldCharType="end"/>
      </w:r>
      <w:r w:rsidR="004B6406">
        <w:t xml:space="preserve">. This suggests that these two observations may be linked and warrants further investigation.  </w:t>
      </w:r>
      <w:r w:rsidR="004C61E0">
        <w:t xml:space="preserve"> </w:t>
      </w:r>
      <w:bookmarkEnd w:id="235"/>
    </w:p>
    <w:p w14:paraId="645EEC72" w14:textId="77777777" w:rsidR="00EF5724" w:rsidRDefault="00EF5724" w:rsidP="00EF5724">
      <w:pPr>
        <w:pStyle w:val="Thesisnormal"/>
      </w:pPr>
    </w:p>
    <w:p w14:paraId="28A1C422" w14:textId="3912DEC1" w:rsidR="00EF5724" w:rsidRPr="00787EB4" w:rsidRDefault="00EF5724" w:rsidP="00EF5724">
      <w:pPr>
        <w:pStyle w:val="Thesisnormal"/>
      </w:pPr>
      <w:r>
        <w:t xml:space="preserve">JAK/STAT signalling is increased in response to parasitic wasp infection and increased differentiation of lamellocytes is observed when JAK/STAT is hyper-activated </w:t>
      </w:r>
      <w:r>
        <w:fldChar w:fldCharType="begin"/>
      </w:r>
      <w:r w:rsidR="000A209C">
        <w:instrText xml:space="preserve"> ADDIN ZOTERO_ITEM CSL_CITATION {"citationID":"s9xB6l2Q","properties":{"formattedCitation":"(208,209)","plainCitation":"(208,209)","noteIndex":0},"citationItems":[{"id":1342,"uris":["http://zotero.org/users/952979/items/FQQCH7K7"],"uri":["http://zotero.org/users/952979/items/FQQCH7K7"],"itemData":{"id":1342,"type":"article-journal","title":"Activation of a Drosophila Janus kinase (JAK) causes hematopoietic neoplasia and developmental defects.","container-title":"The EMBO Journal","page":"2857-2865","volume":"14","issue":"12","source":"PubMed Central","abstract":"In mammals, many cytokines and growth factors stimulate members of the Janus kinase (JAK) family to transduce signals for the proliferation and differentiation of various cell types, particularly in hematopoietic lineages. Mutations in the Drosophila hopscotch (hop) gene, which encodes a JAK, also cause proliferative defects. Loss-of-function alleles result in lethality and underproliferation of diploid tissues of the larva. A dominant gain-of-function allele, Tumorous-lethal (hopTum-l), leads to formation of melanotic tumors and hypertrophy of the larval lymph glands, the hematopoietic organs. We show that a single amino acid change in Hop is associated with the hopTum-l mutation. Overexpression of either wild-type hop or hopTum-l in the larval lymph glands causes melanotic tumors and lymph gland hypertrophy indistinguishable from the original hopTum-l mutation. In addition, overexpression of Hop in other tissues of the larva leads to pattern defects in the adult or to lethality. Finally, overexpression of either hop or hopTum-l in Drosophila cell culture results in tyrosine phosphorylation of Hop protein. However, overexpression of hopTum-l results in greater phosphorylation than overexpression of the wild-type. We conclude that hopTum-l encodes a hyperactive Hop kinase and that overactivity of Hop in lymph glands causes malignant neoplasia of Drosophila blood cells.","ISSN":"0261-4189","note":"PMID: 7796812\nPMCID: PMC398404","journalAbbreviation":"EMBO J","author":[{"family":"Harrison","given":"D A"},{"family":"Binari","given":"R"},{"family":"Nahreini","given":"T S"},{"family":"Gilman","given":"M"},{"family":"Perrimon","given":"N"}],"issued":{"date-parts":[["1995",6,15]]}}},{"id":74,"uris":["http://zotero.org/users/952979/items/BTAQ8BDW"],"uri":["http://zotero.org/users/952979/items/BTAQ8BDW"],"itemData":{"id":74,"type":"article-journal","title":"An amino acid substitution in the Drosophila hopTum-l Jak kinase causes leukemia-like hematopoietic defects","container-title":"The EMBO journal","page":"1412-1420","volume":"14","issue":"7","source":"PubMed","abstract":"Proteins of the Jak family of non-receptor kinases play important roles in mammalian hematopoietic signal transduction. They mediate the cellular response to a wide range of cytokines and growth factors. A dominant mutation in a Drosophila Jak kinase, hopscotchTumorous-lethal (hopTum-l), causes hematopoietic defects. Here we conduct a molecular analysis of hopTum-l. We demonstrate that the hopTum-l hematopoietic phenotype is caused by a single amino acid substitution of glycine to glutamic acid at residue 341. We generate a true revertant of the hopTum-l mutation, in which both the molecular lesion and the mutant hematopoietic phenotype revert back to wild type. We also examine the effects of the G341E substitution in transgenic flies. The results indicate that a mutant Jak kinase can cause leukemia-like abnormalities.","ISSN":"0261-4189","note":"PMID: 7729418\nPMCID: PMC398227","journalAbbreviation":"EMBO J.","language":"eng","author":[{"family":"Luo","given":"H."},{"family":"Hanratty","given":"W. P."},{"family":"Dearolf","given":"C. R."}],"issued":{"date-parts":[["1995",4,3]]}}}],"schema":"https://github.com/citation-style-language/schema/raw/master/csl-citation.json"} </w:instrText>
      </w:r>
      <w:r>
        <w:fldChar w:fldCharType="separate"/>
      </w:r>
      <w:r w:rsidR="004A1963" w:rsidRPr="004A1963">
        <w:rPr>
          <w:rFonts w:ascii="Calibri" w:hAnsi="Calibri"/>
        </w:rPr>
        <w:t>(208,209)</w:t>
      </w:r>
      <w:r>
        <w:fldChar w:fldCharType="end"/>
      </w:r>
      <w:r>
        <w:t xml:space="preserve">. Expressing constitutively-active Hop specifically within hemocytes, we found no difference in wounding responses. We did observe melanotic masses in the adult flies, suggesting that the </w:t>
      </w:r>
      <w:r w:rsidRPr="00C53AAE">
        <w:rPr>
          <w:i/>
        </w:rPr>
        <w:t>Hop</w:t>
      </w:r>
      <w:r w:rsidRPr="00C53AAE">
        <w:rPr>
          <w:i/>
          <w:vertAlign w:val="superscript"/>
        </w:rPr>
        <w:t>Tuml</w:t>
      </w:r>
      <w:r>
        <w:t xml:space="preserve"> line was functioning correctly</w:t>
      </w:r>
      <w:r w:rsidR="004B2C79">
        <w:t xml:space="preserve"> </w:t>
      </w:r>
      <w:r>
        <w:t xml:space="preserve">(data not shown). This suggests that either the serpent driver was not strong enough for efficient Hop expression or that Hop is not required for the hemocyte response to a wound. It is also possible that using </w:t>
      </w:r>
      <w:r>
        <w:rPr>
          <w:i/>
        </w:rPr>
        <w:t>srp</w:t>
      </w:r>
      <w:r>
        <w:t xml:space="preserve"> and </w:t>
      </w:r>
      <w:r>
        <w:rPr>
          <w:i/>
        </w:rPr>
        <w:t>crq</w:t>
      </w:r>
      <w:r>
        <w:t xml:space="preserve"> drivers does not allow sufficient time for high enough levels of Hop expression for hemocyte differentiation into lamellocytes. </w:t>
      </w:r>
      <w:r w:rsidRPr="00911783">
        <w:t xml:space="preserve">Furthermore, over-expression of </w:t>
      </w:r>
      <w:r w:rsidRPr="0009170A">
        <w:rPr>
          <w:i/>
        </w:rPr>
        <w:t>Hop</w:t>
      </w:r>
      <w:r w:rsidRPr="00911783">
        <w:t xml:space="preserve"> did not alter hemocyte responses to wounding, again reinforcing that perhaps Hop is not necessary for </w:t>
      </w:r>
      <w:r w:rsidR="00126602">
        <w:t>recruitment to wounds</w:t>
      </w:r>
      <w:r w:rsidRPr="00911783">
        <w:t xml:space="preserve"> or is already present at sufficient levels in the embryo.</w:t>
      </w:r>
      <w:r>
        <w:t xml:space="preserve"> As we had shown that STAT expression was reduced in </w:t>
      </w:r>
      <w:r w:rsidRPr="00C53AAE">
        <w:rPr>
          <w:i/>
        </w:rPr>
        <w:t>Upd</w:t>
      </w:r>
      <w:r>
        <w:t xml:space="preserve"> mutant and </w:t>
      </w:r>
      <w:r w:rsidRPr="00C53AAE">
        <w:rPr>
          <w:i/>
        </w:rPr>
        <w:t>Dome</w:t>
      </w:r>
      <w:r>
        <w:rPr>
          <w:i/>
          <w:vertAlign w:val="superscript"/>
        </w:rPr>
        <w:t>DTMCYT</w:t>
      </w:r>
      <w:r>
        <w:t xml:space="preserve"> hemocytes, it would be pertinent to investigate the effects of directly modulating STAT92E activity. This would confirm our observations were an effect of JAK/STAT signalling through STAT92E. </w:t>
      </w:r>
    </w:p>
    <w:p w14:paraId="60EE0359" w14:textId="77777777" w:rsidR="00EF5724" w:rsidRDefault="00EF5724" w:rsidP="00EF5724">
      <w:pPr>
        <w:pStyle w:val="Thesisnormal"/>
      </w:pPr>
    </w:p>
    <w:p w14:paraId="2603539C" w14:textId="7107B401" w:rsidR="00EF5724" w:rsidRDefault="00EF5724" w:rsidP="00EF5724">
      <w:pPr>
        <w:pStyle w:val="Thesisnormal"/>
      </w:pPr>
      <w:r>
        <w:t xml:space="preserve">In mammalian macrophages, JAK/STAT signalling can function in both a pro- and anti-inflammatory manner, depending upon which combination of JAKs and STATs are activated </w:t>
      </w:r>
      <w:r>
        <w:fldChar w:fldCharType="begin"/>
      </w:r>
      <w:r w:rsidR="000A209C">
        <w:instrText xml:space="preserve"> ADDIN ZOTERO_ITEM CSL_CITATION {"citationID":"RmqS4Fk6","properties":{"formattedCitation":"(381)","plainCitation":"(381)","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K."}],"issued":{"date-parts":[["2013",6,1]]}}}],"schema":"https://github.com/citation-style-language/schema/raw/master/csl-citation.json"} </w:instrText>
      </w:r>
      <w:r>
        <w:fldChar w:fldCharType="separate"/>
      </w:r>
      <w:r w:rsidR="00A53A6B" w:rsidRPr="00A53A6B">
        <w:rPr>
          <w:rFonts w:ascii="Calibri" w:hAnsi="Calibri"/>
        </w:rPr>
        <w:t>(381)</w:t>
      </w:r>
      <w:r>
        <w:fldChar w:fldCharType="end"/>
      </w:r>
      <w:r>
        <w:t xml:space="preserve">. Together with the literature, our data supports the notion that JAK/STAT signalling in hemocytes is equally as complex with regards to </w:t>
      </w:r>
      <w:r w:rsidR="00126602">
        <w:t xml:space="preserve">hemocyte </w:t>
      </w:r>
      <w:r w:rsidR="00126602" w:rsidRPr="00126602">
        <w:t>recruitment to wounds</w:t>
      </w:r>
      <w:r>
        <w:t>.</w:t>
      </w:r>
    </w:p>
    <w:p w14:paraId="68AB5F30" w14:textId="77777777" w:rsidR="00EF5724" w:rsidRDefault="00EF5724" w:rsidP="00EF5724">
      <w:pPr>
        <w:pStyle w:val="Thesisnormal"/>
      </w:pPr>
    </w:p>
    <w:p w14:paraId="116F9446" w14:textId="77777777" w:rsidR="00EF5724" w:rsidRDefault="00EF5724" w:rsidP="00EF5724">
      <w:pPr>
        <w:pStyle w:val="Heading3"/>
      </w:pPr>
      <w:bookmarkStart w:id="236" w:name="_Toc4589387"/>
      <w:r>
        <w:t>5.3.2 JAK/STAT signalling may be required for normal efferocytosis by hemocytes</w:t>
      </w:r>
      <w:bookmarkEnd w:id="236"/>
    </w:p>
    <w:p w14:paraId="0098011F" w14:textId="77777777" w:rsidR="00EF5724" w:rsidRDefault="00EF5724" w:rsidP="00EF5724">
      <w:pPr>
        <w:pStyle w:val="Thesisnormal"/>
      </w:pPr>
    </w:p>
    <w:p w14:paraId="626FC4DF" w14:textId="0F442250" w:rsidR="00EF5724" w:rsidRDefault="00EF5724" w:rsidP="00EF5724">
      <w:pPr>
        <w:pStyle w:val="Thesisnormal"/>
      </w:pPr>
      <w:r>
        <w:t>As we could observe increased hemocytes responding to wounding in Upd and Dome mutants, we next investigated apoptotic cell clearance in these backgrounds. Although we did not find any statistically significant differences, we found that the strongest allele/construct (in terms of effective knockdown of JAK/STAT signalling) (</w:t>
      </w:r>
      <w:r w:rsidRPr="00C53AAE">
        <w:rPr>
          <w:i/>
        </w:rPr>
        <w:t>Dome</w:t>
      </w:r>
      <w:r w:rsidRPr="00C53AAE">
        <w:rPr>
          <w:i/>
          <w:vertAlign w:val="superscript"/>
        </w:rPr>
        <w:t>DTMCYT</w:t>
      </w:r>
      <w:r>
        <w:t xml:space="preserve"> and </w:t>
      </w:r>
      <w:r w:rsidRPr="00C53AAE">
        <w:rPr>
          <w:i/>
        </w:rPr>
        <w:t>Upd</w:t>
      </w:r>
      <w:r w:rsidRPr="00C53AAE">
        <w:rPr>
          <w:i/>
          <w:vertAlign w:val="superscript"/>
        </w:rPr>
        <w:t>OS1A</w:t>
      </w:r>
      <w:r>
        <w:t xml:space="preserve">) demonstrated a decreased number of vacuoles per hemocyte. This suggests that reducing JAK/STAT in hemocytes can modulate the uptake of apoptotic cells and </w:t>
      </w:r>
      <w:r w:rsidR="00991F61">
        <w:t>is consistent</w:t>
      </w:r>
      <w:r>
        <w:t xml:space="preserve"> with the enhanced </w:t>
      </w:r>
      <w:r w:rsidR="00126602">
        <w:t xml:space="preserve">hemocyte </w:t>
      </w:r>
      <w:r w:rsidR="00126602" w:rsidRPr="00126602">
        <w:t xml:space="preserve">recruitment to wounds </w:t>
      </w:r>
      <w:r>
        <w:t xml:space="preserve">(i.e. these are both more classically considered as pro-inflammatory behaviours). Indeed, treatment of macrophages with IL-10, to induce an M2 phenotype, results in </w:t>
      </w:r>
      <w:r w:rsidR="00067941">
        <w:t>the</w:t>
      </w:r>
      <w:r>
        <w:t xml:space="preserve"> increased efferocytosis of bone marrow stromal </w:t>
      </w:r>
      <w:r>
        <w:lastRenderedPageBreak/>
        <w:t xml:space="preserve">cells </w:t>
      </w:r>
      <w:r>
        <w:fldChar w:fldCharType="begin"/>
      </w:r>
      <w:r w:rsidR="004B6406">
        <w:instrText xml:space="preserve"> ADDIN ZOTERO_ITEM CSL_CITATION {"citationID":"S5zdlkkf","properties":{"formattedCitation":"(502)","plainCitation":"(502)","noteIndex":0},"citationItems":[{"id":50,"uris":["http://zotero.org/users/952979/items/LC7EZR78"],"uri":["http://zotero.org/users/952979/items/LC7EZR78"],"itemData":{"id":50,"type":"article-journal","title":"Modulation of Osteoblastic Cell Efferocytosis by Bone Marrow Macrophages","container-title":"Journal of cellular biochemistry","page":"2697-2706","volume":"117","issue":"12","source":"PubMed Central","abstract":"Apoptosis occurs at an extraordinary rate in the human body and the effective clearance of dead cells (efferocytosis) is necessary to maintain homeostasis and promote healing, yet the contribution and impact of this process in bone is unclear. Bone formation requires that bone marrow stromal cells (BMSCs) differentiate into osteoblasts which direct matrix formation and either become osteocytes, bone lining cells, or undergo apoptosis. A series of experiments were performed to identify the regulators and consequences of macrophage efferocytosis of apoptotic BMSCs (apBMSCs). Bone marrow derived macrophages treated with the anti-inflammatory cytokine interleukin-10 (IL-10) exhibited increased efferocytosis of apBMSCs compared to vehicle treated macrophages. Additionally, IL-10 increased anti-inflammatory M2-like macrophages (CD206+), and further enhanced efferocytosis within the CD206+ population. Stattic, an inhibitor of STAT3 phosphorylation, reduced the IL-10-mediated shift in M2 macrophage polarization and diminished IL-10-directed efferocytosis of apBMSCs by macrophages implicating the STAT3 signaling pathway. Cell culture supernatants and RNA from macrophages co-cultured with apoptotic bone cells showed increased secretion of monocyte chemotactic protein 1/chemokine (C-C motif) ligand 2 (MCP-1/CCL2) and transforming growth factor beta 1 (TGF-β1) and increased ccl2 gene expression. In conclusion, IL-10 increases M2 macrophage polarization and enhances macrophage-mediated engulfment of apBMSCs in a STAT3 phosphorylation-dependent manner. After engulfment of apoptotic bone cells, macrophages secrete TGF-β1 and MCP-1/CCL2, factors which fuel the remodeling process. A better understanding of the role of macrophage efferocytosis as it relates to normal and abnormal bone turnover will provide vital information for future therapeutic approaches to treat bone related diseases.","DOI":"10.1002/jcb.25567","ISSN":"0730-2312","note":"PMID: 27061191\nPMCID: PMC5055427","journalAbbreviation":"J Cell Biochem","author":[{"family":"Michalski","given":"Megan N."},{"family":"Koh","given":"Amy J."},{"family":"Weidner","given":"Savannah"},{"family":"Roca","given":"Hernan"},{"family":"McCauley","given":"Laurie K."}],"issued":{"date-parts":[["2016",12]]}}}],"schema":"https://github.com/citation-style-language/schema/raw/master/csl-citation.json"} </w:instrText>
      </w:r>
      <w:r>
        <w:fldChar w:fldCharType="separate"/>
      </w:r>
      <w:r w:rsidR="004B6406" w:rsidRPr="004B6406">
        <w:rPr>
          <w:rFonts w:ascii="Calibri" w:hAnsi="Calibri" w:cs="Calibri"/>
        </w:rPr>
        <w:t>(502)</w:t>
      </w:r>
      <w:r>
        <w:fldChar w:fldCharType="end"/>
      </w:r>
      <w:r>
        <w:t xml:space="preserve">. This could be abrogated though inhibition of STAT3, confirming that IL-10 signalling via STAT3 could modulate efferocytosis. Our data suggests that this may be conserved though evolution. Further experiments are needed to determine the mechanism behind these observations. For example, measuring the size of vacuoles may indicate the degree of efferocytosis. It is possible that in these backgrounds, hemocytes are phagocytosing, but not digesting, apoptotic cells. Utilising dyes that label acidic environments (e.g. pHRodo) could give an indication as to the progress of efferocytosis in a JAK/STAT manipulated background and answer this question. Alternatively, hemocytes may require JAK/STAT signalling to express genes required for recognising or phagocytosing apoptotic cells. </w:t>
      </w:r>
    </w:p>
    <w:p w14:paraId="74E08B35" w14:textId="77777777" w:rsidR="00EF5724" w:rsidRDefault="00EF5724" w:rsidP="00EF5724">
      <w:pPr>
        <w:pStyle w:val="Thesisnormal"/>
      </w:pPr>
    </w:p>
    <w:p w14:paraId="654960A5" w14:textId="0A0CF56F" w:rsidR="00EF5724" w:rsidRDefault="00EF5724" w:rsidP="00EF5724">
      <w:pPr>
        <w:pStyle w:val="Heading3"/>
      </w:pPr>
      <w:bookmarkStart w:id="237" w:name="_Toc4589388"/>
      <w:r>
        <w:t xml:space="preserve">5.3.3 </w:t>
      </w:r>
      <w:r>
        <w:rPr>
          <w:i/>
        </w:rPr>
        <w:t xml:space="preserve">Drosophila </w:t>
      </w:r>
      <w:r>
        <w:t xml:space="preserve">SOCS does not appear to be involved in </w:t>
      </w:r>
      <w:r w:rsidR="00126602">
        <w:t xml:space="preserve">hemocyte </w:t>
      </w:r>
      <w:r w:rsidR="00126602" w:rsidRPr="00126602">
        <w:t>recruitment to wounds</w:t>
      </w:r>
      <w:bookmarkEnd w:id="237"/>
    </w:p>
    <w:p w14:paraId="4B0D8577" w14:textId="77777777" w:rsidR="00EF5724" w:rsidRDefault="00EF5724" w:rsidP="00EF5724">
      <w:pPr>
        <w:pStyle w:val="Thesisnormal"/>
      </w:pPr>
    </w:p>
    <w:p w14:paraId="60C5F2CE" w14:textId="0258D32C" w:rsidR="00EF5724" w:rsidRPr="00BB4108" w:rsidRDefault="00EF5724" w:rsidP="00EF5724">
      <w:pPr>
        <w:pStyle w:val="Thesisnormal"/>
      </w:pPr>
      <w:r>
        <w:t xml:space="preserve">In mammalian macrophages, SOCS proteins have a direct influence on macrophage polarisation </w:t>
      </w:r>
      <w:r>
        <w:fldChar w:fldCharType="begin"/>
      </w:r>
      <w:r w:rsidR="000A209C">
        <w:instrText xml:space="preserve"> ADDIN ZOTERO_ITEM CSL_CITATION {"citationID":"JMPfw7Al","properties":{"formattedCitation":"(485)","plainCitation":"(485)","noteIndex":0},"citationItems":[{"id":1474,"uris":["http://zotero.org/users/952979/items/JWHW9PAW"],"uri":["http://zotero.org/users/952979/items/JWHW9PAW"],"itemData":{"id":1474,"type":"article-journal","title":"SOCS Proteins in Macrophage Polarization and Function","container-title":"Frontiers in Immunology","volume":"5","source":"PubMed Central","URL":"http://www.ncbi.nlm.nih.gov/pmc/articles/PMC4112788/","DOI":"10.3389/fimmu.2014.00357","ISSN":"1664-3224","note":"PMID: 25120543\nPMCID: PMC4112788","journalAbbreviation":"Front Immunol","author":[{"family":"Wilson","given":"Heather M."}],"issued":{"date-parts":[["2014",7,28]]},"accessed":{"date-parts":[["2015",11,22]]}}}],"schema":"https://github.com/citation-style-language/schema/raw/master/csl-citation.json"} </w:instrText>
      </w:r>
      <w:r>
        <w:fldChar w:fldCharType="separate"/>
      </w:r>
      <w:r w:rsidR="003902A3" w:rsidRPr="003902A3">
        <w:rPr>
          <w:rFonts w:ascii="Calibri" w:hAnsi="Calibri"/>
        </w:rPr>
        <w:t>(485)</w:t>
      </w:r>
      <w:r>
        <w:fldChar w:fldCharType="end"/>
      </w:r>
      <w:r>
        <w:t xml:space="preserve">. We modulated the only </w:t>
      </w:r>
      <w:r>
        <w:rPr>
          <w:i/>
        </w:rPr>
        <w:t>Drosophila</w:t>
      </w:r>
      <w:r>
        <w:t xml:space="preserve"> SOCS, SOCS36E by both RNAi and over-expression in a hemocyte specific manner. We were unable to observe any difference in hemocyte recruitment to wounds. It is possible that SOCS36E is not involved in hemocyte responses to wounding or that our manipulations were not effective, for reasons already discussed here and in other chapters. Indeed, we investigated </w:t>
      </w:r>
      <w:r w:rsidRPr="00815DF4">
        <w:rPr>
          <w:i/>
        </w:rPr>
        <w:t>UAS-socs36e</w:t>
      </w:r>
      <w:r>
        <w:t xml:space="preserve"> using a </w:t>
      </w:r>
      <w:r w:rsidRPr="00815DF4">
        <w:rPr>
          <w:i/>
        </w:rPr>
        <w:t>STAT-dsRed</w:t>
      </w:r>
      <w:r>
        <w:t xml:space="preserve"> reporter and found that </w:t>
      </w:r>
      <w:r w:rsidRPr="003868AB">
        <w:rPr>
          <w:i/>
        </w:rPr>
        <w:t>UAS-socs36e</w:t>
      </w:r>
      <w:r>
        <w:t xml:space="preserve"> did not affect STAT levels in hemocytes (Fig 5.14). This suggests that this construct was not modulating JAK/STAT signalling, or was not effecting the pathway enough to be detected with this reporter. Therefore, we may not have expected a difference in wounding as the construct was not functioning as expected. Taken with our other data presented here, this suggests that JAK/STAT signalling may modulate hemocyte behaviour by a non-canonical pathway. </w:t>
      </w:r>
    </w:p>
    <w:p w14:paraId="2500BB1B" w14:textId="77777777" w:rsidR="00EF5724" w:rsidRDefault="00EF5724" w:rsidP="00EF5724">
      <w:pPr>
        <w:pStyle w:val="Thesisnormal"/>
      </w:pPr>
    </w:p>
    <w:p w14:paraId="2816AE5C" w14:textId="77777777" w:rsidR="00EF5724" w:rsidRDefault="00EF5724" w:rsidP="00EF5724">
      <w:pPr>
        <w:pStyle w:val="Heading2"/>
      </w:pPr>
      <w:bookmarkStart w:id="238" w:name="_Toc4589389"/>
      <w:r>
        <w:t>5.4 Conclusion</w:t>
      </w:r>
      <w:bookmarkEnd w:id="238"/>
    </w:p>
    <w:p w14:paraId="092BD811" w14:textId="77777777" w:rsidR="00EF5724" w:rsidRDefault="00EF5724" w:rsidP="00EF5724">
      <w:pPr>
        <w:pStyle w:val="Thesisnormal"/>
      </w:pPr>
    </w:p>
    <w:p w14:paraId="720CB314" w14:textId="77777777" w:rsidR="00EF5724" w:rsidRDefault="00EF5724" w:rsidP="00EF5724">
      <w:pPr>
        <w:pStyle w:val="Thesisnormal"/>
      </w:pPr>
      <w:r>
        <w:t xml:space="preserve">In this chapter we have shown that JAK/STAT signalling functions in an anti-inflammatory capacity, limiting hemocyte responses to pro-inflammatory wounding (using </w:t>
      </w:r>
      <w:r w:rsidRPr="0097479C">
        <w:rPr>
          <w:i/>
        </w:rPr>
        <w:t>Upd</w:t>
      </w:r>
      <w:r>
        <w:t xml:space="preserve"> mutants and deletions in </w:t>
      </w:r>
      <w:r w:rsidRPr="0097479C">
        <w:rPr>
          <w:i/>
        </w:rPr>
        <w:t>Dome</w:t>
      </w:r>
      <w:r>
        <w:t xml:space="preserve">). Moreover, this anti-inflammatory behaviour is a result of JAK/STAT signalling specifically within hemocytes. Further investigation into the impact of JAK/STAT </w:t>
      </w:r>
      <w:r>
        <w:lastRenderedPageBreak/>
        <w:t xml:space="preserve">knockdown in hemocytes, such as through assaying gene levels via qPCR, will provide more information as to the correlation between the data presented here and the wider literature. In conclusion, we have shown that JAK/STAT signalling reduces hemocyte responses to wounding in the embryo. </w:t>
      </w:r>
    </w:p>
    <w:p w14:paraId="3DBA77CD" w14:textId="77777777" w:rsidR="004275D8" w:rsidRDefault="004275D8" w:rsidP="001D1AB8"/>
    <w:p w14:paraId="5971B049" w14:textId="77777777" w:rsidR="00A13915" w:rsidRDefault="00A13915">
      <w:r>
        <w:rPr>
          <w:noProof/>
          <w:lang w:eastAsia="en-GB"/>
        </w:rPr>
        <w:drawing>
          <wp:inline distT="0" distB="0" distL="0" distR="0" wp14:anchorId="539057D2" wp14:editId="53EA2A9D">
            <wp:extent cx="3987209" cy="5646942"/>
            <wp:effectExtent l="0" t="0" r="0" b="0"/>
            <wp:docPr id="12" name="Picture 12" descr="D:\Dropbox\PhD\Writing\Thesis\Chapter 5 JAK STAT signalling in the embryo\Figures\Final summary figure -Chapte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PhD\Writing\Thesis\Chapter 5 JAK STAT signalling in the embryo\Figures\Final summary figure -Chapter 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92937" cy="5655055"/>
                    </a:xfrm>
                    <a:prstGeom prst="rect">
                      <a:avLst/>
                    </a:prstGeom>
                    <a:noFill/>
                    <a:ln>
                      <a:noFill/>
                    </a:ln>
                  </pic:spPr>
                </pic:pic>
              </a:graphicData>
            </a:graphic>
          </wp:inline>
        </w:drawing>
      </w:r>
    </w:p>
    <w:p w14:paraId="75A8D92D" w14:textId="292BB57A" w:rsidR="00A13915" w:rsidRPr="00465CB9" w:rsidRDefault="00A13915" w:rsidP="00A13915">
      <w:pPr>
        <w:pStyle w:val="NoSpacing"/>
        <w:rPr>
          <w:b/>
        </w:rPr>
      </w:pPr>
      <w:r>
        <w:rPr>
          <w:b/>
        </w:rPr>
        <w:t>Figure 5</w:t>
      </w:r>
      <w:r w:rsidRPr="00465CB9">
        <w:rPr>
          <w:b/>
        </w:rPr>
        <w:t>.</w:t>
      </w:r>
      <w:r>
        <w:rPr>
          <w:b/>
        </w:rPr>
        <w:t>16</w:t>
      </w:r>
      <w:r w:rsidRPr="00465CB9">
        <w:rPr>
          <w:b/>
        </w:rPr>
        <w:t xml:space="preserve"> </w:t>
      </w:r>
      <w:r>
        <w:rPr>
          <w:b/>
        </w:rPr>
        <w:t>Summary of chapter 5 findings</w:t>
      </w:r>
    </w:p>
    <w:p w14:paraId="6E433F52" w14:textId="397273F4" w:rsidR="00A13915" w:rsidRDefault="00A13915">
      <w:r>
        <w:t>We investigated the role of the JAK/STAT signalling pathway in modulating hemocyte behaviour. We found loss of JAK/STAT resulted in increased hemocyte recruitment to wounds, suggesting an anti-inflammatory mechanism of normal pathway signalling.</w:t>
      </w:r>
      <w:r>
        <w:br w:type="page"/>
      </w:r>
    </w:p>
    <w:p w14:paraId="3C9BE4DC" w14:textId="77777777" w:rsidR="00957E52" w:rsidRDefault="00957E52" w:rsidP="00957E52">
      <w:pPr>
        <w:pStyle w:val="Heading1"/>
      </w:pPr>
      <w:bookmarkStart w:id="239" w:name="_Toc4589390"/>
      <w:r>
        <w:lastRenderedPageBreak/>
        <w:t>Chapter 6. Final discussion</w:t>
      </w:r>
      <w:bookmarkEnd w:id="239"/>
    </w:p>
    <w:p w14:paraId="43A79CEB" w14:textId="77777777" w:rsidR="00957E52" w:rsidRDefault="00957E52" w:rsidP="00957E52">
      <w:pPr>
        <w:pStyle w:val="Thesisnormal"/>
      </w:pPr>
    </w:p>
    <w:p w14:paraId="103BCAC6" w14:textId="333FA621" w:rsidR="00957E52" w:rsidRDefault="00957E52" w:rsidP="00957E52">
      <w:pPr>
        <w:pStyle w:val="Thesisnormal"/>
      </w:pPr>
      <w:r>
        <w:t>Macrophage heterogeneity is a well-established concept in the mammalian literature with macrophages existing as specialised, tissue resident populations, that loca</w:t>
      </w:r>
      <w:r w:rsidR="00AA79A8">
        <w:t>lise</w:t>
      </w:r>
      <w:r>
        <w:t xml:space="preserve"> </w:t>
      </w:r>
      <w:r w:rsidR="00AA79A8">
        <w:t>at</w:t>
      </w:r>
      <w:r>
        <w:t xml:space="preserve"> distinct </w:t>
      </w:r>
      <w:r w:rsidR="00AA79A8">
        <w:t xml:space="preserve">sites </w:t>
      </w:r>
      <w:r>
        <w:t xml:space="preserve">throughout the body </w:t>
      </w:r>
      <w:r>
        <w:fldChar w:fldCharType="begin"/>
      </w:r>
      <w:r w:rsidR="000A209C">
        <w:instrText xml:space="preserve"> ADDIN ZOTERO_ITEM CSL_CITATION {"citationID":"SM9xLwfP","properties":{"formattedCitation":"(86)","plainCitation":"(86)","noteIndex":0},"citationItems":[{"id":1372,"uris":["http://zotero.org/users/952979/items/6TH7F79A"],"uri":["http://zotero.org/users/952979/items/6TH7F79A"],"itemData":{"id":1372,"type":"article-journal","title":"Tissue macrophage heterogeneity: issues and prospects","container-title":"Seminars in Immunopathology","page":"533-540","volume":"35","issue":"5","source":"PubMed","abstract":"The vast majority of macrophages in the body are present in tissues outside the circulation, yet their remarkable phenotypic heterogeneity within different anatomical compartments in the steady state and disease remains essentially unexplored. The development of immunocytochemical and fluorescent histological methods has revealed the presence and morphological diversity of macrophages within tissues, especially in the mouse, but functional specialisation in situ is difficult to establish and their mechanistic basis remains unknown, particularly in humans, in spite of the rich material available. In this review, we consider some of the technical issues that hamper investigation, assess the contribution of cell differentiation and modulation to macrophage heterogeneity within tissues and illustrate variation of macrophages and closely related cells in selected organs in mouse and man.","DOI":"10.1007/s00281-013-0386-4","ISSN":"1863-2300","note":"PMID: 23783507","shortTitle":"Tissue macrophage heterogeneity","journalAbbreviation":"Semin Immunopathol","language":"eng","author":[{"family":"Gordon","given":"Siamon"},{"family":"Plűddemann","given":"Annette"}],"issued":{"date-parts":[["2013",9]]}}}],"schema":"https://github.com/citation-style-language/schema/raw/master/csl-citation.json"} </w:instrText>
      </w:r>
      <w:r>
        <w:fldChar w:fldCharType="separate"/>
      </w:r>
      <w:r w:rsidR="004A1963" w:rsidRPr="004A1963">
        <w:rPr>
          <w:rFonts w:ascii="Calibri" w:hAnsi="Calibri"/>
        </w:rPr>
        <w:t>(86)</w:t>
      </w:r>
      <w:r>
        <w:fldChar w:fldCharType="end"/>
      </w:r>
      <w:r>
        <w:t xml:space="preserve">. These tissue resident cells are initially seeded by embryonic precursors </w:t>
      </w:r>
      <w:r w:rsidR="00AA79A8">
        <w:t>that subsequently</w:t>
      </w:r>
      <w:r>
        <w:t xml:space="preserve"> maintain the resident populations </w:t>
      </w:r>
      <w:r>
        <w:fldChar w:fldCharType="begin"/>
      </w:r>
      <w:r w:rsidR="000A209C">
        <w:instrText xml:space="preserve"> ADDIN ZOTERO_ITEM CSL_CITATION {"citationID":"oFdflU4e","properties":{"formattedCitation":"(8\\uc0\\u8211{}11)","plainCitation":"(8–11)","noteIndex":0},"citationItems":[{"id":1383,"uris":["http://zotero.org/users/952979/items/U6B5QFZU"],"uri":["http://zotero.org/users/952979/items/U6B5QFZU"],"itemData":{"id":1383,"type":"article-journal","title":"New insights into the multidimensional concept of macrophage ontogeny, activation and function","container-title":"Nature Immunology","page":"34-40","volume":"17","issue":"1","source":"www.nature.com","abstract":"Macrophages have protective roles in immunity to pathogens, tissue development, homeostasis and repair following damage. Maladaptive immunity and inflammation provoke changes in macrophage function that are causative of disease. Despite a historical wealth of knowledge about macrophages, recent advances have revealed unknown aspects of their development and function. Following development, macrophages are activated by diverse signals. Such tissue microenvironmental signals together with epigenetic changes influence macrophage development, activation and functional diversity, with consequences in disease and homeostasis. We discuss here how recent discoveries in these areas have led to a multidimensional concept of macrophage ontogeny, activation and function. In connection with this, we also discuss how technical advances facilitate a new roadmap for the isolation and analysis of macrophages at high resolution.","DOI":"10.1038/ni.3324","ISSN":"1529-2908","journalAbbreviation":"Nat Immunol","language":"en","author":[{"family":"Ginhoux","given":"Florent"},{"family":"Schultze","given":"Joachim L."},{"family":"Murray","given":"Peter J."},{"family":"Ochando","given":"Jordi"},{"family":"Biswas","given":"Subhra K."}],"issued":{"date-parts":[["2016",1]]}}},{"id":1433,"uris":["http://zotero.org/users/952979/items/Z9W22EU6"],"uri":["http://zotero.org/users/952979/items/Z9W22EU6"],"itemData":{"id":1433,"type":"article-journal","title":"Tissue-resident macrophages originate from yolk-sac-derived erythro-myeloid progenitors","container-title":"Nature","page":"547-551","volume":"518","issue":"7540","source":"PubMed","abstract":"Most haematopoietic cells renew from adult haematopoietic stem cells (HSCs), however, macrophages in adult tissues can self-maintain independently of HSCs. Progenitors with macrophage potential in vitro have been described in the yolk sac before emergence of HSCs, and fetal macrophages can develop independently of Myb, a transcription factor required for HSC, and can persist in adult tissues. Nevertheless, the origin of adult macrophages and the qualitative and quantitative contributions of HSC and putative non-HSC-derived progenitors are still unclear. Here we show in mice that the vast majority of adult tissue-resident macrophages in liver (Kupffer cells), brain (microglia), epidermis (Langerhans cells) and lung (alveolar macrophages) originate from a Tie2(+) (also known as Tek) cellular pathway generating Csf1r(+) erythro-myeloid progenitors (EMPs) distinct from HSCs. EMPs develop in the yolk sac at embryonic day (E) 8.5, migrate and colonize the nascent fetal liver before E10.5, and give rise to fetal erythrocytes, macrophages, granulocytes and monocytes until at least E16.5. Subsequently, HSC-derived cells replace erythrocytes, granulocytes and monocytes. Kupffer cells, microglia and Langerhans cells are only marginally replaced in one-year-old mice, whereas alveolar macrophages may be progressively replaced in ageing mice. Our fate-mapping experiments identify, in the fetal liver, a sequence of yolk sac EMP-derived and HSC-derived haematopoiesis, and identify yolk sac EMPs as a common origin for tissue macrophages.","DOI":"10.1038/nature13989","ISSN":"1476-4687","note":"PMID: 25470051","journalAbbreviation":"Nature","language":"eng","author":[{"family":"Gomez Perdiguero","given":"Elisa"},{"family":"Klapproth","given":"Kay"},{"family":"Schulz","given":"Christian"},{"family":"Busch","given":"Katrin"},{"family":"Azzoni","given":"Emanuele"},{"family":"Crozet","given":"Lucile"},{"family":"Garner","given":"Hannah"},{"family":"Trouillet","given":"Celine"},{"family":"Bruijn","given":"Marella F.","non-dropping-particle":"de"},{"family":"Geissmann","given":"Frederic"},{"family":"Rodewald","given":"Hans-Reimer"}],"issued":{"date-parts":[["2015",2,26]]}}},{"id":32,"uris":["http://zotero.org/users/952979/items/99NC5UPT"],"uri":["http://zotero.org/users/952979/items/99NC5UPT"],"itemData":{"id":32,"type":"article-journal","title":"Fate mapping reveals origins and dynamics of monocytes and tissue macrophages under homeostasis","container-title":"Immunity","page":"79-91","volume":"38","issue":"1","source":"PubMed","abstract":"Mononuclear phagocytes, including monocytes, macrophages, and dendritic cells, contribute to tissue integrity as well as to innate and adaptive immune defense. Emerging evidence for labor division indicates that manipulation of these cells could bear therapeutic potential. However, specific ontogenies of individual populations and the overall functional organization of this cellular network are not well defined. Here we report a fate-mapping study of the murine monocyte and macrophage compartment taking advantage of constitutive and conditional CX(3)CR1 promoter-driven Cre recombinase expression. We have demonstrated that major tissue-resident macrophage populations, including liver Kupffer cells and lung alveolar, splenic, and peritoneal macrophages, are established prior to birth and maintain themselves subsequently during adulthood independent of replenishment by blood monocytes. Furthermore, we have established that short-lived Ly6C(+) monocytes constitute obligatory steady-state precursors of blood-resident Ly6C(-) cells and that the abundance of Ly6C(+) blood monocytes dynamically controls the circulation lifespan of their progeny.","DOI":"10.1016/j.immuni.2012.12.001","ISSN":"1097-4180","note":"PMID: 23273845\nPMCID: PMC3908543","journalAbbreviation":"Immunity","language":"eng","author":[{"family":"Yona","given":"Simon"},{"family":"Kim","given":"Ki-Wook"},{"family":"Wolf","given":"Yochai"},{"family":"Mildner","given":"Alexander"},{"family":"Varol","given":"Diana"},{"family":"Breker","given":"Michal"},{"family":"Strauss-Ayali","given":"Dalit"},{"family":"Viukov","given":"Sergey"},{"family":"Guilliams","given":"Martin"},{"family":"Misharin","given":"Alexander"},{"family":"Hume","given":"David A."},{"family":"Perlman","given":"Harris"},{"family":"Malissen","given":"Bernard"},{"family":"Zelzer","given":"Elazar"},{"family":"Jung","given":"Steffen"}],"issued":{"date-parts":[["2013",1,24]]}}},{"id":1271,"uris":["http://zotero.org/users/952979/items/6HA49232"],"uri":["http://zotero.org/users/952979/items/6HA49232"],"itemData":{"id":1271,"type":"article-journal","title":"The development and maintenance of resident macrophages","container-title":"Nature Immunology","page":"2-8","volume":"17","issue":"1","source":"www.nature.com","abstract":"The molecular and cellular mechanisms that underlie the many roles of macrophages in health and disease states in vivo remain poorly understood. The purpose of this Review is to present and discuss current knowledge on the developmental biology of macrophages, as it underlies the concept of a layered myeloid system composed of 'resident' macrophages that originate mainly from progenitor cells generated in the yolk sac and of 'passenger' or 'transitory' myeloid cells that originate and renew from bone marrow hematopoietic stem cells, and to provide a framework for investigating the functions of macrophages in vivo.\nView full text","DOI":"10.1038/ni.3341","ISSN":"1529-2908","journalAbbreviation":"Nat Immunol","language":"en","author":[{"family":"Perdiguero","given":"Elisa Gomez"},{"family":"Geissmann","given":"Frederic"}],"issued":{"date-parts":[["2016",1]]}}}],"schema":"https://github.com/citation-style-language/schema/raw/master/csl-citation.json"} </w:instrText>
      </w:r>
      <w:r>
        <w:fldChar w:fldCharType="separate"/>
      </w:r>
      <w:r w:rsidR="00A53A6B" w:rsidRPr="00A53A6B">
        <w:rPr>
          <w:rFonts w:ascii="Calibri" w:hAnsi="Calibri" w:cs="Times New Roman"/>
        </w:rPr>
        <w:t>(8–11)</w:t>
      </w:r>
      <w:r>
        <w:fldChar w:fldCharType="end"/>
      </w:r>
      <w:r>
        <w:t xml:space="preserve">. However, at sites of infection or wounding, monocytes circulating in the blood can be recruited and differentiate into macrophages, further adding to the macrophage pool in the tissue </w:t>
      </w:r>
      <w:r>
        <w:fldChar w:fldCharType="begin"/>
      </w:r>
      <w:r w:rsidR="000A209C">
        <w:instrText xml:space="preserve"> ADDIN ZOTERO_ITEM CSL_CITATION {"citationID":"u4t8CtkH","properties":{"formattedCitation":"(100)","plainCitation":"(100)","noteIndex":0},"citationItems":[{"id":1432,"uris":["http://zotero.org/users/952979/items/2MDSQCUN"],"uri":["http://zotero.org/users/952979/items/2MDSQCUN"],"itemData":{"id":1432,"type":"article-journal","title":"Alveolar macrophages develop from fetal monocytes that differentiate into long-lived cells in the first week of life via GM-CSF","container-title":"The Journal of Experimental Medicine","page":"1977-1992","volume":"210","issue":"10","source":"PubMed Central","abstract":"Alveolar macrophages differentiate from fetal monocytes in a GM-CSF–dependent fashion and colonize the alveolar space within a few days after birth., Tissue-resident macrophages can develop from circulating adult monocytes or from primitive yolk sac–derived macrophages. The precise ontogeny of alveolar macrophages (AMFs) is unknown. By performing BrdU labeling and parabiosis experiments in adult mice, we found that circulating monocytes contributed minimally to the steady-state AMF pool. Mature AMFs were undetectable before birth and only fully colonized the alveolar space by 3 d after birth. Before birth, F4/80hiCD11blo primitive macrophages and Ly6ChiCD11bhi fetal monocytes sequentially colonized the developing lung around E12.5 and E16.5, respectively. The first signs of AMF differentiation appeared around the saccular stage of lung development (E18.5). Adoptive transfer identified fetal monocytes, and not primitive macrophages, as the main precursors of AMFs. Fetal monocytes transferred to the lung of neonatal mice acquired an AMF phenotype via defined developmental stages over the course of one week, and persisted for at least three months. Early AMF commitment from fetal monocytes was absent in GM-CSF–deficient mice, whereas short-term perinatal intrapulmonary GM-CSF therapy rescued AMF development for weeks, although the resulting AMFs displayed an immature phenotype. This demonstrates that tissue-resident macrophages can also develop from fetal monocytes that adopt a stable phenotype shortly after birth in response to instructive cytokines, and then self-maintain throughout life.","DOI":"10.1084/jem.20131199","ISSN":"0022-1007","note":"PMID: 24043763\nPMCID: PMC3782041","journalAbbreviation":"J Exp Med","author":[{"family":"Guilliams","given":"Martin"},{"family":"De Kleer","given":"Ismé"},{"family":"Henri","given":"Sandrine"},{"family":"Post","given":"Sijranke"},{"family":"Vanhoutte","given":"Leen"},{"family":"De Prijck","given":"Sofie"},{"family":"Deswarte","given":"Kim"},{"family":"Malissen","given":"Bernard"},{"family":"Hammad","given":"Hamida"},{"family":"Lambrecht","given":"Bart N."}],"issued":{"date-parts":[["2013",9,23]]}}}],"schema":"https://github.com/citation-style-language/schema/raw/master/csl-citation.json"} </w:instrText>
      </w:r>
      <w:r>
        <w:fldChar w:fldCharType="separate"/>
      </w:r>
      <w:r w:rsidR="004A1963" w:rsidRPr="004A1963">
        <w:rPr>
          <w:rFonts w:ascii="Calibri" w:hAnsi="Calibri"/>
        </w:rPr>
        <w:t>(100)</w:t>
      </w:r>
      <w:r>
        <w:fldChar w:fldCharType="end"/>
      </w:r>
      <w:r>
        <w:t xml:space="preserve">. These monocyte-derived macrophages may be more pro-inflammatory than the tissue resident populations, which are more pro-healing </w:t>
      </w:r>
      <w:r>
        <w:fldChar w:fldCharType="begin"/>
      </w:r>
      <w:r w:rsidR="000A209C">
        <w:instrText xml:space="preserve"> ADDIN ZOTERO_ITEM CSL_CITATION {"citationID":"oFeuCFyF","properties":{"formattedCitation":"(107,108)","plainCitation":"(107,108)","noteIndex":0},"citationItems":[{"id":22,"uris":["http://zotero.org/users/952979/items/ZKTDBMWD"],"uri":["http://zotero.org/users/952979/items/ZKTDBMWD"],"itemData":{"id":22,"type":"article-journal","title":"Differential roles of microglia and monocytes in the inflamed central nervous system","container-title":"Journal of Experimental Medicine","page":"1533-1549","volume":"211","issue":"8","source":"jem.rupress.org.sheffield.idm.oclc.org","abstract":"In the human disorder multiple sclerosis (MS) and in the model experimental autoimmune encephalomyelitis (EAE), macrophages predominate in demyelinated areas and their numbers correlate to tissue damage. Macrophages may be derived from infiltrating monocytes or resident microglia, yet are indistinguishable by light microscopy and surface phenotype. It is axiomatic that T cell–mediated macrophage activation is critical for inflammatory demyelination in EAE, yet the precise details by which tissue injury takes place remain poorly understood. In the present study, we addressed the cellular basis of autoimmune demyelination by discriminating microglial versus monocyte origins of effector macrophages. Using serial block-face scanning electron microscopy (SBF-SEM), we show that monocyte-derived macrophages associate with nodes of Ranvier and initiate demyelination, whereas microglia appear to clear debris. Gene expression profiles confirm that monocyte-derived macrophages are highly phagocytic and inflammatory, whereas those arising from microglia demonstrate an unexpected signature of globally suppressed cellular metabolism at disease onset. Distinguishing tissue-resident macrophages from infiltrating monocytes will point toward new strategies to treat disease and promote repair in diverse inflammatory pathologies in varied organs.","DOI":"10.1084/jem.20132477","ISSN":"0022-1007, 1540-9538","note":"PMID: 25002752","language":"en","author":[{"family":"Yamasaki","given":"Ryo"},{"family":"Lu","given":"Haiyan"},{"family":"Butovsky","given":"Oleg"},{"family":"Ohno","given":"Nobuhiko"},{"family":"Rietsch","given":"Anna M."},{"family":"Cialic","given":"Ron"},{"family":"Wu","given":"Pauline M."},{"family":"Doykan","given":"Camille E."},{"family":"Lin","given":"Jessica"},{"family":"Cotleur","given":"Anne C."},{"family":"Kidd","given":"Grahame"},{"family":"Zorlu","given":"Musab M."},{"family":"Sun","given":"Nathan"},{"family":"Hu","given":"Weiwei"},{"family":"Liu","given":"LiPing"},{"family":"Lee","given":"Jar-Chi"},{"family":"Taylor","given":"Sarah E."},{"family":"Uehlein","given":"Lindsey"},{"family":"Dixon","given":"Debra"},{"family":"Gu","given":"Jinyu"},{"family":"Floruta","given":"Crina M."},{"family":"Zhu","given":"Min"},{"family":"Charo","given":"Israel F."},{"family":"Weiner","given":"Howard L."},{"family":"Ransohoff","given":"Richard M."}],"issued":{"date-parts":[["2014",7,28]]}}},{"id":1877,"uris":["http://zotero.org/users/952979/items/W2LQ989H"],"uri":["http://zotero.org/users/952979/items/W2LQ989H"],"itemData":{"id":1877,"type":"article-journal","title":"The human heart contains distinct macrophage subsets with divergent origins and functions","container-title":"Nature Medicine","page":"1234","volume":"24","issue":"8","source":"www-nature-com.sheffield.idm.oclc.org","abstract":"Study of macrophage heterogeneity in human hearts reveals a subset of inflammatory macrophages that is associated with cardiac dysfunction in patients with heart failure.","DOI":"10.1038/s41591-018-0059-x","ISSN":"1546-170X","language":"En","author":[{"family":"Bajpai","given":"Geetika"},{"family":"Schneider","given":"Caralin"},{"family":"Wong","given":"Nicole"},{"family":"Bredemeyer","given":"Andrea"},{"family":"Hulsmans","given":"Maarten"},{"family":"Nahrendorf","given":"Matthias"},{"family":"Epelman","given":"Slava"},{"family":"Kreisel","given":"Daniel"},{"family":"Liu","given":"Yongjian"},{"family":"Itoh","given":"Akinobu"},{"family":"Shankar","given":"Thirupura S."},{"family":"Selzman","given":"Craig H."},{"family":"Drakos","given":"Stavros G."},{"family":"Lavine","given":"Kory J."}],"issued":{"date-parts":[["2018",8]]}}}],"schema":"https://github.com/citation-style-language/schema/raw/master/csl-citation.json"} </w:instrText>
      </w:r>
      <w:r>
        <w:fldChar w:fldCharType="separate"/>
      </w:r>
      <w:r w:rsidR="004A1963" w:rsidRPr="004A1963">
        <w:rPr>
          <w:rFonts w:ascii="Calibri" w:hAnsi="Calibri"/>
        </w:rPr>
        <w:t>(107,108)</w:t>
      </w:r>
      <w:r>
        <w:fldChar w:fldCharType="end"/>
      </w:r>
      <w:r>
        <w:t xml:space="preserve">, illustrating the different functions and roles of macrophages. </w:t>
      </w:r>
    </w:p>
    <w:p w14:paraId="60DEDAE1" w14:textId="77777777" w:rsidR="00957E52" w:rsidRDefault="00957E52" w:rsidP="00957E52">
      <w:pPr>
        <w:pStyle w:val="Thesisnormal"/>
      </w:pPr>
    </w:p>
    <w:p w14:paraId="607FD87B" w14:textId="69AD1925" w:rsidR="00957E52" w:rsidRPr="00FC1971" w:rsidRDefault="00957E52" w:rsidP="00957E52">
      <w:pPr>
        <w:pStyle w:val="Thesisnormal"/>
      </w:pPr>
      <w:r>
        <w:rPr>
          <w:i/>
        </w:rPr>
        <w:t>Drosophila</w:t>
      </w:r>
      <w:r>
        <w:t xml:space="preserve"> possess blood cells that are equivalent to macrophages</w:t>
      </w:r>
      <w:r w:rsidR="00AA79A8">
        <w:t>,</w:t>
      </w:r>
      <w:r>
        <w:t xml:space="preserve"> termed hemocytes </w:t>
      </w:r>
      <w:r>
        <w:fldChar w:fldCharType="begin"/>
      </w:r>
      <w:r w:rsidR="000A209C">
        <w:instrText xml:space="preserve"> ADDIN ZOTERO_ITEM CSL_CITATION {"citationID":"b1W2Zrje","properties":{"formattedCitation":"(166)","plainCitation":"(166)","noteIndex":0},"citationItems":[{"id":1083,"uris":["http://zotero.org/users/952979/items/3DSX75PV"],"uri":["http://zotero.org/users/952979/items/3DSX75PV"],"itemData":{"id":1083,"type":"article-journal","title":"Drosophila embryonic hemocytes","container-title":"Current biology: CB","page":"R173-174","volume":"21","issue":"5","source":"PubMed","DOI":"10.1016/j.cub.2011.01.061","ISSN":"1879-0445","note":"PMID: 21377090","journalAbbreviation":"Curr. Biol.","language":"eng","author":[{"family":"Evans","given":"Iwan Robert"},{"family":"Wood","given":"Will"}],"issued":{"date-parts":[["2011",3,8]]}}}],"schema":"https://github.com/citation-style-language/schema/raw/master/csl-citation.json"} </w:instrText>
      </w:r>
      <w:r>
        <w:fldChar w:fldCharType="separate"/>
      </w:r>
      <w:r w:rsidR="004A1963" w:rsidRPr="004A1963">
        <w:rPr>
          <w:rFonts w:ascii="Calibri" w:hAnsi="Calibri"/>
        </w:rPr>
        <w:t>(166)</w:t>
      </w:r>
      <w:r>
        <w:fldChar w:fldCharType="end"/>
      </w:r>
      <w:r>
        <w:t xml:space="preserve"> </w:t>
      </w:r>
      <w:r w:rsidRPr="009A668F">
        <w:t>and</w:t>
      </w:r>
      <w:r>
        <w:rPr>
          <w:i/>
        </w:rPr>
        <w:t xml:space="preserve"> </w:t>
      </w:r>
      <w:r>
        <w:t xml:space="preserve">is an established model for investigating many aspects of the innate immune response and macrophage behaviour </w:t>
      </w:r>
      <w:r>
        <w:fldChar w:fldCharType="begin"/>
      </w:r>
      <w:r w:rsidR="000A209C">
        <w:instrText xml:space="preserve"> ADDIN ZOTERO_ITEM CSL_CITATION {"citationID":"tsrXpC3w","properties":{"formattedCitation":"(164,165,178)","plainCitation":"(164,165,178)","noteIndex":0},"citationItems":[{"id":1250,"uris":["http://zotero.org/users/952979/items/AF7I5JWW"],"uri":["http://zotero.org/users/952979/items/AF7I5JWW"],"itemData":{"id":1250,"type":"article-journal","title":"Macrophages and cellular immunity in Drosophila melanogaster","container-title":"Seminars in Immunology","source":"PubMed","abstract":"The invertebrate Drosophila melanogaster has been a powerful model for understanding blood cell development and immunity. Drosophila is a holometabolous insect, which transitions through a series of life stages from embryo, larva and pupa to adulthood. In spite of this, remarkable parallels exist between Drosophila and vertebrate macrophages, both in terms of development and function. More than 90% of Drosophila blood cells (hemocytes) are macrophages (plasmatocytes), making this highly tractable genetic system attractive for studying a variety of questions in macrophage biology. In vertebrates, recent findings revealed that macrophages have two independent origins: self-renewing macrophages, which reside and proliferate in local microenvironments in a variety of tissues, and macrophages of the monocyte lineage, which derive from hematopoietic stem or progenitor cells. Like vertebrates, Drosophila possesses two macrophage lineages with a conserved dual ontogeny. These parallels allow us to take advantage of the Drosophila model when investigating macrophage lineage specification, maintenance and amplification, and the induction of macrophages and their progenitors by local microenvironments and systemic cues. Beyond macrophage development, Drosophila further serves as a paradigm for understanding the mechanisms underlying macrophage function and cellular immunity in infection, tissue homeostasis and cancer, throughout development and adult life.","DOI":"10.1016/j.smim.2016.03.010","ISSN":"1096-3618","note":"PMID: 27117654","journalAbbreviation":"Semin. Immunol.","language":"ENG","author":[{"family":"Gold","given":"Katrina S."},{"family":"Brückner","given":"Katja"}],"issued":{"date-parts":[["2016",4,22]]}}},{"id":1278,"uris":["http://zotero.org/users/952979/items/W47Z6VK4"],"uri":["http://zotero.org/users/952979/items/W47Z6VK4"],"itemData":{"id":1278,"type":"article-journal","title":"Drosophila as a model for the two myeloid blood cell systems in vertebrates","container-title":"Experimental Hematology","collection-title":"Genomics and Model Organisms: New Horizons for Experimental Hematology","page":"717-727","volume":"42","issue":"8","source":"ScienceDirect","abstract":"Fish, mice, and humans rely on two coexisting myeloid blood cell systems. One is sustained by hematopoietic progenitor cells, which reside in specialized microenvironments (niches) in hematopoietic organs and give rise to cells of the monocyte lineage. The other system corresponds to the independent lineage of self-renewing tissue macrophages, which colonize organs during embryonic development and are maintained during later life by proliferation in local tissue microenvironments. However, little is known about the nature of these microenvironments and their regulation. Moreover, many vertebrate tissues contain a mix of both tissue-resident and monocyte-derived macrophages, posing a challenge to the study of lineage-specific regulatory mechanisms and function. This review highlights how research in the simple model organism Drosophila melanogaster can address many of these outstanding questions in the field. Drawing parallels between hematopoiesis in Drosophila and vertebrates, we illustrate the evolutionary conservation of the two myeloid systems across animal phyla. Much like vertebrates, Drosophila possesses a lineage of self-renewing tissue-resident macrophages, which we refer to as tissue hemocytes, as well as a “definitive” lineage of macrophages that derive from hematopoiesis in the progenitor-based lymph gland. We summarize key findings from Drosophila hematopoiesis that illustrate how local microenvironments, systemic signals, immune challenges, and nervous inputs regulate adaptive responses of tissue-resident macrophages and progenitor-based hematopoiesis to maximize fitness of the animal.","DOI":"10.1016/j.exphem.2014.06.002","ISSN":"0301-472X","journalAbbreviation":"Experimental Hematology","author":[{"family":"Gold","given":"Katrina S."},{"family":"Brückner","given":"Katja"}],"issued":{"date-parts":[["2014",8]]}}},{"id":29,"uris":["http://zotero.org/users/952979/items/98Z8Z7U6"],"uri":["http://zotero.org/users/952979/items/98Z8Z7U6"],"itemData":{"id":29,"type":"article-journal","title":"Drosophila melanogaster embryonic haemocytes: masters of multitasking","container-title":"Nature Reviews Molecular Cell Biology","page":"542-551","volume":"8","issue":"7","source":"www.nature.com","abstract":"Drosophila melanogaster haemocytes constitute the cellular arm of a robust innate immune system in flies. In the adult and larva, these cells operate as the first line of defence against invading microorganisms: they phagocytose pathogens and produce antimicrobial peptides. However, in the sterile environment of the embryo, these important immune functions are largely redundant. Instead, throughout development, embryonic haemocytes are occupied with other tasks: they undergo complex migrations and carry out several non-immune functions that are crucial for successful embryogenesis.","DOI":"10.1038/nrm2202","ISSN":"1471-0072","shortTitle":"Drosophila melanogaster embryonic haemocytes","journalAbbreviation":"Nat Rev Mol Cell Biol","language":"en","author":[{"family":"Wood","given":"Will"},{"family":"Jacinto","given":"Antonio"}],"issued":{"date-parts":[["2007",7]]}}}],"schema":"https://github.com/citation-style-language/schema/raw/master/csl-citation.json"} </w:instrText>
      </w:r>
      <w:r>
        <w:fldChar w:fldCharType="separate"/>
      </w:r>
      <w:r w:rsidR="004A1963" w:rsidRPr="004A1963">
        <w:rPr>
          <w:rFonts w:ascii="Calibri" w:hAnsi="Calibri"/>
        </w:rPr>
        <w:t>(164,165,178)</w:t>
      </w:r>
      <w:r>
        <w:fldChar w:fldCharType="end"/>
      </w:r>
      <w:r>
        <w:t xml:space="preserve">. However, hemocytes are not known to exist as distinct subpopulations, </w:t>
      </w:r>
      <w:r w:rsidR="00AA79A8">
        <w:t xml:space="preserve">despite carrying out many functions in common with </w:t>
      </w:r>
      <w:r>
        <w:t>macrophages. Indeed, the general consensus is that the division of macrophage functions</w:t>
      </w:r>
      <w:r w:rsidR="00C53068">
        <w:t>,</w:t>
      </w:r>
      <w:r>
        <w:t xml:space="preserve"> for example M1 and M2 phenotypes and tissue resident populations</w:t>
      </w:r>
      <w:r w:rsidR="00C53068">
        <w:t>,</w:t>
      </w:r>
      <w:r>
        <w:t xml:space="preserve"> first </w:t>
      </w:r>
      <w:r w:rsidR="00C53068">
        <w:t xml:space="preserve">evolved </w:t>
      </w:r>
      <w:r>
        <w:t xml:space="preserve">in </w:t>
      </w:r>
      <w:r w:rsidR="000E45F9">
        <w:t xml:space="preserve">teleost </w:t>
      </w:r>
      <w:r>
        <w:t xml:space="preserve">fish </w:t>
      </w:r>
      <w:r>
        <w:fldChar w:fldCharType="begin"/>
      </w:r>
      <w:r w:rsidR="000A209C">
        <w:instrText xml:space="preserve"> ADDIN ZOTERO_ITEM CSL_CITATION {"citationID":"bL44eSwR","properties":{"formattedCitation":"(148)","plainCitation":"(148)","noteIndex":0},"citationItems":[{"id":1876,"uris":["http://zotero.org/users/952979/items/E68TYFMH"],"uri":["http://zotero.org/users/952979/items/E68TYFMH"],"itemData":{"id":1876,"type":"article-journal","title":"Evolution of Innate Immunity: Clues from Invertebrates via Fish to Mammals","container-title":"Frontiers in Immunology","page":"459","volume":"5","source":"PubMed","abstract":"Host responses against invading pathogens are basic physiological reactions of all living organisms. Since the appearance of the first eukaryotic cells, a series of defense mechanisms have evolved in order to secure cellular integrity, homeostasis, and survival of the host. Invertebrates, ranging from protozoans to metazoans, possess cellular receptors, which bind to foreign elements and differentiate self from non-self. This ability is in multicellular animals associated with presence of phagocytes, bearing different names (amebocytes, hemocytes, coelomocytes) in various groups including animal sponges, worms, cnidarians, mollusks, crustaceans, chelicerates, insects, and echinoderms (sea stars and urchins). Basically, these cells have a macrophage-like appearance and function and the repair and/or fight functions associated with these cells are prominent even at the earliest evolutionary stage. The cells possess pathogen recognition receptors recognizing pathogen-associated molecular patterns, which are well-conserved molecular structures expressed by various pathogens (virus, bacteria, fungi, protozoans, helminths). Scavenger receptors, Toll-like receptors, and Nod-like receptors (NLRs) are prominent representatives within this group of host receptors. Following receptor-ligand binding, signal transduction initiates a complex cascade of cellular reactions, which lead to production of one or more of a wide array of effector molecules. Cytokines take part in this orchestration of responses even in lower invertebrates, which eventually may result in elimination or inactivation of the intruder. Important innate effector molecules are oxygen and nitrogen species, antimicrobial peptides, lectins, fibrinogen-related peptides, leucine rich repeats (LRRs), pentraxins, and complement-related proteins. Echinoderms represent the most developed invertebrates and the bridge leading to the primitive chordates, cephalochordates, and urochordates, in which many autologous genes and functions from their ancestors can be found. They exhibit numerous variants of innate recognition and effector molecules, which allow fast and innate responses toward diverse pathogens despite lack of adaptive responses. The primitive vertebrates (agnathans also termed jawless fish) were the first to supplement innate responses with adaptive elements. Thus hagfish and lampreys use LRRs as variable lymphocyte receptors, whereas higher vertebrates [cartilaginous and bony fishes (jawed fish), amphibians, reptiles, birds, and mammals] developed the major histocompatibility complex, T-cell receptors, and B-cell receptors (immunoglobulins) as additional adaptive weaponry to assist innate responses. Extensive cytokine networks are recognized in fish, but related signal molecules can be traced among invertebrates. The high specificity, antibody maturation, immunological memory, and secondary responses of adaptive immunity were so successful that it allowed higher vertebrates to reduce the number of variants of the innate molecules originating from both invertebrates and lower vertebrates. Nonetheless, vertebrates combine the two arms in an intricate inter-dependent network. Organisms at all developmental stages have, in order to survive, applied available genes and functions of which some may have been lost or may have changed function through evolution. The molecular mechanisms involved in evolution of immune molecules, might apart from simple base substitutions be as diverse as gene duplication, deletions, alternative splicing, gene recombination, domain shuffling, retrotransposition, and gene conversion. Further, variable regulation of gene expression may have played a role.","DOI":"10.3389/fimmu.2014.00459","ISSN":"1664-3224","note":"PMID: 25295041\nPMCID: PMC4172062","shortTitle":"Evolution of Innate Immunity","journalAbbreviation":"Front Immunol","language":"eng","author":[{"family":"Buchmann","given":"Kurt"}],"issued":{"date-parts":[["2014"]]}}}],"schema":"https://github.com/citation-style-language/schema/raw/master/csl-citation.json"} </w:instrText>
      </w:r>
      <w:r>
        <w:fldChar w:fldCharType="separate"/>
      </w:r>
      <w:r w:rsidR="004A1963" w:rsidRPr="004A1963">
        <w:rPr>
          <w:rFonts w:ascii="Calibri" w:hAnsi="Calibri"/>
        </w:rPr>
        <w:t>(148)</w:t>
      </w:r>
      <w:r>
        <w:fldChar w:fldCharType="end"/>
      </w:r>
      <w:r>
        <w:t xml:space="preserve">. Despite this, there are tantalising suggestions from the literature that </w:t>
      </w:r>
      <w:r>
        <w:rPr>
          <w:i/>
        </w:rPr>
        <w:t>Drosophila</w:t>
      </w:r>
      <w:r>
        <w:t xml:space="preserve"> hemocytes exist as distinct subpopulations (as discussed in chapter 1). However, little work directly investigates this in flies. This thesis aimed to directly investigate the existence of hemocyte subtypes in </w:t>
      </w:r>
      <w:r>
        <w:rPr>
          <w:i/>
        </w:rPr>
        <w:t>Drosophila</w:t>
      </w:r>
      <w:r>
        <w:t xml:space="preserve"> and to determine the underlying mechanisms controlling such populations. </w:t>
      </w:r>
    </w:p>
    <w:p w14:paraId="23A0D25C" w14:textId="77777777" w:rsidR="00957E52" w:rsidRDefault="00957E52" w:rsidP="00957E52">
      <w:pPr>
        <w:pStyle w:val="Thesisnormal"/>
      </w:pPr>
    </w:p>
    <w:p w14:paraId="6BB2C792" w14:textId="193C4490" w:rsidR="00957E52" w:rsidRPr="002B195E" w:rsidRDefault="00957E52" w:rsidP="00957E52">
      <w:pPr>
        <w:pStyle w:val="Thesisnormal"/>
      </w:pPr>
      <w:r>
        <w:t xml:space="preserve">To answer this question, I utilised enhancer-based tools to visualise and label subpopulations of hemocytes. Careful characterisation of these tools revealed distinct subpopulations of hemocytes that persist throughout the life of the fly. Furthermore, I demonstrated that some of these distinct populations display more potent inflammatory responses to wounding, reduced efferocytosis and increased migration speeds. </w:t>
      </w:r>
      <w:r w:rsidR="008F06F0">
        <w:t xml:space="preserve">I have identified a number of genes that may be under the control of the enhancers, such as </w:t>
      </w:r>
      <w:r w:rsidR="008F06F0" w:rsidRPr="002104CD">
        <w:rPr>
          <w:i/>
        </w:rPr>
        <w:t>cnx14D</w:t>
      </w:r>
      <w:r w:rsidR="008F06F0">
        <w:t xml:space="preserve">. In investigating potential mechanisms that could account for the differences in behaviour (or in the acquisition of subtype fate), I identified a role for the </w:t>
      </w:r>
      <w:r w:rsidR="008F06F0" w:rsidRPr="002B195E">
        <w:rPr>
          <w:i/>
        </w:rPr>
        <w:t>cnx14D</w:t>
      </w:r>
      <w:r w:rsidR="008F06F0">
        <w:t xml:space="preserve"> gene in </w:t>
      </w:r>
      <w:r w:rsidR="00126602">
        <w:t xml:space="preserve">hemocyte </w:t>
      </w:r>
      <w:r w:rsidR="00126602" w:rsidRPr="00126602">
        <w:t>recruitment to wounds</w:t>
      </w:r>
      <w:r>
        <w:t xml:space="preserve">. I demonstrated that overexpression of </w:t>
      </w:r>
      <w:r w:rsidRPr="002B195E">
        <w:rPr>
          <w:i/>
        </w:rPr>
        <w:t>cnx14D</w:t>
      </w:r>
      <w:r>
        <w:t xml:space="preserve"> specifically within hemocytes increased </w:t>
      </w:r>
      <w:r>
        <w:lastRenderedPageBreak/>
        <w:t>responses to sites of injury. This not only represents an interesting candidate for further analysis</w:t>
      </w:r>
      <w:r w:rsidR="00337281">
        <w:t>,</w:t>
      </w:r>
      <w:r>
        <w:t xml:space="preserve"> but is the first time a study has demonstrated a manipulation which improved responses to wounds within </w:t>
      </w:r>
      <w:r w:rsidRPr="002B195E">
        <w:rPr>
          <w:i/>
        </w:rPr>
        <w:t>Drosophila</w:t>
      </w:r>
      <w:r>
        <w:t xml:space="preserve"> embryos. </w:t>
      </w:r>
    </w:p>
    <w:p w14:paraId="449F1610" w14:textId="77777777" w:rsidR="00957E52" w:rsidRDefault="00957E52" w:rsidP="00957E52">
      <w:pPr>
        <w:pStyle w:val="Thesisnormal"/>
      </w:pPr>
    </w:p>
    <w:p w14:paraId="261E3E8D" w14:textId="58F72A7E" w:rsidR="00957E52" w:rsidRDefault="00957E52" w:rsidP="00957E52">
      <w:pPr>
        <w:pStyle w:val="Thesisnormal"/>
      </w:pPr>
      <w:r>
        <w:t xml:space="preserve">In conjunction with investigating subpopulations of hemocytes based on enhancer activity, I also screened candidate pathways involved in macrophage polarisation and functioning (chapter 4). In doing so, I found that metabolism plays a key role in hemocyte responses to laser-ablated wounding, revealing a potential future target that may control the identified hemocyte subpopulations. Again, I was able to promote hemocyte responses to injury in the embryo. I also demonstrated that in hemocytes with reduced oxidative phosphorylation, there are fewer apoptotic cells, further suggesting an important role of metabolism in shaping hemocyte behaviour. </w:t>
      </w:r>
    </w:p>
    <w:p w14:paraId="71527FC9" w14:textId="77777777" w:rsidR="00957E52" w:rsidRDefault="00957E52" w:rsidP="00957E52">
      <w:pPr>
        <w:pStyle w:val="Thesisnormal"/>
      </w:pPr>
    </w:p>
    <w:p w14:paraId="04FD36B0" w14:textId="4DB021AD" w:rsidR="00957E52" w:rsidRDefault="00957E52" w:rsidP="00957E52">
      <w:pPr>
        <w:pStyle w:val="Thesisnormal"/>
      </w:pPr>
      <w:r>
        <w:t xml:space="preserve">In focusing on JAK/STAT signalling in the embryo, I found that loss of JAK/STAT signalling increases hemocyte responses to sites of injury, suggesting that a functional JAK/STAT pathway is required for limiting, or </w:t>
      </w:r>
      <w:r w:rsidR="00126602">
        <w:t xml:space="preserve">for </w:t>
      </w:r>
      <w:r>
        <w:t xml:space="preserve">normal, </w:t>
      </w:r>
      <w:r w:rsidR="00126602">
        <w:t xml:space="preserve">hemocyte </w:t>
      </w:r>
      <w:r w:rsidR="00126602" w:rsidRPr="00126602">
        <w:t>recruitment to wounds</w:t>
      </w:r>
      <w:r>
        <w:t>.</w:t>
      </w:r>
    </w:p>
    <w:p w14:paraId="0127AA60" w14:textId="77777777" w:rsidR="00957E52" w:rsidRDefault="00957E52" w:rsidP="00957E52">
      <w:pPr>
        <w:pStyle w:val="Thesisnormal"/>
      </w:pPr>
    </w:p>
    <w:p w14:paraId="3569E1FB" w14:textId="77777777" w:rsidR="000F5662" w:rsidRPr="000F5662" w:rsidRDefault="000F5662" w:rsidP="000F5662">
      <w:pPr>
        <w:pStyle w:val="ListParagraph"/>
        <w:keepNext/>
        <w:keepLines/>
        <w:numPr>
          <w:ilvl w:val="0"/>
          <w:numId w:val="1"/>
        </w:numPr>
        <w:spacing w:before="40" w:line="276" w:lineRule="auto"/>
        <w:contextualSpacing w:val="0"/>
        <w:outlineLvl w:val="1"/>
        <w:rPr>
          <w:rFonts w:asciiTheme="majorHAnsi" w:eastAsiaTheme="majorEastAsia" w:hAnsiTheme="majorHAnsi" w:cstheme="majorBidi"/>
          <w:vanish/>
          <w:color w:val="2E74B5" w:themeColor="accent1" w:themeShade="BF"/>
          <w:sz w:val="26"/>
          <w:szCs w:val="26"/>
        </w:rPr>
      </w:pPr>
      <w:bookmarkStart w:id="240" w:name="_Toc1656020"/>
      <w:bookmarkStart w:id="241" w:name="_Toc1721854"/>
      <w:bookmarkStart w:id="242" w:name="_Toc4589391"/>
      <w:bookmarkEnd w:id="240"/>
      <w:bookmarkEnd w:id="241"/>
      <w:bookmarkEnd w:id="242"/>
    </w:p>
    <w:p w14:paraId="70326B0E" w14:textId="77777777" w:rsidR="000F5662" w:rsidRPr="000F5662" w:rsidRDefault="000F5662" w:rsidP="000F5662">
      <w:pPr>
        <w:pStyle w:val="ListParagraph"/>
        <w:keepNext/>
        <w:keepLines/>
        <w:numPr>
          <w:ilvl w:val="0"/>
          <w:numId w:val="1"/>
        </w:numPr>
        <w:spacing w:before="40" w:line="276" w:lineRule="auto"/>
        <w:contextualSpacing w:val="0"/>
        <w:outlineLvl w:val="1"/>
        <w:rPr>
          <w:rFonts w:asciiTheme="majorHAnsi" w:eastAsiaTheme="majorEastAsia" w:hAnsiTheme="majorHAnsi" w:cstheme="majorBidi"/>
          <w:vanish/>
          <w:color w:val="2E74B5" w:themeColor="accent1" w:themeShade="BF"/>
          <w:sz w:val="26"/>
          <w:szCs w:val="26"/>
        </w:rPr>
      </w:pPr>
      <w:bookmarkStart w:id="243" w:name="_Toc1721855"/>
      <w:bookmarkStart w:id="244" w:name="_Toc4589392"/>
      <w:bookmarkEnd w:id="243"/>
      <w:bookmarkEnd w:id="244"/>
    </w:p>
    <w:p w14:paraId="4E4195B5" w14:textId="77777777" w:rsidR="000F5662" w:rsidRPr="000F5662" w:rsidRDefault="000F5662" w:rsidP="000F5662">
      <w:pPr>
        <w:pStyle w:val="ListParagraph"/>
        <w:keepNext/>
        <w:keepLines/>
        <w:numPr>
          <w:ilvl w:val="0"/>
          <w:numId w:val="1"/>
        </w:numPr>
        <w:spacing w:before="40" w:line="276" w:lineRule="auto"/>
        <w:contextualSpacing w:val="0"/>
        <w:outlineLvl w:val="1"/>
        <w:rPr>
          <w:rFonts w:asciiTheme="majorHAnsi" w:eastAsiaTheme="majorEastAsia" w:hAnsiTheme="majorHAnsi" w:cstheme="majorBidi"/>
          <w:vanish/>
          <w:color w:val="2E74B5" w:themeColor="accent1" w:themeShade="BF"/>
          <w:sz w:val="26"/>
          <w:szCs w:val="26"/>
        </w:rPr>
      </w:pPr>
      <w:bookmarkStart w:id="245" w:name="_Toc1721856"/>
      <w:bookmarkStart w:id="246" w:name="_Toc4589393"/>
      <w:bookmarkEnd w:id="245"/>
      <w:bookmarkEnd w:id="246"/>
    </w:p>
    <w:p w14:paraId="6FEA21B5" w14:textId="77777777" w:rsidR="000F5662" w:rsidRPr="000F5662" w:rsidRDefault="000F5662" w:rsidP="000F5662">
      <w:pPr>
        <w:pStyle w:val="ListParagraph"/>
        <w:keepNext/>
        <w:keepLines/>
        <w:numPr>
          <w:ilvl w:val="0"/>
          <w:numId w:val="1"/>
        </w:numPr>
        <w:spacing w:before="40" w:line="276" w:lineRule="auto"/>
        <w:contextualSpacing w:val="0"/>
        <w:outlineLvl w:val="1"/>
        <w:rPr>
          <w:rFonts w:asciiTheme="majorHAnsi" w:eastAsiaTheme="majorEastAsia" w:hAnsiTheme="majorHAnsi" w:cstheme="majorBidi"/>
          <w:vanish/>
          <w:color w:val="2E74B5" w:themeColor="accent1" w:themeShade="BF"/>
          <w:sz w:val="26"/>
          <w:szCs w:val="26"/>
        </w:rPr>
      </w:pPr>
      <w:bookmarkStart w:id="247" w:name="_Toc1721857"/>
      <w:bookmarkStart w:id="248" w:name="_Toc4589394"/>
      <w:bookmarkEnd w:id="247"/>
      <w:bookmarkEnd w:id="248"/>
    </w:p>
    <w:p w14:paraId="41E3BEF7" w14:textId="77777777" w:rsidR="000F5662" w:rsidRPr="000F5662" w:rsidRDefault="000F5662" w:rsidP="000F5662">
      <w:pPr>
        <w:pStyle w:val="ListParagraph"/>
        <w:keepNext/>
        <w:keepLines/>
        <w:numPr>
          <w:ilvl w:val="0"/>
          <w:numId w:val="1"/>
        </w:numPr>
        <w:spacing w:before="40" w:line="276" w:lineRule="auto"/>
        <w:contextualSpacing w:val="0"/>
        <w:outlineLvl w:val="1"/>
        <w:rPr>
          <w:rFonts w:asciiTheme="majorHAnsi" w:eastAsiaTheme="majorEastAsia" w:hAnsiTheme="majorHAnsi" w:cstheme="majorBidi"/>
          <w:vanish/>
          <w:color w:val="2E74B5" w:themeColor="accent1" w:themeShade="BF"/>
          <w:sz w:val="26"/>
          <w:szCs w:val="26"/>
        </w:rPr>
      </w:pPr>
      <w:bookmarkStart w:id="249" w:name="_Toc1721858"/>
      <w:bookmarkStart w:id="250" w:name="_Toc4589395"/>
      <w:bookmarkEnd w:id="249"/>
      <w:bookmarkEnd w:id="250"/>
    </w:p>
    <w:p w14:paraId="4AA2B9BB" w14:textId="041C0475" w:rsidR="00957E52" w:rsidRDefault="00957E52" w:rsidP="000F5662">
      <w:pPr>
        <w:pStyle w:val="Heading2"/>
        <w:numPr>
          <w:ilvl w:val="1"/>
          <w:numId w:val="1"/>
        </w:numPr>
        <w:spacing w:line="276" w:lineRule="auto"/>
      </w:pPr>
      <w:bookmarkStart w:id="251" w:name="_Toc4589396"/>
      <w:r>
        <w:t>Hemocytes exist as a heterogeneous population comprised of subpopulations with distinct functions in responding to sites of injury and efferocytosis</w:t>
      </w:r>
      <w:bookmarkEnd w:id="251"/>
    </w:p>
    <w:p w14:paraId="5FBC0EED" w14:textId="77777777" w:rsidR="00957E52" w:rsidRDefault="00957E52" w:rsidP="00957E52">
      <w:pPr>
        <w:pStyle w:val="Thesisnormal"/>
      </w:pPr>
    </w:p>
    <w:p w14:paraId="10C54C52" w14:textId="450DAB3F" w:rsidR="00337281" w:rsidRDefault="00337281" w:rsidP="00337281">
      <w:pPr>
        <w:pStyle w:val="Thesisnormal"/>
      </w:pPr>
      <w:r>
        <w:t xml:space="preserve">Screening enhancers-GAL4 constructs annotated as driving expression within hemocytes, I identified enhancers that marked all hemocytes from early stages or in a developmentally-regulated pattern and, most interestingly, subpopulations of hemocytes, suggesting molecular differences within this lineage (plasmatocytes). In total 11 enhancer constructs labelled subpopulations of hemocytes and I investigated 4 that were robustly expressed in detail. Importantly, the expression system we used revealed similar patterns of expression to the original </w:t>
      </w:r>
      <w:r>
        <w:rPr>
          <w:i/>
        </w:rPr>
        <w:t>in situ</w:t>
      </w:r>
      <w:r w:rsidRPr="00C73DAE">
        <w:rPr>
          <w:i/>
        </w:rPr>
        <w:t xml:space="preserve"> </w:t>
      </w:r>
      <w:r w:rsidRPr="00E27665">
        <w:t>hybridisation data</w:t>
      </w:r>
      <w:r>
        <w:t xml:space="preserve"> from the Kvon </w:t>
      </w:r>
      <w:r>
        <w:rPr>
          <w:i/>
        </w:rPr>
        <w:t>et al</w:t>
      </w:r>
      <w:r>
        <w:t xml:space="preserve"> study </w:t>
      </w:r>
      <w:r>
        <w:fldChar w:fldCharType="begin"/>
      </w:r>
      <w:r w:rsidR="000A209C">
        <w:instrText xml:space="preserve"> ADDIN ZOTERO_ITEM CSL_CITATION {"citationID":"F2WVL4PB","properties":{"formattedCitation":"(190)","plainCitation":"(190)","noteIndex":0},"citationItems":[{"id":1087,"uris":["http://zotero.org/users/952979/items/K5ATM5N2"],"uri":["http://zotero.org/users/952979/items/K5ATM5N2"],"itemData":{"id":1087,"type":"article-journal","title":"Genome-scale functional characterization of Drosophila developmental enhancers in vivo","container-title":"Nature","page":"91-95","volume":"512","issue":"7512","source":"PubMed","abstract":"Transcriptional enhancers are crucial regulators of gene expression and animal development and the characterization of their genomic organization, spatiotemporal activities and sequence properties is a key goal in modern biology. Here we characterize the in vivo activity of 7,705 Drosophila melanogaster enhancer candidates covering 13.5% of the non-coding non-repetitive genome throughout embryogenesis. 3,557 (46%) candidates are active, suggesting a high density with 50,000 to 100,000 developmental enhancers genome-wide. The vast majority of enhancers display specific spatial patterns that are highly dynamic during development. Most appear to regulate their neighbouring genes, suggesting that the cis-regulatory genome is organized locally into domains, which are supported by chromosomal domains, insulator binding and genome evolution. However, 12 to 21 per cent of enhancers appear to skip non-expressed neighbours and regulate a more distal gene. Finally, we computationally identify cis-regulatory motifs that are predictive and required for enhancer activity, as we validate experimentally. This work provides global insights into the organization of an animal regulatory genome and the make-up of enhancer sequences and confirms and generalizes principles from previous studies. All enhancer patterns are annotated manually with a controlled vocabulary and all results are available through a web interface (http://enhancers.starklab.org), including the raw images of all microscopy slides for manual inspection at arbitrary zoom levels.","DOI":"10.1038/nature13395","ISSN":"1476-4687","note":"PMID: 24896182","journalAbbreviation":"Nature","language":"eng","author":[{"family":"Kvon","given":"Evgeny Z."},{"family":"Kazmar","given":"Tomas"},{"family":"Stampfel","given":"Gerald"},{"family":"Yáñez-Cuna","given":"J. Omar"},{"family":"Pagani","given":"Michaela"},{"family":"Schernhuber","given":"Katharina"},{"family":"Dickson","given":"Barry J."},{"family":"Stark","given":"Alexander"}],"issued":{"date-parts":[["2014",8,7]]}}}],"schema":"https://github.com/citation-style-language/schema/raw/master/csl-citation.json"} </w:instrText>
      </w:r>
      <w:r>
        <w:fldChar w:fldCharType="separate"/>
      </w:r>
      <w:r w:rsidR="004A1963" w:rsidRPr="004A1963">
        <w:rPr>
          <w:rFonts w:ascii="Calibri" w:hAnsi="Calibri"/>
        </w:rPr>
        <w:t>(190)</w:t>
      </w:r>
      <w:r>
        <w:fldChar w:fldCharType="end"/>
      </w:r>
      <w:r>
        <w:t xml:space="preserve">. All 4 enhancers investigated in detail, persisted throughout development, labelling a subpopulation of hemocytes in both larvae and adult flies, demonstrating that subpopulations are not restricted to a single developmental stage. I found three enhancers (VT32897, VT17559 and VT62766) that labelled subpopulations of hemocytes that displayed more potent responses to wounding. The latter two also displayed reduced levels of efferocytosis and faster random </w:t>
      </w:r>
      <w:r>
        <w:lastRenderedPageBreak/>
        <w:t>migration speeds, potentially suggesting that theses populations may, at least partially, overlap. Indeed, when combined with the data in which hemocytes were visualised in the entire embryo, there was overlap in the locations of these two populations which are both distributed throughout the embryo. In contrast, VT32897 does not appear to share much overlap in terms of hemocyte localisation with any of the other subpopulations. However, these enhancers (VT17559 &amp; VT62766) are not located near to one-another (VT17559 is on chromosome 2 and VT62766 is on the X chromosome) suggesting that they do not control similar genes. This does not rule out the possibility that these enhancers are acting upon genes that share similar pathways</w:t>
      </w:r>
      <w:r w:rsidR="00C56EB2">
        <w:t>, which is probably due to the similarity of the behavioural responses between these subpopulations</w:t>
      </w:r>
      <w:r>
        <w:t xml:space="preserve">. This may indicate that the activation of these enhancers reflects shared or parallel regulation of gene expression intrinsic to this subpopulation or modulating similar hemocyte behaviours through different, as yet unidentified, pathways. Although not included in this thesis, I have created transgenic constructs with each VT enhancer directly promoting the expression of either nlsGFP or nlsRFP. These new lines will be essential for future investigations into the behaviour of the subpopulations, allowing a wider range of experiments such as the use of RNAi-mediated knockdown of specific genes in labelled subpopulations. Initially, these lines would be used to investigate the potential overlap between the VT subpopulations, to determine if the subpopulations are distinct. Additionally, these constructs will allow investigations to uncover which genes are being controlled by the enhancers or investigating targets from the </w:t>
      </w:r>
      <w:r>
        <w:rPr>
          <w:i/>
        </w:rPr>
        <w:t>Drosophila</w:t>
      </w:r>
      <w:r>
        <w:t xml:space="preserve"> and mammalian literature discussed in chapter 4. </w:t>
      </w:r>
    </w:p>
    <w:p w14:paraId="201CC6DE" w14:textId="77777777" w:rsidR="00957E52" w:rsidRDefault="00957E52" w:rsidP="00957E52">
      <w:pPr>
        <w:pStyle w:val="Thesisnormal"/>
      </w:pPr>
    </w:p>
    <w:p w14:paraId="0B05E3A8" w14:textId="05250DAA" w:rsidR="00957E52" w:rsidRDefault="00957E52" w:rsidP="00957E52">
      <w:pPr>
        <w:pStyle w:val="Thesisnormal"/>
      </w:pPr>
      <w:r>
        <w:t xml:space="preserve">Enhancers </w:t>
      </w:r>
      <w:r w:rsidR="00623B0F">
        <w:t xml:space="preserve">can </w:t>
      </w:r>
      <w:r>
        <w:t xml:space="preserve">act over large distances, independent of their orientation </w:t>
      </w:r>
      <w:r>
        <w:fldChar w:fldCharType="begin"/>
      </w:r>
      <w:r w:rsidR="000A209C">
        <w:instrText xml:space="preserve"> ADDIN ZOTERO_ITEM CSL_CITATION {"citationID":"kvIdrj3T","properties":{"formattedCitation":"(327,328)","plainCitation":"(327,328)","noteIndex":0},"citationItems":[{"id":1677,"uris":["http://zotero.org/users/952979/items/XH2INXG2"],"uri":["http://zotero.org/users/952979/items/XH2INXG2"],"itemData":{"id":1677,"type":"article-journal","title":"Enhancers, enhancers - from their discovery to today's universe of transcription enhancers","container-title":"Biological Chemistry","page":"311-327","volume":"396","issue":"4","source":"PubMed","abstract":"Transcriptional enhancers are short (200-1500 base pairs) DNA segments that are able to dramatically boost transcription from the promoter of a target gene. Originally discovered in simian virus 40 (SV40), a small DNA virus, transcription enhancers were soon also found in immunoglobulin genes and other cellular genes as key determinants of cell-type-specific gene expression. Enhancers can exert their effect over long distances of thousands, even hundreds of thousands of base pairs, either from upstream, downstream, or from within a transcription unit. The number of enhancers in eukaryotic genomes correlates with the complexity of the organism; a typical mammalian gene is likely controlled by several enhancers to fine-tune its expression at different developmental stages, in different cell types and in response to different signaling cues. Here, I provide a personal account of how enhancers were discovered more than 30 years ago, and also address the amazing development of the field since then.","DOI":"10.1515/hsz-2014-0303","ISSN":"1437-4315","note":"PMID: 25719310","journalAbbreviation":"Biol. Chem.","language":"eng","author":[{"family":"Schaffner","given":"Walter"}],"issued":{"date-parts":[["2015",4]]}}},{"id":1483,"uris":["http://zotero.org/users/952979/items/FSGPFFT2"],"uri":["http://zotero.org/users/952979/items/FSGPFFT2"],"itemData":{"id":1483,"type":"article-journal","title":"Enhancer transcription: what, where, when, and why?","container-title":"Genes &amp; Development","page":"1-3","volume":"32","issue":"1","source":"PubMed","abstract":"Following the discovery of widespread enhancer transcription, enhancers and promoters have been found to be far more similar than previously thought. In this issue ofGenes &amp; Development, two studies (Henriques and colleagues [pp. 26-41] and Mikhaylichenko and colleagues [pp. 42-57]) shine new light on the transcriptional nature of promoters and enhancers inDrosophilaTogether, these studies support recent work in mammalian cells that indicates that most active enhancers drive local transcription using factors and mechanisms similar to those of promoters. Intriguingly, enhancer transcription is shown to be coordinated by SPT5- and P-TEFb-mediated pause-release, but the pause half-life is shorter, and termination is more rapid at enhancers than at promoters. Moreover, bidirectional transcription from promoters is associated with enhancer activity, lending further credence to models in which regulatory elements exist along a spectrum of promoter-ness and enhancer-ness. We propose a general unified model to explain possible functions of transcription at enhancers.","DOI":"10.1101/gad.311605.118","ISSN":"1549-5477","note":"PMID: 29440223","shortTitle":"Enhancer transcription","journalAbbreviation":"Genes Dev.","language":"eng","author":[{"family":"Tippens","given":"Nathaniel D."},{"family":"Vihervaara","given":"Anniina"},{"family":"Lis","given":"John T."}],"issued":{"date-parts":[["2018",1,1]]}}}],"schema":"https://github.com/citation-style-language/schema/raw/master/csl-citation.json"} </w:instrText>
      </w:r>
      <w:r>
        <w:fldChar w:fldCharType="separate"/>
      </w:r>
      <w:r w:rsidR="004A1963" w:rsidRPr="004A1963">
        <w:rPr>
          <w:rFonts w:ascii="Calibri" w:hAnsi="Calibri"/>
        </w:rPr>
        <w:t>(327,328)</w:t>
      </w:r>
      <w:r>
        <w:fldChar w:fldCharType="end"/>
      </w:r>
      <w:r>
        <w:t xml:space="preserve">, making it difficult to determine which genes are being controlled by specific enhancers. However, I identified </w:t>
      </w:r>
      <w:r w:rsidRPr="000616D0">
        <w:rPr>
          <w:i/>
        </w:rPr>
        <w:t>cnx14D</w:t>
      </w:r>
      <w:r>
        <w:t xml:space="preserve"> as a gene that could potentially be involved in controlling the behavioural responses or acquisition of subpopulation fate in the VT62766-active subpopulation. </w:t>
      </w:r>
      <w:r w:rsidR="00623B0F">
        <w:t>W</w:t>
      </w:r>
      <w:r>
        <w:t xml:space="preserve">e could address whether </w:t>
      </w:r>
      <w:r w:rsidRPr="00810399">
        <w:t>Cnx14D</w:t>
      </w:r>
      <w:r>
        <w:rPr>
          <w:i/>
        </w:rPr>
        <w:t xml:space="preserve"> </w:t>
      </w:r>
      <w:r>
        <w:t xml:space="preserve">is required for the acquisition of subpopulation fate by </w:t>
      </w:r>
      <w:r w:rsidR="00623B0F">
        <w:t>over</w:t>
      </w:r>
      <w:r>
        <w:t xml:space="preserve">expressing or </w:t>
      </w:r>
      <w:r w:rsidR="00623B0F">
        <w:t xml:space="preserve">knocking down </w:t>
      </w:r>
      <w:r w:rsidRPr="00810399">
        <w:rPr>
          <w:i/>
        </w:rPr>
        <w:t>cnx14D</w:t>
      </w:r>
      <w:r>
        <w:rPr>
          <w:i/>
        </w:rPr>
        <w:t xml:space="preserve"> </w:t>
      </w:r>
      <w:r w:rsidR="00623B0F">
        <w:t>in the background of</w:t>
      </w:r>
      <w:r>
        <w:t xml:space="preserve"> the </w:t>
      </w:r>
      <w:r w:rsidRPr="00810399">
        <w:t>enhancer</w:t>
      </w:r>
      <w:r>
        <w:t xml:space="preserve"> transgenic lines I have created. If </w:t>
      </w:r>
      <w:r w:rsidRPr="00810399">
        <w:rPr>
          <w:i/>
        </w:rPr>
        <w:t>cnx14D</w:t>
      </w:r>
      <w:r>
        <w:t xml:space="preserve"> is affecting fate acquisition, rather than being a mechanism underlying the behaviour of the subpopulations, then the number of VT62766-enhancer positive hemocytes will change. There are still additional genes to investigate for the other enhancers (chapter 3, table 3.2). However, it is possible that pathways involved in modulating </w:t>
      </w:r>
      <w:r>
        <w:lastRenderedPageBreak/>
        <w:t xml:space="preserve">macrophage behaviours may also be active in </w:t>
      </w:r>
      <w:r w:rsidRPr="00704894">
        <w:rPr>
          <w:i/>
        </w:rPr>
        <w:t>Drosophila</w:t>
      </w:r>
      <w:r>
        <w:t xml:space="preserve">. I therefore screened these pathways by modulating various genes associated with macrophage function, specifically within hemocytes and assayed the effects on hemocyte recruitment to injury. In doing so, I identified two pathways, ROS signalling and metabolism, as having roles in modulating hemocyte responses to injury and efferocytosis (chapter 4). </w:t>
      </w:r>
    </w:p>
    <w:p w14:paraId="7BFB4F90" w14:textId="77777777" w:rsidR="00957E52" w:rsidRDefault="00957E52" w:rsidP="00957E52">
      <w:pPr>
        <w:pStyle w:val="Thesisnormal"/>
      </w:pPr>
    </w:p>
    <w:p w14:paraId="7328359B" w14:textId="0A4AAE5D" w:rsidR="00957E52" w:rsidRDefault="00957E52" w:rsidP="00957E52">
      <w:pPr>
        <w:pStyle w:val="Thesisnormal"/>
      </w:pPr>
      <w:r>
        <w:t>When ROS levels were decreased by expressing catalase (a ROS scavenger) specifically within hemocytes, there was decreased hemocyte recruitment to sites of injury. One of the potential genes under the control of the VT17559 enhancer is Lis-1 (based on distance between enhancer and gene). The human homolog of Lis-1 is platelet activating factor-(PAF)-</w:t>
      </w:r>
      <w:r w:rsidRPr="00861CFD">
        <w:t>acetylhydrolase</w:t>
      </w:r>
      <w:r>
        <w:t>, which catabolises P</w:t>
      </w:r>
      <w:r w:rsidR="000E6D91">
        <w:t>A</w:t>
      </w:r>
      <w:r>
        <w:t>F</w:t>
      </w:r>
      <w:r w:rsidR="005360D2">
        <w:t xml:space="preserve"> to an inactive form</w:t>
      </w:r>
      <w:r>
        <w:t xml:space="preserve"> </w:t>
      </w:r>
      <w:r>
        <w:fldChar w:fldCharType="begin"/>
      </w:r>
      <w:r w:rsidR="004B6406">
        <w:instrText xml:space="preserve"> ADDIN ZOTERO_ITEM CSL_CITATION {"citationID":"5h3yCInu","properties":{"formattedCitation":"(503)","plainCitation":"(503)","noteIndex":0},"citationItems":[{"id":1742,"uris":["http://zotero.org/users/952979/items/WYIZCMY5"],"uri":["http://zotero.org/users/952979/items/WYIZCMY5"],"itemData":{"id":1742,"type":"article-journal","title":"The emerging roles of PAF acetylhydrolase","container-title":"Journal of Lipid Research","page":"S255-S259","volume":"50","issue":"Suppl","source":"PubMed Central","abstract":"Platelet-activating factor (PAF), a phospholipid autacoid with potent effects throughout the innate immune system, is selectively degraded by two small families of PAF acetylhydrolases (PAF-AHs). These Ca2+-independent phospholipases A2 display remarkable specificity for the length of the sn-2 residue, but this selectivity is lost as the residue gains oxygen functions. Two of the PAF-AHs therefore are specific oxidized phospholipid phospholipases that reduce inflammation, but also remove oxidatively truncated phospholipids that induce apoptosis. The roles of these enzymes are manifold, and their separate and combined functions are now being addressed in model systems and clinical studies","DOI":"10.1194/jlr.R800024-JLR200","ISSN":"0022-2275","note":"PMID: 18838739\nPMCID: PMC2674695","journalAbbreviation":"J Lipid Res","author":[{"family":"McIntyre","given":"Thomas M."},{"family":"Prescott","given":"Stephen M."},{"family":"Stafforini","given":"Diana M."}],"issued":{"date-parts":[["2009",4]]}}}],"schema":"https://github.com/citation-style-language/schema/raw/master/csl-citation.json"} </w:instrText>
      </w:r>
      <w:r>
        <w:fldChar w:fldCharType="separate"/>
      </w:r>
      <w:r w:rsidR="004B6406" w:rsidRPr="004B6406">
        <w:rPr>
          <w:rFonts w:ascii="Calibri" w:hAnsi="Calibri" w:cs="Calibri"/>
        </w:rPr>
        <w:t>(503)</w:t>
      </w:r>
      <w:r>
        <w:fldChar w:fldCharType="end"/>
      </w:r>
      <w:r>
        <w:t xml:space="preserve">. </w:t>
      </w:r>
      <w:r w:rsidR="000E6D91">
        <w:t xml:space="preserve">However, the </w:t>
      </w:r>
      <w:r w:rsidR="000E6D91" w:rsidRPr="000E6D91">
        <w:rPr>
          <w:i/>
        </w:rPr>
        <w:t>Drosophila</w:t>
      </w:r>
      <w:r w:rsidR="000E6D91">
        <w:t xml:space="preserve"> Lis-1 product is a non-catalytic subunit of PAF-</w:t>
      </w:r>
      <w:r w:rsidR="000E6D91" w:rsidRPr="00861CFD">
        <w:t>acetylhydrolase</w:t>
      </w:r>
      <w:r w:rsidR="000E6D91">
        <w:t xml:space="preserve"> </w:t>
      </w:r>
      <w:r w:rsidR="000E6D91">
        <w:fldChar w:fldCharType="begin"/>
      </w:r>
      <w:r w:rsidR="004B6406">
        <w:instrText xml:space="preserve"> ADDIN ZOTERO_ITEM CSL_CITATION {"citationID":"2tiZgFR7","properties":{"formattedCitation":"(504)","plainCitation":"(504)","noteIndex":0},"citationItems":[{"id":1739,"uris":["http://zotero.org/users/952979/items/SK873YU2"],"uri":["http://zotero.org/users/952979/items/SK873YU2"],"itemData":{"id":1739,"type":"article-journal","title":"Homologs of the alpha- and beta-subunits of mammalian brain platelet-activating factor acetylhydrolase Ib in the Drosophila melanogaster genome","container-title":"Proteins","page":"1-8","volume":"39","issue":"1","source":"PubMed","abstract":"The mammalian intracellular brain platelet-activating factor acetylhydrolase, implicated in the development of cerebral cortex, is a member of the phospholipase A2 superfamily. It is made up of a homodimer of the 45 kDa LIS1 protein (a product of the causative gene for type I lissencephaly) and a pair of homologous 26-kDa alpha-subunits which account for all the catalytic activity. LIS1 is hypothesized to regulate nuclear movement in migrating neurons through interactions with the cytoskeleton, while the alpha-subunits, whose structure is known, contain a trypsin-like triad within the framework of a unique tertiary fold. The physiological significance of the association of the two types of subunits is not known. In an effort to better understand the function of the complex we turned to genomic data mining in search of related proteins in lower eukaryotes. We found that the Drosophila melanogaster genome contains homologs of both alpha- and beta-subunits, and we cloned both genes. The alpha-subunit homolog has been overexpressed, purified and crystallized. It lacks two of the three active-site residues and, consequently, is catalytically inactive against PAF-AH (Ib) substrates. Our study shows that the beta-subunit homolog is highly conserved from Drosophila to mammals and is able to interact with the mammalian alpha-subunits but is unable to interact with the Drosophila alpha-subunit. Proteins 2000;39:1-8.","ISSN":"0887-3585","note":"PMID: 10737922","journalAbbreviation":"Proteins","language":"eng","author":[{"family":"Sheffield","given":"P. J."},{"family":"Garrard","given":"S."},{"family":"Caspi","given":"M."},{"family":"Aoki","given":"J."},{"family":"Arai","given":"H."},{"family":"Derewenda","given":"U."},{"family":"Inoue","given":"K."},{"family":"Suter","given":"B."},{"family":"Reiner","given":"O."},{"family":"Derewenda","given":"Z. S."}],"issued":{"date-parts":[["2000",4,1]]}}}],"schema":"https://github.com/citation-style-language/schema/raw/master/csl-citation.json"} </w:instrText>
      </w:r>
      <w:r w:rsidR="000E6D91">
        <w:fldChar w:fldCharType="separate"/>
      </w:r>
      <w:r w:rsidR="004B6406" w:rsidRPr="004B6406">
        <w:rPr>
          <w:rFonts w:ascii="Calibri" w:hAnsi="Calibri" w:cs="Calibri"/>
        </w:rPr>
        <w:t>(504)</w:t>
      </w:r>
      <w:r w:rsidR="000E6D91">
        <w:fldChar w:fldCharType="end"/>
      </w:r>
      <w:r w:rsidR="000E6D91">
        <w:t xml:space="preserve">. </w:t>
      </w:r>
      <w:r w:rsidRPr="000E6D91">
        <w:t>Importantly</w:t>
      </w:r>
      <w:r>
        <w:t xml:space="preserve">, PAF is increased in inflammation and has been shown to increase ROS levels in macrophages following infection with Leishmania </w:t>
      </w:r>
      <w:r>
        <w:fldChar w:fldCharType="begin"/>
      </w:r>
      <w:r w:rsidR="000A209C">
        <w:instrText xml:space="preserve"> ADDIN ZOTERO_ITEM CSL_CITATION {"citationID":"Lz8quybc","properties":{"formattedCitation":"(352)","plainCitation":"(352)","noteIndex":0},"citationItems":[{"id":1741,"uris":["http://zotero.org/users/952979/items/77HB2MQ4"],"uri":["http://zotero.org/users/952979/items/77HB2MQ4"],"itemData":{"id":1741,"type":"article-journal","title":"Platelet-activating factor increases reactive oxygen species-mediated microbicidal activity of human macrophages infected with Leishmania (Viannia) braziliensis","container-title":"Pathogens and Disease","volume":"75","issue":"7","source":"PubMed","abstract":"Platelet-activating factor (PAF) is produced by macrophages during inflammation and infections. We evaluated whether PAF is able to modulate the infection of human macrophages by Leishmania braziliensis, the main Leishmania sp. in Brazil. Monocyte-derived macrophages were incubated with promastigote forms in absence or presence of exogenous PAF. We observed that the treatment of macrophages with low concentrations of PAF prior to infection increased the phagocytosis of L. braziliensis. More importantly, exogenous PAF reduced the parasitism when it was added before, during or after infection. In addition, treatment with a PAF antagonist (PCA 4248) resulted in a significant increase of macrophage infection in a concentration-dependent manner, suggesting that endogenous PAF is important to control L. braziliensis infection. Mechanistically, while exogenous PAF increased production of reactive oxygen species (ROS) treatment with PCA 4248 reduced oxidative burst during L. braziliensis infection. The microbicidal effects of exogenous PAF were abolished when macrophages were treated with apocynin, an NADPH oxidase inhibitor. The data show that PAF promotes the production of ROS induced by L. braziliensis, suggesting that this lipid mediator may be relevant to control L. braziliensis infection in human macrophages.","DOI":"10.1093/femspd/ftx082","ISSN":"2049-632X","note":"PMID: 28830073","journalAbbreviation":"Pathog Dis","language":"eng","author":[{"family":"Borges","given":"Arissa Felipe"},{"family":"Morato","given":"Camila Imai"},{"family":"Gomes","given":"Rodrigo Saar"},{"family":"Dorta","given":"Miriam Leandro"},{"family":"Oliveira","given":"Milton Adriano Pelli","non-dropping-particle":"de"},{"family":"Ribeiro-Dias","given":"Fátima"}],"issued":{"date-parts":[["2017"]],"season":"29"}}}],"schema":"https://github.com/citation-style-language/schema/raw/master/csl-citation.json"} </w:instrText>
      </w:r>
      <w:r>
        <w:fldChar w:fldCharType="separate"/>
      </w:r>
      <w:r w:rsidR="00A53A6B" w:rsidRPr="00A53A6B">
        <w:rPr>
          <w:rFonts w:ascii="Calibri" w:hAnsi="Calibri"/>
        </w:rPr>
        <w:t>(352)</w:t>
      </w:r>
      <w:r>
        <w:fldChar w:fldCharType="end"/>
      </w:r>
      <w:r>
        <w:t xml:space="preserve">. Additionally, within </w:t>
      </w:r>
      <w:r w:rsidRPr="002D362A">
        <w:rPr>
          <w:i/>
        </w:rPr>
        <w:t>Drosophila</w:t>
      </w:r>
      <w:r>
        <w:t>, neuroglian (a cell adhesion molecule) regulates Lis-1</w:t>
      </w:r>
      <w:r w:rsidR="005360D2">
        <w:t xml:space="preserve"> and</w:t>
      </w:r>
      <w:r>
        <w:t xml:space="preserve"> has been implicated in hemocyte encapsulation of wasp eggs by modulating filopodia formation </w:t>
      </w:r>
      <w:r>
        <w:fldChar w:fldCharType="begin"/>
      </w:r>
      <w:r w:rsidR="004B6406">
        <w:instrText xml:space="preserve"> ADDIN ZOTERO_ITEM CSL_CITATION {"citationID":"8IZPLL7N","properties":{"formattedCitation":"(505)","plainCitation":"(505)","noteIndex":0},"citationItems":[{"id":1740,"uris":["http://zotero.org/users/952979/items/4M897UU8"],"uri":["http://zotero.org/users/952979/items/4M897UU8"],"itemData":{"id":1740,"type":"article-journal","title":"The Drosophila cell adhesion molecule Neuroglian regulates Lissencephaly-1 localisation in circulating immunosurveillance cells","container-title":"BMC immunology","page":"17","volume":"10","source":"PubMed","abstract":"BACKGROUND: When the parasitoid wasp Leptopilina boulardi lays its eggs in Drosophila larvae phagocytic cells called plasmatocytes and specialized cells known as lamellocytes encapsulate the egg. This requires these circulating immunosurveillance cells (haemocytes) to change from a non-adhesive to an adhesive state enabling them to bind to the invader. Interestingly, attachment of leukocytes, platelets, and insect haemocytes requires the same adhesion complexes as epithelial and neuronal cells.\nRESULTS: Here evidence is presented showing that the Drosophila L1-type cell adhesion molecule Neuroglian (Nrg) is required for haemocytes to encapsulate L. boulardi wasp eggs. The amino acid sequence FIGQY containing a conserved phosphorylated tyrosine is found in the intracellular domain of all L1-type cell adhesion molecules. This conserved tyrosine is phosphorylated at the cell periphery of plasmatocytes and lamellocytes prior to parasitisation, but dephosphorylated after immune activation. Intriguingly, another pool of Nrg located near the nucleus of plasmatocytes remains phosphorylated after parasitisation. In mammalian neuronal cells phosphorylated neurofascin, another L1-type cell adhesion molecule interacts with a nucleokinesis complex containing the microtubule binding protein lissencephaly-1 (Lis1) 1. Interestingly in plasmatocytes from Nrg mutants the nucleokinesis regulating protein Lissencephaly-1 (Lis1) fails to localise properly around the nucleus and is instead found diffuse throughout the cytoplasm and at unidentified perinuclear structures. After attaching to the wasp egg control plasmatocytes extend filopodia laterally from their cell periphery; as well as extending lateral filopodia plasmatocytes from Nrg mutants also extend many filopodia from their apical surface.\nCONCLUSION: The Drosophila cellular adhesion molecule Neuroglian is expressed in haemocytes and its activity is required for the encapsulation of L. boularli eggs. At the cell periphery of haemocytes Neuroglian may be involved in cell-cell interactions, while at the cell centre Neuroglian regulates the localisation of the nucleokinesis complex protein lissencephaly-1.","DOI":"10.1186/1471-2172-10-17","ISSN":"1471-2172","note":"PMID: 19320973\nPMCID: PMC2667480","journalAbbreviation":"BMC Immunol.","language":"eng","author":[{"family":"Williams","given":"Michael J."}],"issued":{"date-parts":[["2009",3,25]]}}}],"schema":"https://github.com/citation-style-language/schema/raw/master/csl-citation.json"} </w:instrText>
      </w:r>
      <w:r>
        <w:fldChar w:fldCharType="separate"/>
      </w:r>
      <w:r w:rsidR="004B6406" w:rsidRPr="004B6406">
        <w:rPr>
          <w:rFonts w:ascii="Calibri" w:hAnsi="Calibri" w:cs="Calibri"/>
        </w:rPr>
        <w:t>(505)</w:t>
      </w:r>
      <w:r>
        <w:fldChar w:fldCharType="end"/>
      </w:r>
      <w:r>
        <w:t xml:space="preserve">. Together, this suggests that VT17559 may be linked to higher levels of ROS. However, staining with DHR123 (a broad ROS dye) did not reveal higher ROS levels in this subpopulation and there was no observable increase in the phagocytosis of </w:t>
      </w:r>
      <w:r>
        <w:rPr>
          <w:i/>
        </w:rPr>
        <w:t>E. coli</w:t>
      </w:r>
      <w:r>
        <w:t xml:space="preserve">. It is possible that PAF-acetylhydrolase is sufficient to promote subpopulation fate but requires appropriate stimuli (such as infection) to increase ROS levels. Alternatively, it may not be functioning through the same mechanism in </w:t>
      </w:r>
      <w:r w:rsidRPr="00B404AE">
        <w:rPr>
          <w:i/>
        </w:rPr>
        <w:t>Drosophila</w:t>
      </w:r>
      <w:r>
        <w:t xml:space="preserve">. </w:t>
      </w:r>
      <w:r w:rsidR="00942FE8">
        <w:t xml:space="preserve">For example, Lis-1 has many roles in the transport of dynein cargo which includes RNA localisation machinery </w:t>
      </w:r>
      <w:r w:rsidR="00942FE8">
        <w:fldChar w:fldCharType="begin"/>
      </w:r>
      <w:r w:rsidR="004B6406">
        <w:instrText xml:space="preserve"> ADDIN ZOTERO_ITEM CSL_CITATION {"citationID":"eIjkQTuf","properties":{"formattedCitation":"(506)","plainCitation":"(506)","noteIndex":0},"citationItems":[{"id":1735,"uris":["http://zotero.org/users/952979/items/9LQ9J2KE"],"uri":["http://zotero.org/users/952979/items/9LQ9J2KE"],"itemData":{"id":1735,"type":"article-journal","title":"Lissencephaly-1 promotes the recruitment of dynein and dynactin to transported mRNAs","container-title":"The Journal of Cell Biology","page":"479-494","volume":"202","issue":"3","source":"PubMed Central","abstract":"Lissencephaly-1 promotes the interaction of dynein with dynactin and facilitates motor complex association with mRNA cargos., Microtubule-based transport mediates the sorting and dispersal of many cellular components and pathogens. However, the mechanisms by which motor complexes are recruited to and regulated on different cargos remain poorly understood. Here we describe a large-scale biochemical screen for novel factors associated with RNA localization signals mediating minus end–directed mRNA transport during Drosophila development. We identified the protein Lissencephaly-1 (Lis1) and found that minus-end travel distances of localizing transcripts are dramatically reduced in lis1 mutant embryos. Surprisingly, given its well-documented role in regulating dynein mechanochemistry, we uncovered an important requirement for Lis1 in promoting the recruitment of dynein and its accessory complex dynactin to RNA localization complexes. Furthermore, we provide evidence that Lis1 levels regulate the overall association of dynein with dynactin. Our data therefore reveal a critical role for Lis1 within the mRNA localization machinery and suggest a model in which Lis1 facilitates motor complex association with cargos by promoting the interaction of dynein with dynactin.","DOI":"10.1083/jcb.201211052","ISSN":"0021-9525","note":"PMID: 23918939\nPMCID: PMC3734092","journalAbbreviation":"J Cell Biol","author":[{"family":"Dix","given":"Carly I."},{"family":"Soundararajan","given":"Harish Chandra"},{"family":"Dzhindzhev","given":"Nikola S."},{"family":"Begum","given":"Farida"},{"family":"Suter","given":"Beat"},{"family":"Ohkura","given":"Hiroyuki"},{"family":"Stephens","given":"Elaine"},{"family":"Bullock","given":"Simon L."}],"issued":{"date-parts":[["2013",8,5]]}}}],"schema":"https://github.com/citation-style-language/schema/raw/master/csl-citation.json"} </w:instrText>
      </w:r>
      <w:r w:rsidR="00942FE8">
        <w:fldChar w:fldCharType="separate"/>
      </w:r>
      <w:r w:rsidR="004B6406" w:rsidRPr="004B6406">
        <w:rPr>
          <w:rFonts w:ascii="Calibri" w:hAnsi="Calibri" w:cs="Calibri"/>
        </w:rPr>
        <w:t>(506)</w:t>
      </w:r>
      <w:r w:rsidR="00942FE8">
        <w:fldChar w:fldCharType="end"/>
      </w:r>
      <w:r w:rsidR="00942FE8">
        <w:t xml:space="preserve">. </w:t>
      </w:r>
      <w:r>
        <w:t>Therefore, it would still be pertinent to investigate filopodia formation and ROS in response to infection in</w:t>
      </w:r>
      <w:r w:rsidR="006006BA">
        <w:t xml:space="preserve"> the</w:t>
      </w:r>
      <w:r>
        <w:t xml:space="preserve"> VT17559</w:t>
      </w:r>
      <w:r w:rsidR="006006BA">
        <w:t xml:space="preserve"> hemocyte subpopulation</w:t>
      </w:r>
      <w:r w:rsidR="00942FE8">
        <w:t>, in addition to directly investigating Lis-1</w:t>
      </w:r>
      <w:r>
        <w:t xml:space="preserve">. </w:t>
      </w:r>
    </w:p>
    <w:p w14:paraId="689D6388" w14:textId="77777777" w:rsidR="00957E52" w:rsidRDefault="00957E52" w:rsidP="00957E52">
      <w:pPr>
        <w:pStyle w:val="Thesisnormal"/>
      </w:pPr>
    </w:p>
    <w:p w14:paraId="79004BB8" w14:textId="77777777" w:rsidR="00957E52" w:rsidRDefault="00957E52" w:rsidP="00957E52">
      <w:pPr>
        <w:pStyle w:val="Heading2"/>
        <w:numPr>
          <w:ilvl w:val="1"/>
          <w:numId w:val="1"/>
        </w:numPr>
        <w:spacing w:line="276" w:lineRule="auto"/>
      </w:pPr>
      <w:bookmarkStart w:id="252" w:name="_Toc4589397"/>
      <w:bookmarkStart w:id="253" w:name="_GoBack"/>
      <w:bookmarkEnd w:id="253"/>
      <w:r>
        <w:t>Glycolysis promotes a pro-inflammatory hemocyte phenotype</w:t>
      </w:r>
      <w:bookmarkEnd w:id="252"/>
    </w:p>
    <w:p w14:paraId="1B65C097" w14:textId="77777777" w:rsidR="00957E52" w:rsidRDefault="00957E52" w:rsidP="00957E52">
      <w:pPr>
        <w:pStyle w:val="Thesisnormal"/>
      </w:pPr>
    </w:p>
    <w:p w14:paraId="299A2651" w14:textId="44342FDC" w:rsidR="00957E52" w:rsidRDefault="00957E52" w:rsidP="00957E52">
      <w:pPr>
        <w:pStyle w:val="Thesisnormal"/>
      </w:pPr>
      <w:r>
        <w:t xml:space="preserve">The role of metabolism in macrophage polarisation has become an intense area of research in mammals </w:t>
      </w:r>
      <w:r>
        <w:fldChar w:fldCharType="begin"/>
      </w:r>
      <w:r w:rsidR="000A209C">
        <w:instrText xml:space="preserve"> ADDIN ZOTERO_ITEM CSL_CITATION {"citationID":"oz7Se718","properties":{"formattedCitation":"(398)","plainCitation":"(398)","noteIndex":0},"citationItems":[{"id":1544,"uris":["http://zotero.org/users/952979/items/D75R9G85"],"uri":["http://zotero.org/users/952979/items/D75R9G85"],"itemData":{"id":1544,"type":"article-journal","title":"Macrophage Immunometabolism: Where Are We (Going)?","container-title":"Trends in Immunology","page":"395-406","volume":"38","issue":"6","source":"www.cell.com","DOI":"10.1016/j.it.2017.03.001","ISSN":"1471-4906, 1471-4981","note":"PMID: 28396078","shortTitle":"Macrophage Immunometabolism","journalAbbreviation":"Trends in Immunology","language":"English","author":[{"family":"Bossche","given":"Jan Van","dropping-particle":"den"},{"family":"O’Neill","given":"Luke A."},{"family":"Menon","given":"Deepthi"}],"issued":{"date-parts":[["2017",6,1]]}}}],"schema":"https://github.com/citation-style-language/schema/raw/master/csl-citation.json"} </w:instrText>
      </w:r>
      <w:r>
        <w:fldChar w:fldCharType="separate"/>
      </w:r>
      <w:r w:rsidR="00A53A6B" w:rsidRPr="00A53A6B">
        <w:rPr>
          <w:rFonts w:ascii="Calibri" w:hAnsi="Calibri"/>
        </w:rPr>
        <w:t>(398)</w:t>
      </w:r>
      <w:r>
        <w:fldChar w:fldCharType="end"/>
      </w:r>
      <w:r>
        <w:t xml:space="preserve">, with a recent paper suggesting that metabolism may have different effects between mice and human macrophages </w:t>
      </w:r>
      <w:r>
        <w:fldChar w:fldCharType="begin"/>
      </w:r>
      <w:r w:rsidR="004B6406">
        <w:instrText xml:space="preserve"> ADDIN ZOTERO_ITEM CSL_CITATION {"citationID":"T068eCF9","properties":{"formattedCitation":"(507)","plainCitation":"(507)","noteIndex":0},"citationItems":[{"id":1738,"uris":["http://zotero.org/users/952979/items/6ASYZFA4"],"uri":["http://zotero.org/users/952979/items/6ASYZFA4"],"itemData":{"id":1738,"type":"article-journal","title":"Human and murine macrophages exhibit differential metabolic responses to lipopolysaccharide - A divergent role for glycolysis","container-title":"Redox Biology","page":"101147","source":"ScienceDirect","abstract":"Macrophages adopt different phenotypes in response to microenvironmental changes, which can be principally classified into inflammatory and anti-inflammatory states. Inflammatory activation of macrophages has been linked with metabolic reprogramming from oxidative phosphorylation to aerobic glycolysis. In contrast to mouse macrophages, little information is available on the link between metabolism and inflammation in human macrophages. In the current report it is demonstrated that lipopolysaccharide (LPS)-activated human peripheral blood monocyte-derived macrophages (hMDMs) fail to undergo metabolic reprogramming towards glycolysis, but rely on oxidative phosphorylation for the generation of ATP. By contrast, activation by LPS led to an increased extracellular acidification rate (glycolysis) and decreased oxygen consumption rate (oxidative phosphorylation) in mouse bone marrow-derived macrophages (mBMDMs). Cellular respiration after LPS stimulation in human macrophages was unchanged, but was markedly impaired in mouse macrophages. Furthermore, treatment with 2-deoxyglucose, an inhibitor of glycolysis, led to cell death in mouse, but not in human macrophages. Finally, glycolysis appeared to be critical for LPS-mediated induction of the anti-inflammatory cytokine interleukin-10 in both human and mouse macrophages. In summary, these findings indicate that LPS-induced immunometabolism in human macrophages is different to that observed in mouse macrophages.","DOI":"10.1016/j.redox.2019.101147","ISSN":"2213-2317","journalAbbreviation":"Redox Biology","author":[{"family":"Vijayan","given":"Vijith"},{"family":"Pradhan","given":"Pooja"},{"family":"Braud","given":"Laura"},{"family":"Fuchs","given":"Heiko R."},{"family":"Gueler","given":"Faikah"},{"family":"Motterlini","given":"Roberto"},{"family":"Foresti","given":"Roberta"},{"family":"Immenschuh","given":"Stephan"}],"issued":{"date-parts":[["2019",2,20]]}}}],"schema":"https://github.com/citation-style-language/schema/raw/master/csl-citation.json"} </w:instrText>
      </w:r>
      <w:r>
        <w:fldChar w:fldCharType="separate"/>
      </w:r>
      <w:r w:rsidR="004B6406" w:rsidRPr="004B6406">
        <w:rPr>
          <w:rFonts w:ascii="Calibri" w:hAnsi="Calibri" w:cs="Calibri"/>
        </w:rPr>
        <w:t>(507)</w:t>
      </w:r>
      <w:r>
        <w:fldChar w:fldCharType="end"/>
      </w:r>
      <w:r>
        <w:t xml:space="preserve">. However, to date, there have been no direct investigations of glycolysis within hemocytes or how this process may affect hemocyte </w:t>
      </w:r>
      <w:r>
        <w:lastRenderedPageBreak/>
        <w:t xml:space="preserve">behaviour. In screening the role of metabolism in promoting inflammatory phenotypes in </w:t>
      </w:r>
      <w:r w:rsidRPr="003D7E93">
        <w:rPr>
          <w:i/>
        </w:rPr>
        <w:t>Drosophila</w:t>
      </w:r>
      <w:r>
        <w:t xml:space="preserve"> hemocytes, I demonstrated that increased glycolysis promotes pro-inflammatory gene expression specifically in hemocytes and improves hemocyte recruitment to injury whilst reducing efferocytosis. </w:t>
      </w:r>
    </w:p>
    <w:p w14:paraId="19BCB384" w14:textId="77777777" w:rsidR="00957E52" w:rsidRDefault="00957E52" w:rsidP="00957E52">
      <w:pPr>
        <w:pStyle w:val="Thesisnormal"/>
      </w:pPr>
    </w:p>
    <w:p w14:paraId="773F8A5E" w14:textId="3FC1B28D" w:rsidR="00957E52" w:rsidRPr="00697C34" w:rsidRDefault="00957E52" w:rsidP="00957E52">
      <w:pPr>
        <w:pStyle w:val="Thesisnormal"/>
      </w:pPr>
      <w:r>
        <w:t xml:space="preserve">Evidence that glycolysis may be involved in hemocyte polarisation has been generated from RNAseq data in our laboratory. In embryos which are mutant for </w:t>
      </w:r>
      <w:r w:rsidRPr="000B3424">
        <w:rPr>
          <w:i/>
        </w:rPr>
        <w:t>repo</w:t>
      </w:r>
      <w:r>
        <w:t xml:space="preserve">, there is a higher volume of undigested apoptotic cells which must be cleared by hemocytes </w:t>
      </w:r>
      <w:r>
        <w:fldChar w:fldCharType="begin"/>
      </w:r>
      <w:r w:rsidR="000A209C">
        <w:instrText xml:space="preserve"> ADDIN ZOTERO_ITEM CSL_CITATION {"citationID":"uIvvR3dP","properties":{"formattedCitation":"(448)","plainCitation":"(448)","noteIndex":0},"citationItems":[{"id":85,"uris":["http://zotero.org/users/952979/items/QBBIUJRG"],"uri":["http://zotero.org/users/952979/items/QBBIUJRG"],"itemData":{"id":85,"type":"article-journal","title":"Developmental regulation of glial cell phagocytic function during Drosophila embryogenesis","container-title":"Developmental Biology","page":"255-269","volume":"393","issue":"2","source":"ScienceDirect","abstract":"The proper removal of superfluous neurons through apoptosis and subsequent phagocytosis is essential for normal development of the central nervous system (CNS). During Drosophila embryogenesis, a large number of apoptotic neurons are efficiently engulfed and degraded by phagocytic glia. Here we demonstrate that glial proficiency to phagocytose relies on expression of phagocytic receptors for apoptotic cells, SIMU and DRPR. Moreover, we reveal that the phagocytic ability of embryonic glia is established as part of a developmental program responsible for glial cell fate determination and is not triggered by apoptosis per se. Explicitly, we provide evidence for a critical role of the major regulators of glial identity, gcm and repo, in controlling glial phagocytic function through regulation of SIMU and DRPR specific expression. Taken together, our study uncovers molecular mechanisms essential for establishment of embryonic glia as primary phagocytes during CNS development.","DOI":"10.1016/j.ydbio.2014.07.005","ISSN":"0012-1606","journalAbbreviation":"Developmental Biology","author":[{"family":"Shklyar","given":"Boris"},{"family":"Sellman","given":"Yael"},{"family":"Shklover","given":"Jeny"},{"family":"Mishnaevski","given":"Ketty"},{"family":"Levy-Adam","given":"Flonia"},{"family":"Kurant","given":"Estee"}],"issued":{"date-parts":[["2014",9,15]]}}}],"schema":"https://github.com/citation-style-language/schema/raw/master/csl-citation.json"} </w:instrText>
      </w:r>
      <w:r>
        <w:fldChar w:fldCharType="separate"/>
      </w:r>
      <w:r w:rsidR="003902A3" w:rsidRPr="003902A3">
        <w:rPr>
          <w:rFonts w:ascii="Calibri" w:hAnsi="Calibri"/>
        </w:rPr>
        <w:t>(448)</w:t>
      </w:r>
      <w:r>
        <w:fldChar w:fldCharType="end"/>
      </w:r>
      <w:r>
        <w:t xml:space="preserve">. RNAseq analysis revealed that </w:t>
      </w:r>
      <w:r>
        <w:rPr>
          <w:i/>
        </w:rPr>
        <w:t>pdp</w:t>
      </w:r>
      <w:r>
        <w:t xml:space="preserve"> is significantly downregulated in hemocytes from </w:t>
      </w:r>
      <w:r w:rsidRPr="00FE7370">
        <w:rPr>
          <w:i/>
        </w:rPr>
        <w:t xml:space="preserve">repo </w:t>
      </w:r>
      <w:r>
        <w:t>mutant embryos; additionally, the most enriched downregulated gene cluster were genes associated with glycolysis (d</w:t>
      </w:r>
      <w:r w:rsidRPr="00771702">
        <w:t>ata not published</w:t>
      </w:r>
      <w:r>
        <w:t xml:space="preserve">). I overexpressed </w:t>
      </w:r>
      <w:r w:rsidRPr="00D4179B">
        <w:rPr>
          <w:i/>
        </w:rPr>
        <w:t>pdk</w:t>
      </w:r>
      <w:r>
        <w:t xml:space="preserve"> specifically within hemocytes and found that there was an increase in the numbers of hemocytes responding to injury and a reduction in efferocytosis. Furthermore, I found that </w:t>
      </w:r>
      <w:r>
        <w:rPr>
          <w:i/>
        </w:rPr>
        <w:t>pdk</w:t>
      </w:r>
      <w:r>
        <w:t xml:space="preserve"> expression promoted up-regulation of the pro-inflammatory genes, s</w:t>
      </w:r>
      <w:r w:rsidRPr="00FE7370">
        <w:rPr>
          <w:i/>
        </w:rPr>
        <w:t>ima</w:t>
      </w:r>
      <w:r>
        <w:t xml:space="preserve"> (HIF-1</w:t>
      </w:r>
      <w:r>
        <w:sym w:font="Symbol" w:char="F061"/>
      </w:r>
      <w:r>
        <w:t xml:space="preserve">) and </w:t>
      </w:r>
      <w:r w:rsidRPr="00FE7370">
        <w:rPr>
          <w:i/>
        </w:rPr>
        <w:t xml:space="preserve">eiger </w:t>
      </w:r>
      <w:r>
        <w:t xml:space="preserve">(TNF). These genes are associated with pro-inflammatory macrophages in vertebrates </w:t>
      </w:r>
      <w:r>
        <w:fldChar w:fldCharType="begin"/>
      </w:r>
      <w:r w:rsidR="000A209C">
        <w:instrText xml:space="preserve"> ADDIN ZOTERO_ITEM CSL_CITATION {"citationID":"o3SVCgSm","properties":{"formattedCitation":"(56,125)","plainCitation":"(56,125)","noteIndex":0},"citationItems":[{"id":1305,"uris":["http://zotero.org/users/952979/items/NKAFRXMP"],"uri":["http://zotero.org/users/952979/items/NKAFRXMP"],"itemData":{"id":1305,"type":"article-journal","title":"Monocyte and macrophage heterogeneity","container-title":"Nature Reviews. Immunology","page":"953-964","volume":"5","issue":"12","source":"PubMed","abstract":"Heterogeneity of the macrophage lineage has long been recognized and, in part, is a result of the specialization of tissue macrophages in particular microenvironments. Circulating monocytes give rise to mature macrophages and are also heterogeneous themselves, although the physiological relevance of this is not completely understood. However, as we discuss here, recent studies have shown that monocyte heterogeneity is conserved in humans and mice, allowing dissection of its functional relevance: the different monocyte subsets seem to reflect developmental stages with distinct physiological roles, such as recruitment to inflammatory lesions or entry to normal tissues. These advances in our understanding have implications for the development of therapeutic strategies that are targeted to modify particular subpopulations of monocytes.","DOI":"10.1038/nri1733","ISSN":"1474-1733","note":"PMID: 16322748","journalAbbreviation":"Nat. Rev. Immunol.","language":"eng","author":[{"family":"Gordon","given":"Siamon"},{"family":"Taylor","given":"Philip R."}],"issued":{"date-parts":[["2005",12]]}}},{"id":1371,"uris":["http://zotero.org/users/952979/items/XKME3W3I"],"uri":["http://zotero.org/users/952979/items/XKME3W3I"],"itemData":{"id":1371,"type":"article-journal","title":"Alternative activation of macrophages: mechanism and functions","container-title":"Immunity","page":"593-604","volume":"32","issue":"5","source":"PubMed","abstract":"The concept of an alternative pathway of macrophage activation has stimulated interest in its definition, mechanism, and functional significance in homeostasis and disease. We assess recent research in this field, argue for a restricted definition, and explore pathways by which the T helper 2 (Th2) cell cytokines interleukin-4 (IL-4) and IL-13 mediate their effects on macrophage cell biology, their biosynthesis, and responses to a normal and pathological microenvironment. The stage is now set to gain deeper insights into the role of alternatively activated macrophages in immunobiology.","DOI":"10.1016/j.immuni.2010.05.007","ISSN":"1097-4180","note":"PMID: 20510870","shortTitle":"Alternative activation of macrophages","journalAbbreviation":"Immunity","language":"eng","author":[{"family":"Gordon","given":"Siamon"},{"family":"Martinez","given":"Fernando O."}],"issued":{"date-parts":[["2010",5,28]]}}}],"schema":"https://github.com/citation-style-language/schema/raw/master/csl-citation.json"} </w:instrText>
      </w:r>
      <w:r>
        <w:fldChar w:fldCharType="separate"/>
      </w:r>
      <w:r w:rsidR="004A1963" w:rsidRPr="004A1963">
        <w:rPr>
          <w:rFonts w:ascii="Calibri" w:hAnsi="Calibri"/>
        </w:rPr>
        <w:t>(56,125)</w:t>
      </w:r>
      <w:r>
        <w:fldChar w:fldCharType="end"/>
      </w:r>
      <w:r>
        <w:t xml:space="preserve">. This was the only manipulation in this thesis that was investigated in relation to the regulation of other genes. As there appears to be a number of pro-inflammatory genes being up-regulated together, this suggests that metabolism may have roles in defining hemocyte subtypes, rather than simply being a mechanism for a particular behaviour. As such, this represents a highly interesting target to investigate in relation to the VT enhancer lines. It may be possible that increasing glycolysis could increase the numbers of enhancer positive hemocytes within some of the subpopulations. </w:t>
      </w:r>
      <w:r w:rsidR="00571191">
        <w:t xml:space="preserve">To further investigate the metabolic status of hemocytes, we could utilise seahorse analysis on </w:t>
      </w:r>
      <w:r w:rsidR="00571191">
        <w:rPr>
          <w:i/>
        </w:rPr>
        <w:t>ex vivo</w:t>
      </w:r>
      <w:r w:rsidR="00571191">
        <w:t xml:space="preserve"> hemocytes</w:t>
      </w:r>
      <w:r w:rsidR="00697C34">
        <w:t xml:space="preserve">, a technique commonly utilised in vertebrate metabolism studies </w:t>
      </w:r>
      <w:r w:rsidR="00697C34">
        <w:fldChar w:fldCharType="begin"/>
      </w:r>
      <w:r w:rsidR="004B6406">
        <w:instrText xml:space="preserve"> ADDIN ZOTERO_ITEM CSL_CITATION {"citationID":"3V6vlqPe","properties":{"formattedCitation":"(508)","plainCitation":"(508)","noteIndex":0},"citationItems":[{"id":4758,"uris":["http://zotero.org/users/952979/items/XRB7BB4J"],"uri":["http://zotero.org/users/952979/items/XRB7BB4J"],"itemData":{"id":4758,"type":"article-journal","title":"Rapid Analysis of Glycolytic and Oxidative Substrate Flux of Cancer Cells in a Microplate","container-title":"PLoS ONE","volume":"9","issue":"10","source":"PubMed Central","abstract":"Cancer cells exhibit remarkable alterations in cellular metabolism, particularly in their nutrient substrate preference. We have devised several experimental methods that rapidly analyze the metabolic substrate flux in cancer cells: glycolysis and the oxidation of major fuel substrates glucose, glutamine, and fatty acids. Using the XF Extracellular Flux analyzer, these methods measure, in real-time, the oxygen consumption rate (OCR) and extracellular acidification rate (ECAR) of living cells in a microplate as they respond to substrates and metabolic perturbation agents. In proof-of-principle experiments, we analyzed substrate flux and mitochondrial bioenergetics of two human glioblastoma cell lines, SF188s and SF188f, which were derived from the same parental cell line but proliferate at slow and fast rates, respectively. These analyses led to three interesting observations: 1) both cell lines respired effectively with substantial endogenous substrate respiration; 2) SF188f cells underwent a significant shift from glycolytic to oxidative metabolism, along with a high rate of glutamine oxidation relative to SF188s cells; and 3) the mitochondrial proton leak-linked respiration of SF188f cells increased significantly compared to SF188s cells. It is plausible that the proton leak of SF188f cells may play a role in allowing continuous glutamine-fueled anaplerotic TCA cycle flux by partially uncoupling the TCA cycle from oxidative phosphorylation. Taken together, these rapid, sensitive and high-throughput substrate flux analysis methods introduce highly valuable approaches for developing a greater understanding of genetic and epigenetic pathways that regulate cellular metabolism, and the development of therapies that target cancer metabolism.","URL":"https://www.ncbi.nlm.nih.gov/pmc/articles/PMC4215881/","DOI":"10.1371/journal.pone.0109916","ISSN":"1932-6203","note":"PMID: 25360519\nPMCID: PMC4215881","journalAbbreviation":"PLoS One","author":[{"family":"Pike Winer","given":"Lisa S."},{"family":"Wu","given":"Min"}],"issued":{"date-parts":[["2014",10,31]]},"accessed":{"date-parts":[["2019",4,2]]}}}],"schema":"https://github.com/citation-style-language/schema/raw/master/csl-citation.json"} </w:instrText>
      </w:r>
      <w:r w:rsidR="00697C34">
        <w:fldChar w:fldCharType="separate"/>
      </w:r>
      <w:r w:rsidR="004B6406" w:rsidRPr="004B6406">
        <w:rPr>
          <w:rFonts w:ascii="Calibri" w:hAnsi="Calibri" w:cs="Calibri"/>
        </w:rPr>
        <w:t>(508)</w:t>
      </w:r>
      <w:r w:rsidR="00697C34">
        <w:fldChar w:fldCharType="end"/>
      </w:r>
      <w:r w:rsidR="00571191">
        <w:t xml:space="preserve">. There are currently no </w:t>
      </w:r>
      <w:r w:rsidR="00571191">
        <w:rPr>
          <w:i/>
        </w:rPr>
        <w:t>in vivo</w:t>
      </w:r>
      <w:r w:rsidR="00571191">
        <w:t xml:space="preserve"> reporters </w:t>
      </w:r>
      <w:r w:rsidR="00697C34">
        <w:t xml:space="preserve">available </w:t>
      </w:r>
      <w:r w:rsidR="00571191">
        <w:t>for metabolism</w:t>
      </w:r>
      <w:r w:rsidR="00697C34">
        <w:t xml:space="preserve">, limiting our ability to investigate this further </w:t>
      </w:r>
      <w:r w:rsidR="00697C34">
        <w:rPr>
          <w:i/>
        </w:rPr>
        <w:t>in vivo</w:t>
      </w:r>
      <w:r w:rsidR="00697C34">
        <w:t>. The use of this technology would further enable the examination of metabolism</w:t>
      </w:r>
      <w:r w:rsidR="00FD7B68">
        <w:t xml:space="preserve"> specifically within the hemocyte subpopulations identified in chapter 3. </w:t>
      </w:r>
    </w:p>
    <w:p w14:paraId="5BAC39EC" w14:textId="77777777" w:rsidR="00957E52" w:rsidRDefault="00957E52" w:rsidP="00957E52">
      <w:pPr>
        <w:pStyle w:val="Thesisnormal"/>
      </w:pPr>
    </w:p>
    <w:p w14:paraId="793703A6" w14:textId="26AEC204" w:rsidR="00957E52" w:rsidRDefault="00957E52" w:rsidP="00957E52">
      <w:pPr>
        <w:pStyle w:val="Thesisnormal"/>
      </w:pPr>
      <w:r>
        <w:t xml:space="preserve">The literature has thus far not separated out the individual contributions of different metabolic processes on pro- or anti-inflammatory functions. However, the genetic tractability of </w:t>
      </w:r>
      <w:r w:rsidRPr="006006BA">
        <w:rPr>
          <w:i/>
        </w:rPr>
        <w:t>Drosophila</w:t>
      </w:r>
      <w:r>
        <w:t xml:space="preserve"> makes this an ideal system for studying the contributions of individual genes/proteins to specific functions. I found that </w:t>
      </w:r>
      <w:r>
        <w:rPr>
          <w:i/>
        </w:rPr>
        <w:t>s</w:t>
      </w:r>
      <w:r w:rsidRPr="00810399">
        <w:rPr>
          <w:i/>
        </w:rPr>
        <w:t>dh</w:t>
      </w:r>
      <w:r>
        <w:t xml:space="preserve"> overexpression within hemocytes </w:t>
      </w:r>
      <w:r>
        <w:lastRenderedPageBreak/>
        <w:t>reduced the number of vacuoles within hemocytes (a measure of efferocytosis and anti-inflammatory function). Elevated levels of Sdh have been shown to increase expression of pro-inflammatory cytokines such as IL-1β and it is possible that Sdh is required for processes involved in efferocytosis</w:t>
      </w:r>
      <w:r w:rsidR="006006BA">
        <w:t>,</w:t>
      </w:r>
      <w:r>
        <w:t xml:space="preserve"> but not recruitment to sites of wounding. </w:t>
      </w:r>
    </w:p>
    <w:p w14:paraId="4E93ED3E" w14:textId="77777777" w:rsidR="00957E52" w:rsidRDefault="00957E52" w:rsidP="00957E52">
      <w:pPr>
        <w:pStyle w:val="Thesisnormal"/>
      </w:pPr>
    </w:p>
    <w:p w14:paraId="1C0139C5" w14:textId="77777777" w:rsidR="00957E52" w:rsidRDefault="00957E52" w:rsidP="00957E52">
      <w:pPr>
        <w:pStyle w:val="Heading2"/>
        <w:numPr>
          <w:ilvl w:val="1"/>
          <w:numId w:val="1"/>
        </w:numPr>
        <w:spacing w:line="276" w:lineRule="auto"/>
      </w:pPr>
      <w:bookmarkStart w:id="254" w:name="_Toc4589398"/>
      <w:r>
        <w:t>JAK/STAT signalling limits hemocyte responses to wounding</w:t>
      </w:r>
      <w:bookmarkEnd w:id="254"/>
    </w:p>
    <w:p w14:paraId="7611F0A9" w14:textId="77777777" w:rsidR="00957E52" w:rsidRDefault="00957E52" w:rsidP="00957E52">
      <w:pPr>
        <w:pStyle w:val="Thesisnormal"/>
      </w:pPr>
    </w:p>
    <w:p w14:paraId="294A8925" w14:textId="6046183E" w:rsidR="00957E52" w:rsidRDefault="00957E52" w:rsidP="00957E52">
      <w:pPr>
        <w:pStyle w:val="Thesisnormal"/>
      </w:pPr>
      <w:r>
        <w:t xml:space="preserve">The simpler, less redundant, signalling of JAK/STAT in </w:t>
      </w:r>
      <w:r>
        <w:rPr>
          <w:i/>
        </w:rPr>
        <w:t>Drosophila</w:t>
      </w:r>
      <w:r>
        <w:t xml:space="preserve"> makes this a useful system for investigating this signalling pathway. In vertebrates, JAK/STAT signalling has diverse and complex roles in the immune system and macrophage functions where signalling can promote both pro- and anti-inflammatory macrophage behaviours </w:t>
      </w:r>
      <w:r>
        <w:fldChar w:fldCharType="begin"/>
      </w:r>
      <w:r w:rsidR="000A209C">
        <w:instrText xml:space="preserve"> ADDIN ZOTERO_ITEM CSL_CITATION {"citationID":"h1cdWp9Y","properties":{"formattedCitation":"(381)","plainCitation":"(381)","noteIndex":0},"citationItems":[{"id":1473,"uris":["http://zotero.org/users/952979/items/E66GZE2U"],"uri":["http://zotero.org/users/952979/items/E66GZE2U"],"itemData":{"id":1473,"type":"article-journal","title":"Transcriptional Control of Macrophage Polarization","container-title":"Arteriosclerosis, Thrombosis, and Vascular Biology","page":"1135-1144","volume":"33","issue":"6","source":"atvb.ahajournals.org","abstract":"Macrophages are key regulators of many organ systems, including innate and adaptive immunity, systemic metabolism, hematopoiesis, vasculogenesis, malignancy, and reproduction. The pleiotropic roles of macrophages are mirrored by similarly diverse cellular phenotypes. A simplified schema classifies macrophages as M1, classically activated macrophages, or M2, alternatively activated macrophages. These cells are characterized by their expression of cell surface markers, secreted cytokines and chemokines, and transcription and epigenetic pathways. Transcriptional regulation is central to the differential speciation of macrophages, and several major pathways have been described as essential for subset differentiation. In this review, we discuss the transcriptional regulation of macrophages.","DOI":"10.1161/ATVBAHA.113.301453","ISSN":"1079-5642, 1524-4636","note":"PMID: 23640482","journalAbbreviation":"Arterioscler Thromb Vasc Biol","language":"en","author":[{"family":"Tugal","given":"Derin"},{"family":"Liao","given":"Xudong"},{"family":"Jain","given":"Mukesh K."}],"issued":{"date-parts":[["2013",6,1]]}}}],"schema":"https://github.com/citation-style-language/schema/raw/master/csl-citation.json"} </w:instrText>
      </w:r>
      <w:r>
        <w:fldChar w:fldCharType="separate"/>
      </w:r>
      <w:r w:rsidR="00A53A6B" w:rsidRPr="00A53A6B">
        <w:rPr>
          <w:rFonts w:ascii="Calibri" w:hAnsi="Calibri"/>
        </w:rPr>
        <w:t>(381)</w:t>
      </w:r>
      <w:r>
        <w:fldChar w:fldCharType="end"/>
      </w:r>
      <w:r>
        <w:t xml:space="preserve">. In </w:t>
      </w:r>
      <w:r w:rsidRPr="005D46CF">
        <w:rPr>
          <w:i/>
        </w:rPr>
        <w:t>Drosophila</w:t>
      </w:r>
      <w:r>
        <w:t xml:space="preserve">, JAK/STAT signalling is important in wound responses in larvae </w:t>
      </w:r>
      <w:r>
        <w:fldChar w:fldCharType="begin"/>
      </w:r>
      <w:r w:rsidR="000A209C">
        <w:instrText xml:space="preserve"> ADDIN ZOTERO_ITEM CSL_CITATION {"citationID":"pMTjYBGt","properties":{"formattedCitation":"(249,250)","plainCitation":"(249,250)","noteIndex":0},"citationItems":[{"id":1463,"uris":["http://zotero.org/users/952979/items/KITKEA2I"],"uri":["http://zotero.org/users/952979/items/KITKEA2I"],"itemData":{"id":1463,"type":"article-journal","title":"An innate immune response of blood cells to tumors and tissue damage in Drosophila","container-title":"Disease Models and Mechanisms","page":"144-154","volume":"1","issue":"2-3","source":"dmm.biologists.org","DOI":"10.1242/dmm.000950","ISSN":"1754-8403, 1754-8411","note":"PMID: 19048077","language":"en","author":[{"family":"Pastor-Pareja","given":"José Carlos"},{"family":"Wu","given":"Ming"},{"family":"Xu","given":"Tian"}],"issued":{"date-parts":[["2008",9,1]]}}},{"id":1469,"uris":["http://zotero.org/users/952979/items/57JGAX4E"],"uri":["http://zotero.org/users/952979/items/57JGAX4E"],"itemData":{"id":1469,"type":"article-journal","title":"Signaling role of hemocytes in Drosophila JAK/STAT-dependent response to septic injury","container-title":"Developmental Cell","page":"441-450","volume":"5","issue":"3","source":"PubMed","abstract":"To characterize the features of JAK/STAT signaling in Drosophila immune response, we have identified totA as a gene that is regulated by the JAK/STAT pathway in response to septic injury. We show that septic injury triggers the hemocyte-specific expression of upd3, a gene encoding a novel Upd-like cytokine that is necessary for the JAK/STAT-dependent activation of totA in the Drosophila counterpart of the mammalian liver, the fat body. In addition, we demonstrate that totA activation also requires the NF-KB-like Relish pathway, indicating that fat body cells integrate the activity of NF-KB and JAK/STAT signaling pathways upon immune response. This study reveals that, in addition to the pattern recognition receptor-mediated NF-KB-dependent immune response, Drosophila undergoes a complex systemic response that is mediated by the production of cytokines in blood cells, a process that is similar to the acute phase response in mammals.","ISSN":"1534-5807","note":"PMID: 12967563","journalAbbreviation":"Dev. Cell","language":"eng","author":[{"family":"Agaisse","given":"Hervé"},{"family":"Petersen","given":"Ulla Maja"},{"family":"Boutros","given":"Michael"},{"family":"Mathey-Prevot","given":"Bernard"},{"family":"Perrimon","given":"Norbert"}],"issued":{"date-parts":[["2003",9]]}}}],"schema":"https://github.com/citation-style-language/schema/raw/master/csl-citation.json"} </w:instrText>
      </w:r>
      <w:r>
        <w:fldChar w:fldCharType="separate"/>
      </w:r>
      <w:r w:rsidR="004A1963" w:rsidRPr="004A1963">
        <w:rPr>
          <w:rFonts w:ascii="Calibri" w:hAnsi="Calibri"/>
        </w:rPr>
        <w:t>(249,250)</w:t>
      </w:r>
      <w:r>
        <w:fldChar w:fldCharType="end"/>
      </w:r>
      <w:r>
        <w:t xml:space="preserve"> and in the encapsulation response </w:t>
      </w:r>
      <w:r>
        <w:fldChar w:fldCharType="begin"/>
      </w:r>
      <w:r w:rsidR="000A209C">
        <w:instrText xml:space="preserve"> ADDIN ZOTERO_ITEM CSL_CITATION {"citationID":"gd8s3dtE","properties":{"formattedCitation":"(467,468)","plainCitation":"(467,468)","noteIndex":0},"citationItems":[{"id":1414,"uris":["http://zotero.org/users/952979/items/6KNZKQNJ"],"uri":["http://zotero.org/users/952979/items/6KNZKQNJ"],"itemData":{"id":1414,"type":"article-journal","title":"JAK/STAT signaling in Drosophila muscles controls the cellular immune response against parasitoid infection","container-title":"EMBO reports","page":"1664-1672","volume":"16","issue":"12","source":"PubMed","abstract":"The role of JAK/STAT signaling in the cellular immune response of Drosophila is not well understood. Here, we show that parasitoid wasp infection activates JAK/STAT signaling in somatic muscles of the Drosophila larva, triggered by secretion of the cytokines Upd2 and Upd3 from circulating hemocytes. Deletion of upd2 or upd3, but not the related os (upd1) gene, reduced the cellular immune response, and suppression of the JAK/STAT pathway in muscle cells reduced the encapsulation of wasp eggs and the number of circulating lamellocyte effector cells. These results suggest that JAK/STAT signaling in muscles participates in a systemic immune defense against wasp infection.","DOI":"10.15252/embr.201540277","ISSN":"1469-3178","note":"PMID: 26412855\nPMCID: PMC4687419","journalAbbreviation":"EMBO Rep.","language":"eng","author":[{"family":"Yang","given":"Hairu"},{"family":"Kronhamn","given":"Jesper"},{"family":"Ekström","given":"Jens-Ola"},{"family":"Korkut","given":"Gül Gizem"},{"family":"Hultmark","given":"Dan"}],"issued":{"date-parts":[["2015",12]]}}},{"id":1504,"uris":["http://zotero.org/users/952979/items/H94W4STU"],"uri":["http://zotero.org/users/952979/items/H94W4STU"],"itemData":{"id":1504,"type":"article-journal","title":"Drosophila muscles regulate the immune response against wasp infection via carbohydrate metabolism","container-title":"Scientific Reports","page":"15713","volume":"7","issue":"1","source":"PubMed","abstract":"We recently found that JAK/STAT signaling in skeletal muscles is important for the immune response of Drosophila larvae against wasp infection, but it was not clear how muscles could affect the immune response. Here we show that insulin signaling is required in muscles, but not in fat body or hemocytes, during larval development for an efficient encapsulation response and for the formation of lamellocytes. This effect requires TOR signaling. We show that muscle tissue affects the immune response by acting as a master regulator of carbohydrate metabolism in the infected animal, via JAK/STAT and insulin signaling in the muscles, and that there is indirect positive feedback between JAK/STAT and insulin signaling in the muscles. Specifically, stimulation of JAK/STAT signaling in the muscles can rescue the deficient immune response when insulin signaling is suppressed. Our results shed new light on the interaction between metabolism, immunity, and tissue communication.","DOI":"10.1038/s41598-017-15940-2","ISSN":"2045-2322","note":"PMID: 29146985","journalAbbreviation":"Sci Rep","language":"eng","author":[{"family":"Yang","given":"Hairu"},{"family":"Hultmark","given":"Dan"}],"issued":{"date-parts":[["2017",11,16]]}}}],"schema":"https://github.com/citation-style-language/schema/raw/master/csl-citation.json"} </w:instrText>
      </w:r>
      <w:r>
        <w:fldChar w:fldCharType="separate"/>
      </w:r>
      <w:r w:rsidR="003902A3" w:rsidRPr="003902A3">
        <w:rPr>
          <w:rFonts w:ascii="Calibri" w:hAnsi="Calibri"/>
        </w:rPr>
        <w:t>(467,468)</w:t>
      </w:r>
      <w:r>
        <w:fldChar w:fldCharType="end"/>
      </w:r>
      <w:r>
        <w:t>. However, there have been no direct studies investigating the role of JAK/STAT signalling in the embryonic wound responses.</w:t>
      </w:r>
    </w:p>
    <w:p w14:paraId="2B7C0CC3" w14:textId="77777777" w:rsidR="00957E52" w:rsidRDefault="00957E52" w:rsidP="00957E52">
      <w:pPr>
        <w:pStyle w:val="Thesisnormal"/>
      </w:pPr>
    </w:p>
    <w:p w14:paraId="510250C8" w14:textId="1955E3A1" w:rsidR="00957E52" w:rsidRDefault="00957E52" w:rsidP="00957E52">
      <w:pPr>
        <w:pStyle w:val="Thesisnormal"/>
      </w:pPr>
      <w:r>
        <w:t xml:space="preserve">In this thesis, I presented evidence that functional JAK/STAT signalling is required to constrain or limit hemocyte responses to wounding (chapter 6). Embryos with mutated </w:t>
      </w:r>
      <w:r w:rsidRPr="00591676">
        <w:rPr>
          <w:i/>
        </w:rPr>
        <w:t>Upd</w:t>
      </w:r>
      <w:r>
        <w:t xml:space="preserve"> displayed significantly increased hemocyte responses to injury, which was further supported with hemocyte-specific expression of </w:t>
      </w:r>
      <w:r>
        <w:rPr>
          <w:i/>
        </w:rPr>
        <w:t>Dome</w:t>
      </w:r>
      <w:r w:rsidR="006006BA">
        <w:rPr>
          <w:i/>
        </w:rPr>
        <w:t>,</w:t>
      </w:r>
      <w:r>
        <w:t xml:space="preserve"> which lacked the intracellular region. Furthermore, although we did not find any statistically significant differences, we found that </w:t>
      </w:r>
      <w:r w:rsidRPr="00482239">
        <w:rPr>
          <w:i/>
        </w:rPr>
        <w:t>Dome</w:t>
      </w:r>
      <w:r w:rsidRPr="00482239">
        <w:rPr>
          <w:i/>
          <w:vertAlign w:val="superscript"/>
        </w:rPr>
        <w:t>DTMCYT</w:t>
      </w:r>
      <w:r>
        <w:t xml:space="preserve"> and </w:t>
      </w:r>
      <w:r w:rsidRPr="00482239">
        <w:rPr>
          <w:i/>
        </w:rPr>
        <w:t>Upd</w:t>
      </w:r>
      <w:r w:rsidRPr="00482239">
        <w:rPr>
          <w:i/>
          <w:vertAlign w:val="superscript"/>
        </w:rPr>
        <w:t>OS1A</w:t>
      </w:r>
      <w:r>
        <w:t xml:space="preserve"> demonstrated a decreased number of vacuoles per hemocyte, suggesting that JAK/STAT signalling may impact efferocytosis. Together with data from chapter 4, this shows that I have identified both pro- and anti-inflammatory signalling pathways that are active in </w:t>
      </w:r>
      <w:r w:rsidRPr="00F4303C">
        <w:rPr>
          <w:i/>
        </w:rPr>
        <w:t>Drosophila</w:t>
      </w:r>
      <w:r>
        <w:t xml:space="preserve"> embryonic hemocytes. Further investigation into the impact of JAK/STAT knockdown in hemocytes, such as through assaying gene levels via qPCR, will provide more information as to the correlation between the data presented here and the wider literature.</w:t>
      </w:r>
    </w:p>
    <w:p w14:paraId="60E1EE7B" w14:textId="77777777" w:rsidR="00957E52" w:rsidRDefault="00957E52" w:rsidP="00957E52">
      <w:pPr>
        <w:pStyle w:val="Thesisnormal"/>
      </w:pPr>
    </w:p>
    <w:p w14:paraId="5686DF1E" w14:textId="01162999" w:rsidR="00957E52" w:rsidRPr="00F4303C" w:rsidRDefault="00957E52" w:rsidP="00957E52">
      <w:pPr>
        <w:pStyle w:val="Thesisnormal"/>
      </w:pPr>
      <w:r>
        <w:t xml:space="preserve">There is emerging evidence that JAK/STAT signalling may impact cellular metabolism </w:t>
      </w:r>
      <w:r>
        <w:fldChar w:fldCharType="begin"/>
      </w:r>
      <w:r w:rsidR="004B6406">
        <w:instrText xml:space="preserve"> ADDIN ZOTERO_ITEM CSL_CITATION {"citationID":"kiT1v2zi","properties":{"formattedCitation":"(509)","plainCitation":"(509)","noteIndex":0},"citationItems":[{"id":1737,"uris":["http://zotero.org/users/952979/items/9L2QVPDH"],"uri":["http://zotero.org/users/952979/items/9L2QVPDH"],"itemData":{"id":1737,"type":"article-journal","title":"JAK/STAT - Emerging Players in Metabolism","container-title":"Trends in endocrinology and metabolism: TEM","page":"55-65","volume":"29","issue":"1","source":"PubMed","abstract":"The Janus kinase (JAK)/signal transducer and activator of transcription (STAT) pathway is crucial for transducing signals from a variety of metabolically relevant hormones and cytokines including growth hormone, leptin, erythropoietin, IL4, IL6 and IFNγ. A growing body of evidence suggests that this pathway is dysregulated in the context of obesity and metabolic disease. Recent development of animal models has been instrumental in identifying the role of JAK/STAT signaling in the peripheral metabolic organs including adipose, liver, muscle, pancreas, and the immune system. In this review we summarize current knowledge about the function of JAK/STAT proteins in the regulation of metabolism, and highlight new potential therapeutic targets for the treatment of obesity and diabetes.","DOI":"10.1016/j.tem.2017.11.001","ISSN":"1879-3061","note":"PMID: 29191719","journalAbbreviation":"Trends Endocrinol. Metab.","language":"eng","author":[{"family":"Dodington","given":"David W."},{"family":"Desai","given":"Harsh R."},{"family":"Woo","given":"Minna"}],"issued":{"date-parts":[["2018"]]}}}],"schema":"https://github.com/citation-style-language/schema/raw/master/csl-citation.json"} </w:instrText>
      </w:r>
      <w:r>
        <w:fldChar w:fldCharType="separate"/>
      </w:r>
      <w:r w:rsidR="004B6406" w:rsidRPr="004B6406">
        <w:rPr>
          <w:rFonts w:ascii="Calibri" w:hAnsi="Calibri" w:cs="Calibri"/>
        </w:rPr>
        <w:t>(509)</w:t>
      </w:r>
      <w:r>
        <w:fldChar w:fldCharType="end"/>
      </w:r>
      <w:r>
        <w:t>. For example, during obesity (where glucose is in abundance) there is an expansion of a subpopulation of</w:t>
      </w:r>
      <w:r w:rsidRPr="00BF480C">
        <w:t xml:space="preserve"> </w:t>
      </w:r>
      <w:r>
        <w:t xml:space="preserve">IL-6 receptor-positive NK cells which promote obesity-associated inflammation </w:t>
      </w:r>
      <w:r>
        <w:fldChar w:fldCharType="begin"/>
      </w:r>
      <w:r w:rsidR="004B6406">
        <w:instrText xml:space="preserve"> ADDIN ZOTERO_ITEM CSL_CITATION {"citationID":"qsNBuLSi","properties":{"formattedCitation":"(510)","plainCitation":"(510)","noteIndex":0},"citationItems":[{"id":1736,"uris":["http://zotero.org/users/952979/items/YC3RXLEH"],"uri":["http://zotero.org/users/952979/items/YC3RXLEH"],"itemData":{"id":1736,"type":"article-journal","title":"IL-6/Stat3-Dependent Induction of a Distinct, Obesity-Associated NK Cell Subpopulation Deteriorates Energy and Glucose Homeostasis","container-title":"Cell Metabolism","page":"171-184.e6","volume":"26","issue":"1","source":"PubMed","abstract":"Natural killer (NK) cells contribute to the development of obesity-associated insulin resistance. We demonstrate that in mice obesity promotes expansion of a distinct, interleukin-6 receptor (IL6R)a-expressing NK subpopulation, which also expresses a number of other myeloid lineage genes such as the colony-stimulating factor 1 receptor (Csf1r). Selective ablation of this Csf1r-expressing NK cell population prevents obesity and insulin resistance. Moreover, conditional inactivation of IL6Ra or Stat3 in NK cells limits obesity-associated formation of these myeloid signature NK cells, protecting from obesity, insulin resistance, and obesity-associated inflammation. Also in humans IL6Ra+ NK cells increase in obesity and correlate with markers of systemic low-grade inflammation, and their gene expression profile overlaps with characteristic gene sets of NK cells in obese mice. Collectively, we demonstrate that obesity-associated inflammation and metabolic disturbances depend on interleukin-6/Stat3-dependent formation of a distinct NK population, which may provide a target for the treatment of obesity, metaflammation-associated pathologies, and diabetes.","DOI":"10.1016/j.cmet.2017.05.018","ISSN":"1932-7420","note":"PMID: 28683285","journalAbbreviation":"Cell Metab.","language":"eng","author":[{"family":"Theurich","given":"Sebastian"},{"family":"Tsaousidou","given":"Eva"},{"family":"Hanssen","given":"Ruth"},{"family":"Lempradl","given":"Adelheid M."},{"family":"Mauer","given":"Jan"},{"family":"Timper","given":"Katharina"},{"family":"Schilbach","given":"Katharina"},{"family":"Folz-Donahue","given":"Kat"},{"family":"Heilinger","given":"Christian"},{"family":"Sexl","given":"Veronika"},{"family":"Pospisilik","given":"John Andrew"},{"family":"Wunderlich","given":"F. Thomas"},{"family":"Brüning","given":"Jens C."}],"issued":{"date-parts":[["2017",7,5]]}}}],"schema":"https://github.com/citation-style-language/schema/raw/master/csl-citation.json"} </w:instrText>
      </w:r>
      <w:r>
        <w:fldChar w:fldCharType="separate"/>
      </w:r>
      <w:r w:rsidR="004B6406" w:rsidRPr="004B6406">
        <w:rPr>
          <w:rFonts w:ascii="Calibri" w:hAnsi="Calibri" w:cs="Calibri"/>
        </w:rPr>
        <w:t>(510)</w:t>
      </w:r>
      <w:r>
        <w:fldChar w:fldCharType="end"/>
      </w:r>
      <w:r>
        <w:t>. In a different study, JAK/STAT signalling was shown to p</w:t>
      </w:r>
      <w:r w:rsidRPr="00BF480C">
        <w:t>romote alternative macrophage activation</w:t>
      </w:r>
      <w:r>
        <w:t xml:space="preserve"> which </w:t>
      </w:r>
      <w:r w:rsidRPr="00BF480C">
        <w:t>limit</w:t>
      </w:r>
      <w:r>
        <w:t>ed</w:t>
      </w:r>
      <w:r w:rsidRPr="00BF480C">
        <w:t xml:space="preserve"> obesit</w:t>
      </w:r>
      <w:r>
        <w:t xml:space="preserve">y-associated insulin resistance </w:t>
      </w:r>
      <w:r>
        <w:fldChar w:fldCharType="begin"/>
      </w:r>
      <w:r w:rsidR="004B6406">
        <w:instrText xml:space="preserve"> ADDIN ZOTERO_ITEM CSL_CITATION {"citationID":"pTe1BnI4","properties":{"formattedCitation":"(511)","plainCitation":"(511)","noteIndex":0},"citationItems":[{"id":1262,"uris":["http://zotero.org/users/952979/items/DJVFEPIM"],"uri":["http://zotero.org/users/952979/items/DJVFEPIM"],"itemData":{"id":1262,"type":"article-journal","title":"Interleukin-6 signaling promotes alternative macrophage activation to limit obesity-associated insulin resistance and endotoxemia","container-title":"Nature immunology","page":"423-430","volume":"15","issue":"5","source":"PubMed Central","abstract":"Obesity and insulin resistance are closely associated with the development of low-grade inflammation. Interleukin 6 (IL-6) is linked to obesity-associated inflammation, however its role in this context remains controversial. Here, we show that mice with inactivated Il6ra gene in myeloid cells (Il6raΔmyel) displayed exaggerated deterioration of glucose homeostasis upon diet-induced obesity due to enhanced insulin resistance. Insulin target tissues showed increased inflammation and a shift in macrophage polarization. IL-6 induced IL-4-receptor expression and augmented the response to IL-4 in macrophages in a cell-autonomous manner. Il6raΔmyel mice were resistant to IL-4-mediated alternative macrophage polarization and exhibited increased susceptibility to LPS-induced endotoxemia. These results reveal IL-6 signaling as an important determinant for alternative macrophage-activation and assign IL-6 an unexpected homeostatic role to limit inflammation.","DOI":"10.1038/ni.2865","ISSN":"1529-2908","note":"PMID: 24681566\nPMCID: PMC4161471","journalAbbreviation":"Nat Immunol","author":[{"family":"Mauer","given":"Jan"},{"family":"Chaurasia","given":"Bhagirath"},{"family":"Goldau","given":"Julia"},{"family":"Vogt","given":"Merly C."},{"family":"Ruud","given":"Johan"},{"family":"Nguyen","given":"Khoa D."},{"family":"Theurich","given":"Sebastian"},{"family":"Hausen","given":"A. Christine"},{"family":"Schmitz","given":"Joel"},{"family":"Brönneke","given":"Hella S."},{"family":"Estevez","given":"Emma"},{"family":"Allen","given":"Tamara L."},{"family":"Mesaros","given":"Andrea"},{"family":"Partridge","given":"Linda"},{"family":"Febbraio","given":"Mark A."},{"family":"Chawla","given":"Ajay"},{"family":"Wunderlich","given":"F. Thomas"},{"family":"Brüning","given":"Jens C."}],"issued":{"date-parts":[["2014",5]]}}}],"schema":"https://github.com/citation-style-language/schema/raw/master/csl-citation.json"} </w:instrText>
      </w:r>
      <w:r>
        <w:fldChar w:fldCharType="separate"/>
      </w:r>
      <w:r w:rsidR="004B6406" w:rsidRPr="004B6406">
        <w:rPr>
          <w:rFonts w:ascii="Calibri" w:hAnsi="Calibri" w:cs="Calibri"/>
        </w:rPr>
        <w:t>(511)</w:t>
      </w:r>
      <w:r>
        <w:fldChar w:fldCharType="end"/>
      </w:r>
      <w:r>
        <w:t xml:space="preserve">. </w:t>
      </w:r>
      <w:r>
        <w:lastRenderedPageBreak/>
        <w:t xml:space="preserve">Therefore, it would be interesting to combine our </w:t>
      </w:r>
      <w:r w:rsidRPr="00F4303C">
        <w:rPr>
          <w:i/>
        </w:rPr>
        <w:t>UAS-pdk</w:t>
      </w:r>
      <w:r>
        <w:t xml:space="preserve"> line with either </w:t>
      </w:r>
      <w:r w:rsidRPr="00F4303C">
        <w:rPr>
          <w:i/>
        </w:rPr>
        <w:t>Upd</w:t>
      </w:r>
      <w:r w:rsidRPr="00F4303C">
        <w:rPr>
          <w:i/>
          <w:vertAlign w:val="superscript"/>
        </w:rPr>
        <w:t>OS1A</w:t>
      </w:r>
      <w:r>
        <w:t xml:space="preserve"> or </w:t>
      </w:r>
      <w:r w:rsidRPr="00F4303C">
        <w:rPr>
          <w:i/>
        </w:rPr>
        <w:t>UAS-Dome</w:t>
      </w:r>
      <w:r w:rsidRPr="00F4303C">
        <w:rPr>
          <w:i/>
          <w:vertAlign w:val="superscript"/>
        </w:rPr>
        <w:t>DTMCYT</w:t>
      </w:r>
      <w:r w:rsidRPr="00F4303C">
        <w:rPr>
          <w:i/>
        </w:rPr>
        <w:t xml:space="preserve"> </w:t>
      </w:r>
      <w:r>
        <w:t xml:space="preserve">and investigate hemocyte recruitment to wounds to see if JAK/STAT could impair </w:t>
      </w:r>
      <w:r w:rsidR="00126602">
        <w:t xml:space="preserve">hemocyte </w:t>
      </w:r>
      <w:r w:rsidR="00126602" w:rsidRPr="00126602">
        <w:t>recruitment to wounds</w:t>
      </w:r>
      <w:r>
        <w:t xml:space="preserve">. </w:t>
      </w:r>
    </w:p>
    <w:p w14:paraId="0F2A5419" w14:textId="77777777" w:rsidR="00957E52" w:rsidRDefault="00957E52" w:rsidP="00957E52">
      <w:pPr>
        <w:pStyle w:val="Thesisnormal"/>
      </w:pPr>
    </w:p>
    <w:p w14:paraId="61EE01CA" w14:textId="3536B830" w:rsidR="000A30E7" w:rsidRPr="000A30E7" w:rsidRDefault="00957E52" w:rsidP="000A30E7">
      <w:pPr>
        <w:pStyle w:val="Thesisnormal"/>
      </w:pPr>
      <w:r>
        <w:t xml:space="preserve">As I had previously only identified pro-inflammatory pathways, this data illustrates that </w:t>
      </w:r>
      <w:r>
        <w:rPr>
          <w:i/>
        </w:rPr>
        <w:t>Drosophila</w:t>
      </w:r>
      <w:r>
        <w:t xml:space="preserve"> hemocytes may function as broadly as macrophages (i.e. with both pro- and anti-inflammatory subtypes/subpopulations). The VT57089 subpopulation did not display any differences in terms of hemocyte recruitment to wounds, but did display reduced efferocytosis. This suggests that this subpopulation may be functioning in a slightly anti-inflammatory capacity. Indeed, mammalian homologs of some of the potential genes under control of this enhancer act to reduce inflammatory markers </w:t>
      </w:r>
      <w:r>
        <w:fldChar w:fldCharType="begin"/>
      </w:r>
      <w:r w:rsidR="000A209C">
        <w:instrText xml:space="preserve"> ADDIN ZOTERO_ITEM CSL_CITATION {"citationID":"NIOSAB04","properties":{"formattedCitation":"(353)","plainCitation":"(353)","noteIndex":0},"citationItems":[{"id":1752,"uris":["http://zotero.org/users/952979/items/A5NCU7WZ"],"uri":["http://zotero.org/users/952979/items/A5NCU7WZ"],"itemData":{"id":1752,"type":"article-journal","title":"JAZF1 Inhibits Adipose Tissue Macrophages and Adipose Tissue Inflammation in Diet-Induced Diabetic Mice","container-title":"BioMed Research International","volume":"2018","source":"PubMed Central","abstract":"Background\n Juxtaposed with another zinc finger gene 1 (JAZF1) affects gluconeogenesis, insulin sensitivity, lipid metabolism, and inflammation, but its exact role in chronic inflammation remains unclear. This study aimed to examine JAZF1 overexpression in vivo on adipose tissue macrophages (ATMs).\n\n Methods\n Mouse models of high-fat diet- (HFD-) induced insulin resistance were induced using C57BL/6J and JAZF1-overexpressing (JAZF1-OX) mice. The mice were randomized (8–10/group) to C57BL/6J mice fed regular diet (RD) (NC group), C57BL/6J mice fed HFD (HF group), JAZF1-OX mice fed RD (NJ group), and JAZF1-OX mice fed HFD (HJ group). Adipose tissue was harvested 12 weeks later. ATMs were evaluated by flow cytometry. Inflammatory markers were evaluated by ELISA.\n\n Results\n JAZF1-OX mice had lower blood lipids, blood glucose, body weight, fat weight, and inflammatory markers compared with HF mice (all P &lt; 0.05). JAZF1 overexpression decreased ATM number and secretion of proinflammatory cytokines. JAZF1 overexpression decreased total CD4+ T cells, active T cells, and memory T cells and increased Treg cells. JAZF1 overexpression downregulated IFN-γ and IL-17 levels and upregulated IL-4 levels. JAZF1 overexpression decreased MHCII, CD40, and CD86 in total ATM, CD11c+ ATM, and CD206+ ATM.\n\n Conclusions\n JAZF1 limits adipose tissue inflammation by limiting macrophage populations and restricting their antigen presentation function.","URL":"https://www.ncbi.nlm.nih.gov/pmc/articles/PMC5885486/","DOI":"10.1155/2018/4507659","ISSN":"2314-6133","note":"PMID: 29765984\nPMCID: PMC5885486","journalAbbreviation":"Biomed Res Int","author":[{"family":"Meng","given":"Fanping"},{"family":"Lin","given":"Yao"},{"family":"Yang","given":"Min"},{"family":"Li","given":"Minyan"},{"family":"Yang","given":"Gangyi"},{"family":"Hao","given":"Po"},{"family":"Li","given":"Ling"}],"issued":{"date-parts":[["2018",3,22]]},"accessed":{"date-parts":[["2019",2,19]]}}}],"schema":"https://github.com/citation-style-language/schema/raw/master/csl-citation.json"} </w:instrText>
      </w:r>
      <w:r>
        <w:fldChar w:fldCharType="separate"/>
      </w:r>
      <w:r w:rsidR="00A53A6B" w:rsidRPr="00A53A6B">
        <w:rPr>
          <w:rFonts w:ascii="Calibri" w:hAnsi="Calibri"/>
        </w:rPr>
        <w:t>(353)</w:t>
      </w:r>
      <w:r>
        <w:fldChar w:fldCharType="end"/>
      </w:r>
      <w:r>
        <w:t xml:space="preserve">. Therefore, it would be pertinent to investigate the levels of JAK/STAT in this line, which could be achieved with the </w:t>
      </w:r>
      <w:r w:rsidRPr="009C0B9D">
        <w:rPr>
          <w:i/>
        </w:rPr>
        <w:t>STAT-dsRed</w:t>
      </w:r>
      <w:r>
        <w:t xml:space="preserve"> transgenic reporter used previously. Additionally, it may be possible that JAK/STAT signalling could expand this subpopulation, if this signalling pathway can promote acquisition of subpopulation fate (which could be investigated with the VT transgenic lines that I have created).</w:t>
      </w:r>
      <w:r w:rsidR="00806502">
        <w:t xml:space="preserve"> </w:t>
      </w:r>
      <w:bookmarkStart w:id="255" w:name="_Hlk5217249"/>
      <w:r w:rsidR="000A30E7">
        <w:t>Additionally, i</w:t>
      </w:r>
      <w:r w:rsidR="000A30E7" w:rsidRPr="000A30E7">
        <w:t xml:space="preserve">n the embryo hemocytes are exposed to high levels of apoptotic cells, due to the developing nature of </w:t>
      </w:r>
      <w:r w:rsidR="000A30E7">
        <w:t xml:space="preserve">the </w:t>
      </w:r>
      <w:r w:rsidR="000A30E7" w:rsidRPr="000A30E7">
        <w:t xml:space="preserve">organism at this time </w:t>
      </w:r>
      <w:r w:rsidR="000A30E7" w:rsidRPr="000A30E7">
        <w:fldChar w:fldCharType="begin"/>
      </w:r>
      <w:r w:rsidR="0040335A">
        <w:instrText xml:space="preserve"> ADDIN ZOTERO_ITEM CSL_CITATION {"citationID":"AaCdKMMF","properties":{"formattedCitation":"(494)","plainCitation":"(494)","noteIndex":0},"citationItems":[{"id":1470,"uris":["http://zotero.org/users/952979/items/3Q876ZJ2"],"uri":["http://zotero.org/users/952979/items/3Q876ZJ2"],"itemData":{"id":1470,"type":"article-journal","title":"Programmed cell death during Drosophila embryogenesis","container-title":"Development (Cambridge, England)","page":"29-43","volume":"117","issue":"1","source":"PubMed","abstract":"The deliberate and orderly removal of cells by programmed cell death is a common phenomenon during the development of metazoan animals. We have examined the distribution and ultrastructural appearance of cell deaths that occur during embryogenesis in Drosophila melanogaster. A large number of cells die during embryonic development in Drosophila. These cells display ultrastructural features that resemble apoptosis observed in vertebrate systems, including nuclear condensation, fragmentation and engulfment by macrophages. Programmed cell deaths can be rapidly and reliably visualized in living wild-type and mutant Drosophila embryos using the vital dyes acridine orange or nile blue. Acridine orange appears to selectively stain apoptotic forms of death in these preparations, since cells undergoing necrotic deaths were not significantly labelled. Likewise, toluidine blue staining of fixed tissues resulted in highly specific labelling of apoptotic cells, indicating that apoptosis leads to specific biochemical changes responsible for the selective affinity to these dyes. Cell death begins at stage 11 (approximately 7 hours) of embryogenesis and thereafter becomes widespread, affecting many different tissues and regions of the embryo. Although the distribution of dying cells changes drastically over time, the overall pattern of cell death is highly reproducible for any given developmental stage. Detailed analysis of cell death in the central nervous system of stage 16 embryos (13-16 hours) revealed asymmetries in the exact number and position of dying cells on either side of the midline, suggesting that the decision to die may not be strictly predetermined at this stage. This work provides the basis for further molecular genetic studies on the control and execution of programmed cell death in Drosophila.","ISSN":"0950-1991","note":"PMID: 8223253","journalAbbreviation":"Development","language":"eng","author":[{"family":"Abrams","given":"J. M."},{"family":"White","given":"K."},{"family":"Fessler","given":"L. I."},{"family":"Steller","given":"H."}],"issued":{"date-parts":[["1993",1]]}}}],"schema":"https://github.com/citation-style-language/schema/raw/master/csl-citation.json"} </w:instrText>
      </w:r>
      <w:r w:rsidR="000A30E7" w:rsidRPr="000A30E7">
        <w:fldChar w:fldCharType="separate"/>
      </w:r>
      <w:r w:rsidR="000A30E7" w:rsidRPr="000A30E7">
        <w:t>(494)</w:t>
      </w:r>
      <w:r w:rsidR="000A30E7" w:rsidRPr="000A30E7">
        <w:fldChar w:fldCharType="end"/>
      </w:r>
      <w:r w:rsidR="000A30E7" w:rsidRPr="000A30E7">
        <w:t>. This could potentially provide ques to polarise the hemocytes towards anti-inflammatory, M2-macrophage functions, akin to tissue resident macrophages (which originate primarily from embryonic precursors). This could also introduce difficulties in our attempts to discover an anti-inflammatory population. It is possible that the hemocytes cannot be polarised any further than they currently are within the embryonic environment. This is supported by our observations of improved recruitment to wound</w:t>
      </w:r>
      <w:r w:rsidR="000A30E7">
        <w:t>ing</w:t>
      </w:r>
      <w:r w:rsidR="000A30E7" w:rsidRPr="000A30E7">
        <w:t xml:space="preserve"> but lack of diminished recruitment combined with our observations of reduced efferocytosis but lack of any evidence of increased efferocytosis. </w:t>
      </w:r>
      <w:r w:rsidR="000A30E7">
        <w:t>Therefore, some of the apparently negative date in this thesis (specifically chapter 5) may be the result of an already saturated system.</w:t>
      </w:r>
      <w:r w:rsidR="000A30E7" w:rsidRPr="000A30E7">
        <w:t xml:space="preserve">   </w:t>
      </w:r>
      <w:bookmarkEnd w:id="255"/>
    </w:p>
    <w:p w14:paraId="36C5EC6C" w14:textId="14F4EEBB" w:rsidR="00957E52" w:rsidRDefault="00957E52" w:rsidP="00957E52">
      <w:pPr>
        <w:pStyle w:val="Thesisnormal"/>
      </w:pPr>
    </w:p>
    <w:p w14:paraId="235E0C9A" w14:textId="77777777" w:rsidR="000F5662" w:rsidRDefault="000F5662" w:rsidP="000F5662">
      <w:pPr>
        <w:pStyle w:val="Heading2"/>
        <w:numPr>
          <w:ilvl w:val="1"/>
          <w:numId w:val="1"/>
        </w:numPr>
        <w:spacing w:line="276" w:lineRule="auto"/>
      </w:pPr>
      <w:bookmarkStart w:id="256" w:name="_Toc4589399"/>
      <w:r>
        <w:t>Further work</w:t>
      </w:r>
      <w:bookmarkEnd w:id="256"/>
      <w:r>
        <w:t xml:space="preserve"> </w:t>
      </w:r>
    </w:p>
    <w:p w14:paraId="6A162E22" w14:textId="77777777" w:rsidR="000F5662" w:rsidRDefault="000F5662" w:rsidP="000F5662">
      <w:pPr>
        <w:pStyle w:val="Thesisnormal"/>
      </w:pPr>
    </w:p>
    <w:p w14:paraId="6FF4C569" w14:textId="77777777" w:rsidR="000F5662" w:rsidRDefault="000F5662" w:rsidP="000F5662">
      <w:pPr>
        <w:pStyle w:val="Thesisnormal"/>
      </w:pPr>
      <w:r>
        <w:t xml:space="preserve">This study provides the firm foundation for a range of future experiments, with many new questions arising from this thesis. </w:t>
      </w:r>
    </w:p>
    <w:p w14:paraId="1C463F0A" w14:textId="77777777" w:rsidR="000F5662" w:rsidRDefault="000F5662" w:rsidP="000F5662">
      <w:pPr>
        <w:pStyle w:val="Thesisnormal"/>
      </w:pPr>
    </w:p>
    <w:p w14:paraId="4DED19B4" w14:textId="2086B20E" w:rsidR="000F5662" w:rsidRPr="002820C8" w:rsidRDefault="000F5662" w:rsidP="000F5662">
      <w:pPr>
        <w:pStyle w:val="Thesisnormal"/>
      </w:pPr>
      <w:r>
        <w:lastRenderedPageBreak/>
        <w:t xml:space="preserve">Some immediate experiments, those that were prevented from being included in the thesis due to time, include misexpression of various genes in the background of the VT enhancer labels. There are current ongoing experiments to investigate if </w:t>
      </w:r>
      <w:r>
        <w:rPr>
          <w:i/>
        </w:rPr>
        <w:t>repo</w:t>
      </w:r>
      <w:r>
        <w:t xml:space="preserve">, </w:t>
      </w:r>
      <w:r>
        <w:rPr>
          <w:i/>
        </w:rPr>
        <w:t>H99</w:t>
      </w:r>
      <w:r>
        <w:t xml:space="preserve"> (to alter hemocyte exposure to apoptotic cells), JAK/STAT or </w:t>
      </w:r>
      <w:r>
        <w:rPr>
          <w:i/>
        </w:rPr>
        <w:t>pdk</w:t>
      </w:r>
      <w:r>
        <w:t xml:space="preserve"> (representing metabolism alterations) can alter the numbers of enhancer positive hemocytes. This will reveal the underlying mechanisms controlling these populations. A key question is </w:t>
      </w:r>
      <w:r w:rsidR="006006BA">
        <w:t>whether</w:t>
      </w:r>
      <w:r>
        <w:t xml:space="preserve"> the subpopulations </w:t>
      </w:r>
      <w:r w:rsidR="006006BA">
        <w:t xml:space="preserve">I have identified are </w:t>
      </w:r>
      <w:r>
        <w:t>distinct or overlap</w:t>
      </w:r>
      <w:r w:rsidR="006006BA">
        <w:t>.</w:t>
      </w:r>
      <w:r>
        <w:t xml:space="preserve"> Utilising the transgenic enhancer lines created in this study, future work will answer this question. Moreover, there are a further 7 enhancer lines that were not investigated in depth. It is possible that these will also display functional differences and should be investigated promptly for assays used in this thesis. As discussed in chapter 3, lineage</w:t>
      </w:r>
      <w:r w:rsidR="006006BA">
        <w:t>-</w:t>
      </w:r>
      <w:r>
        <w:t xml:space="preserve">tracing experiments would provide a greater insight into the precise roles of the subpopulations, and may aid in determining if these exist as tissue resident populations. One of the most important, and biggest, remaining questions is in relation to the transcriptional profile of the identified subpopulations. RNA-sequencing experiments could be performed using either laser-capture micro-dissection of single hemocytes from embryos followed by single-cell RNAseq </w:t>
      </w:r>
      <w:r>
        <w:fldChar w:fldCharType="begin"/>
      </w:r>
      <w:r w:rsidR="000A209C">
        <w:instrText xml:space="preserve"> ADDIN ZOTERO_ITEM CSL_CITATION {"citationID":"rilv8Opj","properties":{"formattedCitation":"(358,359)","plainCitation":"(358,359)","noteIndex":0},"citationItems":[{"id":1763,"uris":["http://zotero.org/users/952979/items/9QFFBWBK"],"uri":["http://zotero.org/users/952979/items/9QFFBWBK"],"itemData":{"id":1763,"type":"article-journal","title":"Laser Capture Microdissection of Drosophila Peripheral Neurons","container-title":"Journal of Visualized Experiments : JoVE","issue":"39","source":"PubMed Central","abstract":"The dendritic arborization (da) neurons of the Drosophila peripheral nervous system (PNS) provide an excellent model system in which to investigate the molecular mechanisms underlying class-specific dendrite morphogenesis1,2. To facilitate molecular analyses of class-specific da neuron development, it is vital to obtain these cells in a pure population. Although a range of different cell, and tissue-specific RNA isolation techniques exist for Drosophila cells, including magnetic bead based cell purification3,4, Fluorescent Activated Cell Sorting (FACS)5-8, and RNA binding protein based strategies9, none of these methods can be readily utilized for isolating single or multiple class-specific Drosophila da neurons with a high degree of spatial precision. Laser Capture Microdissection (LCM) has emerged as an extremely powerful tool that can be used to isolate specific cell types from tissue sections with a high degree of spatial resolution and accuracy. RNA obtained from isolated cells can then be used for analyses including qRT-PCR and microarray expression profiling within a given cell type10-16. To date, LCM has not been widely applied in the analysis of Drosophila tissues and cells17,18, including da neurons at the third instar larval stage of development., Here we present our optimized protocol for isolation of Drosophila da neurons using the infrared (IR) class of LCM. This method allows for the capture of single, class-specific or multiple da neurons with high specificity and spatial resolution. Age-matched third instar larvae expressing a UAS-mCD8::GFP19 transgene under the control of either the class IV da neuron specific ppk-GAL420 driver or the pan-da neuron specific 21-7-GAL421 driver were used for these experiments. RNA obtained from the isolated da neurons is of very high quality and can be directly used for downstream applications, including qRT-PCR or microarray analyses. Furthermore, this LCM protocol can be readily adapted to capture other Drosophila cell types a various stages of development dependent upon the cell type specific, GAL4-driven expression pattern of GFP.","URL":"https://www.ncbi.nlm.nih.gov/pmc/articles/PMC3152851/","DOI":"10.3791/2016","ISSN":"1940-087X","note":"PMID: 20502436\nPMCID: PMC3152851","journalAbbreviation":"J Vis Exp","author":[{"family":"Iyer","given":"Eswar Prasad R."},{"family":"Cox","given":"Daniel N."}],"issued":{"date-parts":[["2010",5,24]]},"accessed":{"date-parts":[["2019",2,19]]}}},{"id":1762,"uris":["http://zotero.org/users/952979/items/Y3RUDNE9"],"uri":["http://zotero.org/users/952979/items/Y3RUDNE9"],"itemData":{"id":1762,"type":"article-journal","title":"Single Cell RNA Sequencing of Rare Immune Cell Populations","container-title":"Frontiers in Immunology","volume":"9","source":"PubMed Central","abstract":"Single-cell RNA sequencing (scRNA-Seq) is transforming our ability to characterize cells, particularly rare cells that are often overlooked in bulk population analytical approaches. This has lead to the discovery of new cell types and cellular states that echo the underlying heterogeneity and plasticity in the immune system. Technologies for the capture, sequencing, and bioinformatic analysis of single cells are rapidly improving, and scRNA-Seq is now becoming much more accessible to non-specialized laboratories. Here, we describe our experiences in adopting scRNA-Seq to the study of rare immune cells in their microanatomical niches.","URL":"https://www.ncbi.nlm.nih.gov/pmc/articles/PMC6039576/","DOI":"10.3389/fimmu.2018.01553","ISSN":"1664-3224","note":"PMID: 30022984\nPMCID: PMC6039576","journalAbbreviation":"Front Immunol","author":[{"family":"Nguyen","given":"Akira"},{"family":"Khoo","given":"Weng Hua"},{"family":"Moran","given":"Imogen"},{"family":"Croucher","given":"Peter I."},{"family":"Phan","given":"Tri Giang"}],"issued":{"date-parts":[["2018",7,4]]},"accessed":{"date-parts":[["2019",2,19]]}}}],"schema":"https://github.com/citation-style-language/schema/raw/master/csl-citation.json"} </w:instrText>
      </w:r>
      <w:r>
        <w:fldChar w:fldCharType="separate"/>
      </w:r>
      <w:r w:rsidR="00A53A6B" w:rsidRPr="00A53A6B">
        <w:rPr>
          <w:rFonts w:ascii="Calibri" w:hAnsi="Calibri"/>
        </w:rPr>
        <w:t>(358,359)</w:t>
      </w:r>
      <w:r>
        <w:fldChar w:fldCharType="end"/>
      </w:r>
      <w:r>
        <w:t xml:space="preserve"> or via DamID (</w:t>
      </w:r>
      <w:r>
        <w:rPr>
          <w:rStyle w:val="ilfuvd"/>
        </w:rPr>
        <w:t xml:space="preserve">DNA adenine methyltransferase identification) </w:t>
      </w:r>
      <w:r>
        <w:rPr>
          <w:rStyle w:val="ilfuvd"/>
        </w:rPr>
        <w:fldChar w:fldCharType="begin"/>
      </w:r>
      <w:r w:rsidR="000A209C">
        <w:rPr>
          <w:rStyle w:val="ilfuvd"/>
        </w:rPr>
        <w:instrText xml:space="preserve"> ADDIN ZOTERO_ITEM CSL_CITATION {"citationID":"p0BEi1LJ","properties":{"formattedCitation":"(360,361)","plainCitation":"(360,361)","noteIndex":0},"citationItems":[{"id":1765,"uris":["http://zotero.org/users/952979/items/3F2BCB2Q"],"uri":["http://zotero.org/users/952979/items/3F2BCB2Q"],"itemData":{"id":1765,"type":"article-journal","title":"DamID-seq: Genome-wide Mapping of Protein-DNA Interactions by High Throughput Sequencing of Adenine-methylated DNA Fragments","container-title":"Journal of Visualized Experiments: JoVE","page":"e53620","issue":"107","source":"PubMed","abstract":"The DNA adenine methyltransferase identification (DamID) assay is a powerful method to detect protein-DNA interactions both locally and genome-wide. It is an alternative approach to chromatin immunoprecipitation (ChIP). An expressed fusion protein consisting of the protein of interest and the E. coli DNA adenine methyltransferase can methylate the adenine base in GATC motifs near the sites of protein-DNA interactions. Adenine-methylated DNA fragments can then be specifically amplified and detected. The original DamID assay detects the genomic locations of methylated DNA fragments by hybridization to DNA microarrays, which is limited by the availability of microarrays and the density of predetermined probes. In this paper, we report the detailed protocol of integrating high throughput DNA sequencing into DamID (DamID-seq). The large number of short reads generated from DamID-seq enables detecting and localizing protein-DNA interactions genome-wide with high precision and sensitivity. We have used the DamID-seq assay to study genome-nuclear lamina (NL) interactions in mammalian cells, and have noticed that DamID-seq provides a high resolution and a wide dynamic range in detecting genome-NL interactions. The DamID-seq approach enables probing NL associations within gene structures and allows comparing genome-NL interaction maps with other functional genomic data, such as ChIP-seq and RNA-seq.","DOI":"10.3791/53620","ISSN":"1940-087X","note":"PMID: 26862720\nPMCID: PMC4781701","shortTitle":"DamID-seq","journalAbbreviation":"J Vis Exp","language":"eng","author":[{"family":"Wu","given":"Feinan"},{"family":"Olson","given":"Brennan G."},{"family":"Yao","given":"Jie"}],"issued":{"date-parts":[["2016",1,27]]}}},{"id":1764,"uris":["http://zotero.org/users/952979/items/DYC4YUEL"],"uri":["http://zotero.org/users/952979/items/DYC4YUEL"],"itemData":{"id":1764,"type":"article-journal","title":"Cell-type-specific profiling of protein-DNA interactions without cell isolation using targeted DamID with next-generation sequencing","container-title":"Nature Protocols","page":"1586-1598","volume":"11","issue":"9","source":"PubMed","abstract":"This protocol is an extension to: Nat. Protoc. 2, 1467-1478 (2007); doi:10.1038/nprot.2007.148; published online 7 June 2007The ability to profile transcription and chromatin binding in a cell-type-specific manner is a powerful aid to understanding cell-fate specification and cellular function in multicellular organisms. We recently developed targeted DamID (TaDa) to enable genome-wide, cell-type-specific profiling of DNA- and chromatin-binding proteins in vivo without cell isolation. As a protocol extension, this article describes substantial modifications to an existing protocol, and it offers additional applications. TaDa builds upon DamID, a technique for detecting genome-wide DNA-binding profiles of proteins, by coupling it with the GAL4 system in Drosophila to enable both temporal and spatial resolution. TaDa ensures that Dam-fusion proteins are expressed at very low levels, thus avoiding toxicity and potential artifacts from overexpression. The modifications to the core DamID technique presented here also increase the speed of sample processing and throughput, and adapt the method to next-generation sequencing technology. TaDa is robust, reproducible and highly sensitive. Compared with other methods for cell-type-specific profiling, the technique requires no cell-sorting, cross-linking or antisera, and binding profiles can be generated from as few as 10,000 total induced cells. By profiling the genome-wide binding of RNA polymerase II (Pol II), TaDa can also identify transcribed genes in a cell-type-specific manner. Here we describe a detailed protocol for carrying out TaDa experiments and preparing the material for next-generation sequencing. Although we developed TaDa in Drosophila, it should be easily adapted to other organisms with an inducible expression system. Once transgenic animals are obtained, the entire experimental procedure-from collecting tissue samples to generating sequencing libraries-can be accomplished within 5 d.","DOI":"10.1038/nprot.2016.084","ISSN":"1750-2799","note":"PMID: 27490632","journalAbbreviation":"Nat Protoc","language":"eng","author":[{"family":"Marshall","given":"Owen J."},{"family":"Southall","given":"Tony D."},{"family":"Cheetham","given":"Seth W."},{"family":"Brand","given":"Andrea H."}],"issued":{"date-parts":[["2016"]]}}}],"schema":"https://github.com/citation-style-language/schema/raw/master/csl-citation.json"} </w:instrText>
      </w:r>
      <w:r>
        <w:rPr>
          <w:rStyle w:val="ilfuvd"/>
        </w:rPr>
        <w:fldChar w:fldCharType="separate"/>
      </w:r>
      <w:r w:rsidR="00A53A6B" w:rsidRPr="00A53A6B">
        <w:rPr>
          <w:rFonts w:ascii="Calibri" w:hAnsi="Calibri"/>
        </w:rPr>
        <w:t>(360,361)</w:t>
      </w:r>
      <w:r>
        <w:rPr>
          <w:rStyle w:val="ilfuvd"/>
        </w:rPr>
        <w:fldChar w:fldCharType="end"/>
      </w:r>
      <w:r>
        <w:rPr>
          <w:rStyle w:val="ilfuvd"/>
        </w:rPr>
        <w:t>. This data would reveal potential underlying mechanisms controlling the different subpopulations. A full transcriptional profile would confirm the existence of subpopulations by revealing the full differences between the subpopulations, demonstrating that they are distinct.</w:t>
      </w:r>
    </w:p>
    <w:p w14:paraId="1BFFFBA3" w14:textId="77777777" w:rsidR="000F5662" w:rsidRDefault="000F5662" w:rsidP="000F5662">
      <w:pPr>
        <w:pStyle w:val="Thesisnormal"/>
      </w:pPr>
    </w:p>
    <w:p w14:paraId="46656F9C" w14:textId="77777777" w:rsidR="000F5662" w:rsidRDefault="000F5662" w:rsidP="000F5662">
      <w:pPr>
        <w:pStyle w:val="Thesisnormal"/>
      </w:pPr>
      <w:r>
        <w:t xml:space="preserve">Adult hemocytes are not very well studied. However, as we have shown that enhancer-labelled subpopulations persist into adulthood, this would be interesting to explore further. Assays including immune challenge and wounding could perhaps reveal alterations in hemocyte behaviour during development. It would also be useful to determine if removal of subpopulations of hemocytes can affect organism development. We could, fairly easily, develop tools that utilise the enhancers to drive expression of pro-apoptotic genes, thereby </w:t>
      </w:r>
      <w:r w:rsidRPr="00957E52">
        <w:t xml:space="preserve">removing these labelled hemocyte populations. During development, a subset of hemocytes migrate along the VNC whilst others migrate dorsally and infiltrate the germband. We have preliminary data to suggest that some of our populations align with these migratory patterns. Using these lines, we could investigate the interaction between tissue microenvironment and hemocytes and the effects this may have on hemocyte phenotypes. Indeed, a collaborator </w:t>
      </w:r>
      <w:r w:rsidRPr="00957E52">
        <w:lastRenderedPageBreak/>
        <w:t xml:space="preserve">who investigates germband infiltration by hemocytes is using some of our enhancer line data to partially investigate this question. </w:t>
      </w:r>
    </w:p>
    <w:p w14:paraId="3C7793E1" w14:textId="77777777" w:rsidR="000F5662" w:rsidRPr="00957E52" w:rsidRDefault="000F5662" w:rsidP="000F5662">
      <w:pPr>
        <w:pStyle w:val="Thesisnormal"/>
      </w:pPr>
    </w:p>
    <w:p w14:paraId="52710145" w14:textId="77777777" w:rsidR="000F5662" w:rsidRPr="00957E52" w:rsidRDefault="000F5662" w:rsidP="000F5662">
      <w:pPr>
        <w:pStyle w:val="Thesisnormal"/>
      </w:pPr>
      <w:r w:rsidRPr="00957E52">
        <w:t xml:space="preserve">The various human disease models that exist in Drosophila also represents an enticing system for investigating the roles of our subpopulations, for example there are metabolism disorder models, neurological disorders and many tumour models. </w:t>
      </w:r>
    </w:p>
    <w:p w14:paraId="544A886F" w14:textId="77777777" w:rsidR="000F5662" w:rsidRPr="00957E52" w:rsidRDefault="000F5662" w:rsidP="000F5662">
      <w:pPr>
        <w:pStyle w:val="Thesisnormal"/>
      </w:pPr>
    </w:p>
    <w:p w14:paraId="4A60F865" w14:textId="77777777" w:rsidR="000F5662" w:rsidRDefault="000F5662" w:rsidP="000F5662">
      <w:pPr>
        <w:pStyle w:val="Thesisnormal"/>
      </w:pPr>
      <w:r w:rsidRPr="00957E52">
        <w:t>There are also a range of experiments that need to be conducted to validate some of the assumptions or problems presented throughout the thesis. For example, many of the RNAi fly lines did not appear to have any effect on hemocyte behaviours. To validate the efficiency, or lack of, for these lines, qPCR could be employed. The data presented in the JAK/STAT chapter (chapter 6) is relatively preliminary and is in need of more detail investigation. We have provided limited evidence that this pathway</w:t>
      </w:r>
      <w:r>
        <w:t xml:space="preserve"> is involved in potentially limiting hemocyte responses to injury but do not provide any possibly mechanisms. Tracking hemocytes to wounds would be one experiment to begin investigating this. Furthermore, the use of mutants or misexpression constructs would circumvent the problems we encountered with RNAi and enable more detailed investigation of the individual pathway components. </w:t>
      </w:r>
    </w:p>
    <w:p w14:paraId="05260E04" w14:textId="77777777" w:rsidR="000F5662" w:rsidRDefault="000F5662" w:rsidP="000F5662">
      <w:pPr>
        <w:pStyle w:val="Thesisnormal"/>
      </w:pPr>
    </w:p>
    <w:p w14:paraId="1FF46255" w14:textId="77777777" w:rsidR="000F5662" w:rsidRDefault="000F5662" w:rsidP="000F5662">
      <w:pPr>
        <w:pStyle w:val="Thesisnormal"/>
      </w:pPr>
      <w:r>
        <w:t xml:space="preserve">This is the first study to directly demonstrate a role of glycolysis in hemocyte responses to sites of injury. This is consistent with mammalian literature and represents an area that should be investigated further as a priority. As mitochondrial morphology is related to function of glucose metabolism, imaging labelled mitochondria could represent a relatively quick additional experiment to further investigate our results. </w:t>
      </w:r>
    </w:p>
    <w:p w14:paraId="7D6D172A" w14:textId="77777777" w:rsidR="000F5662" w:rsidRPr="00204768" w:rsidRDefault="000F5662" w:rsidP="000F5662">
      <w:pPr>
        <w:pStyle w:val="Thesisnormal"/>
      </w:pPr>
    </w:p>
    <w:p w14:paraId="620BB99C" w14:textId="77777777" w:rsidR="00957E52" w:rsidRDefault="00957E52" w:rsidP="00957E52">
      <w:pPr>
        <w:pStyle w:val="Heading2"/>
        <w:numPr>
          <w:ilvl w:val="1"/>
          <w:numId w:val="1"/>
        </w:numPr>
        <w:spacing w:line="276" w:lineRule="auto"/>
      </w:pPr>
      <w:bookmarkStart w:id="257" w:name="_Toc4589400"/>
      <w:r>
        <w:t>Conclusion</w:t>
      </w:r>
      <w:bookmarkEnd w:id="257"/>
    </w:p>
    <w:p w14:paraId="76DC6F5C" w14:textId="77777777" w:rsidR="00957E52" w:rsidRDefault="00957E52" w:rsidP="00957E52">
      <w:pPr>
        <w:pStyle w:val="Thesisnormal"/>
      </w:pPr>
    </w:p>
    <w:p w14:paraId="01A90686" w14:textId="77777777" w:rsidR="00957E52" w:rsidRPr="00BD615E" w:rsidRDefault="00957E52" w:rsidP="00957E52">
      <w:pPr>
        <w:pStyle w:val="Thesisnormal"/>
      </w:pPr>
      <w:r>
        <w:t xml:space="preserve">In this thesis, I have investigated multiple avenues to determine if </w:t>
      </w:r>
      <w:r>
        <w:rPr>
          <w:i/>
        </w:rPr>
        <w:t xml:space="preserve">Drosophila </w:t>
      </w:r>
      <w:r>
        <w:t>hemocytes exist as a heterogeneous population. I have developed novel tools to visualise hemocyte subpopulations and shown that these populations persist throughout the life of the fly. Several of the identified populations</w:t>
      </w:r>
      <w:r w:rsidRPr="005258F5">
        <w:t xml:space="preserve"> </w:t>
      </w:r>
      <w:r>
        <w:t xml:space="preserve">(VT17559 &amp; VT62766) display more potent responses to pro-inflammatory wounding, reduced efferocytosis and faster random migration speeds. Moreover, I have provided initial evidence implicating the role of calcium signalling in possibly </w:t>
      </w:r>
      <w:r>
        <w:lastRenderedPageBreak/>
        <w:t xml:space="preserve">controlling the VT62766 subpopulation. I go on to demonstrate that increased glycolysis within hemocytes promotes pro-inflammatory phenotypes and provide data to suggest ROS are important in hemocytes responses to sites of injury. Finally, I show that JAK/STAT signalling appears to constrain or limit hemocyte responses to wounds and possibly function in an anti-inflammatory manner (Fig 6.1). This thesis demonstrates that within </w:t>
      </w:r>
      <w:r>
        <w:rPr>
          <w:i/>
        </w:rPr>
        <w:t>Drosophila</w:t>
      </w:r>
      <w:r>
        <w:t xml:space="preserve">, hemocytes exist as functionally distinct, heterogeneous populations of potentially pro- and anti-inflammatory hemocytes. </w:t>
      </w:r>
    </w:p>
    <w:p w14:paraId="4C6BFDF3" w14:textId="77777777" w:rsidR="00957E52" w:rsidRDefault="00957E52" w:rsidP="00957E52">
      <w:pPr>
        <w:pStyle w:val="Thesisnormal"/>
      </w:pPr>
    </w:p>
    <w:p w14:paraId="65FA20C1" w14:textId="77777777" w:rsidR="00957E52" w:rsidRDefault="00957E52" w:rsidP="00957E52">
      <w:pPr>
        <w:pStyle w:val="Thesisnormal"/>
      </w:pPr>
    </w:p>
    <w:p w14:paraId="47C76A5F" w14:textId="77777777" w:rsidR="00957E52" w:rsidRDefault="00957E52" w:rsidP="00957E52">
      <w:pPr>
        <w:pStyle w:val="Thesisnormal"/>
      </w:pPr>
    </w:p>
    <w:p w14:paraId="2F3DF360" w14:textId="77777777" w:rsidR="00957E52" w:rsidRDefault="00957E52" w:rsidP="00957E52">
      <w:pPr>
        <w:pStyle w:val="Thesisnormal"/>
      </w:pPr>
      <w:r>
        <w:rPr>
          <w:noProof/>
          <w:lang w:eastAsia="en-GB"/>
        </w:rPr>
        <w:lastRenderedPageBreak/>
        <w:drawing>
          <wp:anchor distT="0" distB="0" distL="114300" distR="114300" simplePos="0" relativeHeight="251674624" behindDoc="0" locked="0" layoutInCell="1" allowOverlap="1" wp14:anchorId="03B8F0E3" wp14:editId="68FDD5F5">
            <wp:simplePos x="0" y="0"/>
            <wp:positionH relativeFrom="column">
              <wp:posOffset>523875</wp:posOffset>
            </wp:positionH>
            <wp:positionV relativeFrom="paragraph">
              <wp:posOffset>0</wp:posOffset>
            </wp:positionV>
            <wp:extent cx="4524375" cy="6428979"/>
            <wp:effectExtent l="0" t="0" r="0" b="0"/>
            <wp:wrapTopAndBottom/>
            <wp:docPr id="6" name="Picture 6" descr="D:\Dropbox\PhD\writing\thesis\chapter 6 discussion &amp; conclusion\Final summary 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PhD\writing\thesis\chapter 6 discussion &amp; conclusion\Final summary figur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24375" cy="64289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E862F" w14:textId="77777777" w:rsidR="00957E52" w:rsidRPr="00957E52" w:rsidRDefault="00957E52" w:rsidP="00957E52">
      <w:pPr>
        <w:pStyle w:val="NoSpacing"/>
        <w:rPr>
          <w:b/>
        </w:rPr>
      </w:pPr>
      <w:r w:rsidRPr="00957E52">
        <w:rPr>
          <w:b/>
        </w:rPr>
        <w:t>Figure 6.1. Schematic of the main findings in this thesis.</w:t>
      </w:r>
    </w:p>
    <w:p w14:paraId="205EB0E3" w14:textId="77777777" w:rsidR="00957E52" w:rsidRPr="00BD615E" w:rsidRDefault="00957E52" w:rsidP="00957E52">
      <w:pPr>
        <w:pStyle w:val="NoSpacing"/>
      </w:pPr>
      <w:r w:rsidRPr="00BD615E">
        <w:t>We show</w:t>
      </w:r>
      <w:r>
        <w:t xml:space="preserve"> that</w:t>
      </w:r>
      <w:r>
        <w:rPr>
          <w:i/>
        </w:rPr>
        <w:t xml:space="preserve"> Drosophila </w:t>
      </w:r>
      <w:r>
        <w:t xml:space="preserve">hemocytes exist as a heterogeneous population with different responses to laser-ablated wounding. When glycolysis is increased, or the TCA cycle is disrupted, hemocytes display more potent response to injury. We implicate </w:t>
      </w:r>
      <w:r>
        <w:rPr>
          <w:i/>
        </w:rPr>
        <w:t xml:space="preserve">sima, eiger </w:t>
      </w:r>
      <w:r>
        <w:t xml:space="preserve">and </w:t>
      </w:r>
      <w:r>
        <w:rPr>
          <w:i/>
        </w:rPr>
        <w:t>drosomycin</w:t>
      </w:r>
      <w:r>
        <w:t xml:space="preserve"> as being up-regulated in glycolytic hemocytes. In contrast, reducing ROS and a functional TCA cycle limits the numbers of hemocytes responding to injury. It was not investigated which transcriptional alterations were occurring in this study (red). Additionally, the stimuli that may determine the hemocyte phenotypes were not investigated but may be speculated, based on the literature (red). Investigating enhancer expression, we identified two potential populations of hemocytes based on wounding responses (green). </w:t>
      </w:r>
    </w:p>
    <w:p w14:paraId="251F410B" w14:textId="7124AAAC" w:rsidR="006D2DCE" w:rsidRDefault="006D2DCE" w:rsidP="006D2DCE">
      <w:pPr>
        <w:pStyle w:val="Heading1"/>
      </w:pPr>
      <w:bookmarkStart w:id="258" w:name="_Toc4589401"/>
      <w:r>
        <w:lastRenderedPageBreak/>
        <w:t>Bibliography</w:t>
      </w:r>
      <w:bookmarkEnd w:id="258"/>
    </w:p>
    <w:p w14:paraId="7EF0EBC5" w14:textId="77777777" w:rsidR="00A92BC4" w:rsidRDefault="00A92BC4" w:rsidP="001D1AB8"/>
    <w:p w14:paraId="48DEB24D" w14:textId="77777777" w:rsidR="004B6406" w:rsidRDefault="009C2B02" w:rsidP="004B6406">
      <w:pPr>
        <w:pStyle w:val="Bibliography"/>
      </w:pPr>
      <w:r>
        <w:fldChar w:fldCharType="begin"/>
      </w:r>
      <w:r w:rsidR="00375DE2">
        <w:instrText xml:space="preserve"> ADDIN ZOTERO_BIBL {"uncited":[],"omitted":[],"custom":[]} CSL_BIBLIOGRAPHY </w:instrText>
      </w:r>
      <w:r>
        <w:fldChar w:fldCharType="separate"/>
      </w:r>
      <w:r w:rsidR="004B6406">
        <w:t xml:space="preserve">1. </w:t>
      </w:r>
      <w:r w:rsidR="004B6406">
        <w:tab/>
        <w:t xml:space="preserve">Theml H, Diem H, Haferlach T, Theml H. Color atlas of hematology: practical microscopic and clinical diagnosis. Stuttgart; New York: Thieme; 2004. </w:t>
      </w:r>
    </w:p>
    <w:p w14:paraId="226B1070" w14:textId="77777777" w:rsidR="004B6406" w:rsidRDefault="004B6406" w:rsidP="004B6406">
      <w:pPr>
        <w:pStyle w:val="Bibliography"/>
      </w:pPr>
      <w:r>
        <w:t xml:space="preserve">2. </w:t>
      </w:r>
      <w:r>
        <w:tab/>
        <w:t xml:space="preserve">Hartenstein V. Blood cells and blood cell development in the animal kingdom. Annu Rev Cell Dev Biol. </w:t>
      </w:r>
      <w:proofErr w:type="gramStart"/>
      <w:r>
        <w:t>2006;22:677</w:t>
      </w:r>
      <w:proofErr w:type="gramEnd"/>
      <w:r>
        <w:t xml:space="preserve">–712. </w:t>
      </w:r>
    </w:p>
    <w:p w14:paraId="006251B6" w14:textId="77777777" w:rsidR="004B6406" w:rsidRDefault="004B6406" w:rsidP="004B6406">
      <w:pPr>
        <w:pStyle w:val="Bibliography"/>
      </w:pPr>
      <w:r>
        <w:t xml:space="preserve">3. </w:t>
      </w:r>
      <w:r>
        <w:tab/>
        <w:t xml:space="preserve">Fossett N, Schulz RA. Functional conservation of hematopoietic factors in Drosophila and vertebrates. Differentiation. 2001 Dec;69(2–3):83–90. </w:t>
      </w:r>
    </w:p>
    <w:p w14:paraId="56E56F5C" w14:textId="77777777" w:rsidR="004B6406" w:rsidRDefault="004B6406" w:rsidP="004B6406">
      <w:pPr>
        <w:pStyle w:val="Bibliography"/>
      </w:pPr>
      <w:r>
        <w:t xml:space="preserve">4. </w:t>
      </w:r>
      <w:r>
        <w:tab/>
        <w:t xml:space="preserve">Ciesla B. Hematology in practice. Philadelphia: F.A. Davis Co.; 2007. </w:t>
      </w:r>
    </w:p>
    <w:p w14:paraId="3AEDF7C3" w14:textId="77777777" w:rsidR="004B6406" w:rsidRDefault="004B6406" w:rsidP="004B6406">
      <w:pPr>
        <w:pStyle w:val="Bibliography"/>
      </w:pPr>
      <w:r>
        <w:t xml:space="preserve">5. </w:t>
      </w:r>
      <w:r>
        <w:tab/>
        <w:t xml:space="preserve">van Furth R, Cohn ZA. THE ORIGIN AND KINETICS OF MONONUCLEAR PHAGOCYTES. J Exp Med. 1968 Sep 1;128(3):415–35. </w:t>
      </w:r>
    </w:p>
    <w:p w14:paraId="5646C5CF" w14:textId="77777777" w:rsidR="004B6406" w:rsidRDefault="004B6406" w:rsidP="004B6406">
      <w:pPr>
        <w:pStyle w:val="Bibliography"/>
      </w:pPr>
      <w:r>
        <w:t xml:space="preserve">6. </w:t>
      </w:r>
      <w:r>
        <w:tab/>
        <w:t xml:space="preserve">Sawyer RT, Strausbauch PH, Volkman A. Resident macrophage proliferation in mice depleted of blood monocytes by strontium-89. Lab Invest. 1982 Feb;46(2):165–70. </w:t>
      </w:r>
    </w:p>
    <w:p w14:paraId="741F8B76" w14:textId="77777777" w:rsidR="004B6406" w:rsidRDefault="004B6406" w:rsidP="004B6406">
      <w:pPr>
        <w:pStyle w:val="Bibliography"/>
      </w:pPr>
      <w:r>
        <w:t xml:space="preserve">7. </w:t>
      </w:r>
      <w:r>
        <w:tab/>
        <w:t xml:space="preserve">Volkman A, Chang NC, Strausbauch PH, Morahan PS. Differential effects of chronic monocyte depletion on macrophage populations. Lab Invest. 1983 Sep;49(3):291–8. </w:t>
      </w:r>
    </w:p>
    <w:p w14:paraId="793611F8" w14:textId="77777777" w:rsidR="004B6406" w:rsidRDefault="004B6406" w:rsidP="004B6406">
      <w:pPr>
        <w:pStyle w:val="Bibliography"/>
      </w:pPr>
      <w:r>
        <w:t xml:space="preserve">8. </w:t>
      </w:r>
      <w:r>
        <w:tab/>
        <w:t xml:space="preserve">Ginhoux F, Schultze JL, Murray PJ, Ochando J, Biswas SK. New insights into the multidimensional concept of macrophage ontogeny, activation and function. Nat Immunol. 2016 Jan;17(1):34–40. </w:t>
      </w:r>
    </w:p>
    <w:p w14:paraId="2A5C4AB6" w14:textId="77777777" w:rsidR="004B6406" w:rsidRDefault="004B6406" w:rsidP="004B6406">
      <w:pPr>
        <w:pStyle w:val="Bibliography"/>
      </w:pPr>
      <w:r>
        <w:t xml:space="preserve">9. </w:t>
      </w:r>
      <w:r>
        <w:tab/>
        <w:t xml:space="preserve">Gomez Perdiguero E, Klapproth K, Schulz C, Busch K, Azzoni E, Crozet L, et al. Tissue-resident macrophages originate from yolk-sac-derived erythro-myeloid progenitors. Nature. 2015 Feb 26;518(7540):547–51. </w:t>
      </w:r>
    </w:p>
    <w:p w14:paraId="31AAE616" w14:textId="77777777" w:rsidR="004B6406" w:rsidRDefault="004B6406" w:rsidP="004B6406">
      <w:pPr>
        <w:pStyle w:val="Bibliography"/>
      </w:pPr>
      <w:r>
        <w:t xml:space="preserve">10. </w:t>
      </w:r>
      <w:r>
        <w:tab/>
        <w:t xml:space="preserve">Yona S, Kim K-W, Wolf Y, Mildner A, Varol D, Breker M, et al. Fate mapping reveals origins and dynamics of monocytes and tissue macrophages under homeostasis. Immunity. 2013 Jan 24;38(1):79–91. </w:t>
      </w:r>
    </w:p>
    <w:p w14:paraId="044995CA" w14:textId="77777777" w:rsidR="004B6406" w:rsidRDefault="004B6406" w:rsidP="004B6406">
      <w:pPr>
        <w:pStyle w:val="Bibliography"/>
      </w:pPr>
      <w:r>
        <w:t xml:space="preserve">11. </w:t>
      </w:r>
      <w:r>
        <w:tab/>
        <w:t xml:space="preserve">Perdiguero EG, Geissmann F. The development and maintenance of resident macrophages. Nat Immunol. 2016 Jan;17(1):2–8. </w:t>
      </w:r>
    </w:p>
    <w:p w14:paraId="160417EA" w14:textId="77777777" w:rsidR="004B6406" w:rsidRDefault="004B6406" w:rsidP="004B6406">
      <w:pPr>
        <w:pStyle w:val="Bibliography"/>
      </w:pPr>
      <w:r>
        <w:t xml:space="preserve">12. </w:t>
      </w:r>
      <w:r>
        <w:tab/>
        <w:t xml:space="preserve">Orkin SH. Embryonic stem cells and transgenic mice in the study of hematopoiesis. Int J Dev Biol. 1998;42(7):927–34. </w:t>
      </w:r>
    </w:p>
    <w:p w14:paraId="361621F5" w14:textId="77777777" w:rsidR="004B6406" w:rsidRDefault="004B6406" w:rsidP="004B6406">
      <w:pPr>
        <w:pStyle w:val="Bibliography"/>
      </w:pPr>
      <w:r>
        <w:t xml:space="preserve">13. </w:t>
      </w:r>
      <w:r>
        <w:tab/>
        <w:t xml:space="preserve">Orkin SH. Diversification of haematopoietic stem cells to specific lineages. Nat Rev Genet. 2000 Oct;1(1):57–64. </w:t>
      </w:r>
    </w:p>
    <w:p w14:paraId="0A218574" w14:textId="77777777" w:rsidR="004B6406" w:rsidRDefault="004B6406" w:rsidP="004B6406">
      <w:pPr>
        <w:pStyle w:val="Bibliography"/>
      </w:pPr>
      <w:r>
        <w:t xml:space="preserve">14. </w:t>
      </w:r>
      <w:r>
        <w:tab/>
        <w:t xml:space="preserve">Metchnikoff E. Uber den Kampf der Zellen gegen Erysipelkokken. Ein Beitrag zur Phagocytenlehre. Archiv für pathologische Anatomie und Physiologie und für klinische Medicin. 1887;(107):209–49. </w:t>
      </w:r>
    </w:p>
    <w:p w14:paraId="430977A0" w14:textId="77777777" w:rsidR="004B6406" w:rsidRDefault="004B6406" w:rsidP="004B6406">
      <w:pPr>
        <w:pStyle w:val="Bibliography"/>
      </w:pPr>
      <w:r>
        <w:t xml:space="preserve">15. </w:t>
      </w:r>
      <w:r>
        <w:tab/>
        <w:t xml:space="preserve">Wynn TA, Chawla A, Pollard JW. Macrophage biology in development, homeostasis and disease. Nature. 2013 Apr 25;496(7446):445–55. </w:t>
      </w:r>
    </w:p>
    <w:p w14:paraId="5D3F0FB6" w14:textId="77777777" w:rsidR="004B6406" w:rsidRDefault="004B6406" w:rsidP="004B6406">
      <w:pPr>
        <w:pStyle w:val="Bibliography"/>
      </w:pPr>
      <w:r>
        <w:lastRenderedPageBreak/>
        <w:t xml:space="preserve">16. </w:t>
      </w:r>
      <w:r>
        <w:tab/>
        <w:t xml:space="preserve">Mills CD. M1 and M2 Macrophages: Oracles of Health and Disease. Crit Rev Immunol. 2012;32(6):463–88. </w:t>
      </w:r>
    </w:p>
    <w:p w14:paraId="574AAA1C" w14:textId="77777777" w:rsidR="004B6406" w:rsidRDefault="004B6406" w:rsidP="004B6406">
      <w:pPr>
        <w:pStyle w:val="Bibliography"/>
      </w:pPr>
      <w:r>
        <w:t xml:space="preserve">17. </w:t>
      </w:r>
      <w:r>
        <w:tab/>
        <w:t>Mills CD. Anatomy of a Discovery: M1 and M2 Macrophages. Front Immunol [Internet]. 2015 May 5 [cited 2015 Nov 2];6. Available from: http://www.ncbi.nlm.nih.gov/pmc/articles/PMC4419847/</w:t>
      </w:r>
    </w:p>
    <w:p w14:paraId="666CCAB6" w14:textId="77777777" w:rsidR="004B6406" w:rsidRDefault="004B6406" w:rsidP="004B6406">
      <w:pPr>
        <w:pStyle w:val="Bibliography"/>
      </w:pPr>
      <w:r>
        <w:t xml:space="preserve">18. </w:t>
      </w:r>
      <w:r>
        <w:tab/>
        <w:t xml:space="preserve">Hibbs JB, Vavrin Z, Taintor RR. L-arginine is required for expression of the activated macrophage effector mechanism causing selective metabolic inhibition in target cells. J Immunol. 1987 Jan 15;138(2):550–65. </w:t>
      </w:r>
    </w:p>
    <w:p w14:paraId="76A9A073" w14:textId="77777777" w:rsidR="004B6406" w:rsidRDefault="004B6406" w:rsidP="004B6406">
      <w:pPr>
        <w:pStyle w:val="Bibliography"/>
      </w:pPr>
      <w:r>
        <w:t xml:space="preserve">19. </w:t>
      </w:r>
      <w:r>
        <w:tab/>
        <w:t xml:space="preserve">Currie GA, Gyure L, Cifuentes L. Microenvironmental arginine depletion by macrophages in vivo. Br J Cancer. 1979 Jun;39(6):613–20. </w:t>
      </w:r>
    </w:p>
    <w:p w14:paraId="647D510A" w14:textId="77777777" w:rsidR="004B6406" w:rsidRDefault="004B6406" w:rsidP="004B6406">
      <w:pPr>
        <w:pStyle w:val="Bibliography"/>
      </w:pPr>
      <w:r>
        <w:t xml:space="preserve">20. </w:t>
      </w:r>
      <w:r>
        <w:tab/>
        <w:t xml:space="preserve">Albina JE, Mills CD, Henry WL, Caldwell MD. Temporal expression of different pathways of 1-arginine metabolism in healing wounds. J Immunol. 1990 May 15;144(10):3877–80. </w:t>
      </w:r>
    </w:p>
    <w:p w14:paraId="369AD0D0" w14:textId="77777777" w:rsidR="004B6406" w:rsidRDefault="004B6406" w:rsidP="004B6406">
      <w:pPr>
        <w:pStyle w:val="Bibliography"/>
      </w:pPr>
      <w:r>
        <w:t xml:space="preserve">21. </w:t>
      </w:r>
      <w:r>
        <w:tab/>
        <w:t xml:space="preserve">Albina J, Caldwell M, Henry W, Mills C. Regulation of macrophage functions by L-arginine. J Exp Med. 1989 Mar 1;169(3):1021–9. </w:t>
      </w:r>
    </w:p>
    <w:p w14:paraId="6C498FC8" w14:textId="77777777" w:rsidR="004B6406" w:rsidRDefault="004B6406" w:rsidP="004B6406">
      <w:pPr>
        <w:pStyle w:val="Bibliography"/>
      </w:pPr>
      <w:r>
        <w:t xml:space="preserve">22. </w:t>
      </w:r>
      <w:r>
        <w:tab/>
        <w:t xml:space="preserve">Mills CD, Kincaid K, Alt JM, Heilman MJ, Hill AM. M-1/M-2 macrophages and the Th1/Th2 paradigm. J Immunol. 2000 Jun 15;164(12):6166–73. </w:t>
      </w:r>
    </w:p>
    <w:p w14:paraId="5D1DCBCA" w14:textId="77777777" w:rsidR="004B6406" w:rsidRDefault="004B6406" w:rsidP="004B6406">
      <w:pPr>
        <w:pStyle w:val="Bibliography"/>
      </w:pPr>
      <w:r>
        <w:t xml:space="preserve">23. </w:t>
      </w:r>
      <w:r>
        <w:tab/>
        <w:t xml:space="preserve">Chávez-Galán L, Olleros ML, Vesin D, Garcia I. Much More than M1 and M2 Macrophages, </w:t>
      </w:r>
      <w:proofErr w:type="gramStart"/>
      <w:r>
        <w:t>There</w:t>
      </w:r>
      <w:proofErr w:type="gramEnd"/>
      <w:r>
        <w:t xml:space="preserve"> are also CD169+ and TCR+ Macrophages. Front Immunol [Internet]. 2015 May 26 [cited 2015 Nov 2];6. Available from: http://www.ncbi.nlm.nih.gov/pmc/articles/PMC4443739/</w:t>
      </w:r>
    </w:p>
    <w:p w14:paraId="5B1FE005" w14:textId="77777777" w:rsidR="004B6406" w:rsidRDefault="004B6406" w:rsidP="004B6406">
      <w:pPr>
        <w:pStyle w:val="Bibliography"/>
      </w:pPr>
      <w:r>
        <w:t xml:space="preserve">24. </w:t>
      </w:r>
      <w:r>
        <w:tab/>
        <w:t xml:space="preserve">Pollard JW. Trophic macrophages in development and disease. Nat Rev Immunol. 2009 Apr;9(4):259–70. </w:t>
      </w:r>
    </w:p>
    <w:p w14:paraId="70E1FF46" w14:textId="77777777" w:rsidR="004B6406" w:rsidRDefault="004B6406" w:rsidP="004B6406">
      <w:pPr>
        <w:pStyle w:val="Bibliography"/>
      </w:pPr>
      <w:r>
        <w:t xml:space="preserve">25. </w:t>
      </w:r>
      <w:r>
        <w:tab/>
        <w:t>Krzyszczyk P, Schloss R, Palmer A, Berthiaume F. The Role of Macrophages in Acute and Chronic Wound Healing and Interventions to Promote Pro-wound Healing Phenotypes. Front Physiol [Internet]. 2018 May 1;9. Available from: https://www.ncbi.nlm.nih.gov/pmc/articles/PMC5938667/</w:t>
      </w:r>
    </w:p>
    <w:p w14:paraId="290B0A01" w14:textId="77777777" w:rsidR="004B6406" w:rsidRDefault="004B6406" w:rsidP="004B6406">
      <w:pPr>
        <w:pStyle w:val="Bibliography"/>
      </w:pPr>
      <w:r>
        <w:t xml:space="preserve">26. </w:t>
      </w:r>
      <w:r>
        <w:tab/>
        <w:t xml:space="preserve">Martinez FO, Gordon S. The M1 and M2 paradigm of macrophage activation: time for reassessment. F1000Prime Rep. </w:t>
      </w:r>
      <w:proofErr w:type="gramStart"/>
      <w:r>
        <w:t>2014;6:13</w:t>
      </w:r>
      <w:proofErr w:type="gramEnd"/>
      <w:r>
        <w:t xml:space="preserve">. </w:t>
      </w:r>
    </w:p>
    <w:p w14:paraId="278B9FA8" w14:textId="77777777" w:rsidR="004B6406" w:rsidRDefault="004B6406" w:rsidP="004B6406">
      <w:pPr>
        <w:pStyle w:val="Bibliography"/>
      </w:pPr>
      <w:r>
        <w:t xml:space="preserve">27. </w:t>
      </w:r>
      <w:r>
        <w:tab/>
        <w:t xml:space="preserve">Murray PJ. Macrophage Polarization. Annual Review of Physiology. 2017;79(1):541–66. </w:t>
      </w:r>
    </w:p>
    <w:p w14:paraId="3278BAF6" w14:textId="77777777" w:rsidR="004B6406" w:rsidRDefault="004B6406" w:rsidP="004B6406">
      <w:pPr>
        <w:pStyle w:val="Bibliography"/>
      </w:pPr>
      <w:r>
        <w:t xml:space="preserve">28. </w:t>
      </w:r>
      <w:r>
        <w:tab/>
        <w:t xml:space="preserve">Palsson-McDermott EM, Curtis AM, Goel G, Lauterbach MAR, Sheedy FJ, Gleeson LE, et al. Pyruvate kinase M2 regulates Hif-1α activity and IL-1β induction and is a critical determinant of the warburg effect in LPS-activated macrophages. Cell Metab. 2015 Jan 6;21(1):65–80. </w:t>
      </w:r>
    </w:p>
    <w:p w14:paraId="5CA93B6B" w14:textId="77777777" w:rsidR="004B6406" w:rsidRDefault="004B6406" w:rsidP="004B6406">
      <w:pPr>
        <w:pStyle w:val="Bibliography"/>
      </w:pPr>
      <w:r>
        <w:lastRenderedPageBreak/>
        <w:t xml:space="preserve">29. </w:t>
      </w:r>
      <w:r>
        <w:tab/>
        <w:t xml:space="preserve">Nathan CF, Murray HW, Wiebe ME, Rubin BY. Identification of interferon-gamma as the lymphokine that activates human macrophage oxidative metabolism and antimicrobial activity. J Exp Med. 1983 Sep 1;158(3):670–89. </w:t>
      </w:r>
    </w:p>
    <w:p w14:paraId="63595FB8" w14:textId="77777777" w:rsidR="004B6406" w:rsidRDefault="004B6406" w:rsidP="004B6406">
      <w:pPr>
        <w:pStyle w:val="Bibliography"/>
      </w:pPr>
      <w:r>
        <w:t xml:space="preserve">30. </w:t>
      </w:r>
      <w:r>
        <w:tab/>
        <w:t xml:space="preserve">O’Neill LAJ, Kishton RJ, Rathmell J. A guide to immunometabolism for immunologists. Nat Rev Immunol. 2016;16(9):553–65. </w:t>
      </w:r>
    </w:p>
    <w:p w14:paraId="76BA0C9A" w14:textId="77777777" w:rsidR="004B6406" w:rsidRDefault="004B6406" w:rsidP="004B6406">
      <w:pPr>
        <w:pStyle w:val="Bibliography"/>
      </w:pPr>
      <w:r>
        <w:t xml:space="preserve">31. </w:t>
      </w:r>
      <w:r>
        <w:tab/>
        <w:t xml:space="preserve">Kelly B, O’Neill LAJ. Metabolic reprogramming in macrophages and dendritic cells in innate immunity. Cell Res. 2015 Jul;25(7):771–84. </w:t>
      </w:r>
    </w:p>
    <w:p w14:paraId="5A826C53" w14:textId="77777777" w:rsidR="004B6406" w:rsidRDefault="004B6406" w:rsidP="004B6406">
      <w:pPr>
        <w:pStyle w:val="Bibliography"/>
      </w:pPr>
      <w:r>
        <w:t xml:space="preserve">32. </w:t>
      </w:r>
      <w:r>
        <w:tab/>
        <w:t xml:space="preserve">Jha AK, Huang SC-C, Sergushichev A, Lampropoulou V, Ivanova Y, Loginicheva E, et al. Network Integration of Parallel Metabolic and Transcriptional Data Reveals Metabolic Modules that Regulate Macrophage Polarization. Immunity. 2015 Mar 17;42(3):419–30. </w:t>
      </w:r>
    </w:p>
    <w:p w14:paraId="58829A12" w14:textId="77777777" w:rsidR="004B6406" w:rsidRDefault="004B6406" w:rsidP="004B6406">
      <w:pPr>
        <w:pStyle w:val="Bibliography"/>
      </w:pPr>
      <w:r>
        <w:t xml:space="preserve">33. </w:t>
      </w:r>
      <w:r>
        <w:tab/>
        <w:t xml:space="preserve">Mills EL, Kelly B, O’Neill LAJ. Mitochondria are the powerhouses of immunity. Nat Immunol. 2017 May;18(5):488–98. </w:t>
      </w:r>
    </w:p>
    <w:p w14:paraId="255D904A" w14:textId="77777777" w:rsidR="004B6406" w:rsidRDefault="004B6406" w:rsidP="004B6406">
      <w:pPr>
        <w:pStyle w:val="Bibliography"/>
      </w:pPr>
      <w:r>
        <w:t xml:space="preserve">34. </w:t>
      </w:r>
      <w:r>
        <w:tab/>
        <w:t xml:space="preserve">Mills EL, Kelly B, Logan A, Costa ASH, Varma M, Bryant CE, et al. Succinate Dehydrogenase Supports Metabolic Repurposing of Mitochondria to Drive Inflammatory Macrophages. Cell. 2016 Oct 6;167(2):457-470.e13. </w:t>
      </w:r>
    </w:p>
    <w:p w14:paraId="11752201" w14:textId="77777777" w:rsidR="004B6406" w:rsidRDefault="004B6406" w:rsidP="004B6406">
      <w:pPr>
        <w:pStyle w:val="Bibliography"/>
      </w:pPr>
      <w:r>
        <w:t xml:space="preserve">35. </w:t>
      </w:r>
      <w:r>
        <w:tab/>
        <w:t xml:space="preserve">Tannahill GM, Curtis AM, Adamik J, Palsson-McDermott EM, McGettrick AF, Goel G, et al. Succinate is an inflammatory signal that induces IL-1β through HIF-1α. Nature. 2013 Apr 11;496(7444):238–42. </w:t>
      </w:r>
    </w:p>
    <w:p w14:paraId="55A63FE7" w14:textId="77777777" w:rsidR="004B6406" w:rsidRDefault="004B6406" w:rsidP="004B6406">
      <w:pPr>
        <w:pStyle w:val="Bibliography"/>
      </w:pPr>
      <w:r>
        <w:t xml:space="preserve">36. </w:t>
      </w:r>
      <w:r>
        <w:tab/>
        <w:t>Wang T, Liu H, Lian G, Zhang S-Y, Wang X, Jiang C. HIF1α-Induced Glycolysis Metabolism Is Essential to the Activation of Inflammatory Macrophages. Mediators Inflamm [Internet]. 2017 [cited 2018 Dec 9];2017. Available from: https://www.ncbi.nlm.nih.gov/pmc/articles/PMC5745720/</w:t>
      </w:r>
    </w:p>
    <w:p w14:paraId="65EE5BF4" w14:textId="77777777" w:rsidR="004B6406" w:rsidRDefault="004B6406" w:rsidP="004B6406">
      <w:pPr>
        <w:pStyle w:val="Bibliography"/>
      </w:pPr>
      <w:r>
        <w:t xml:space="preserve">37. </w:t>
      </w:r>
      <w:r>
        <w:tab/>
        <w:t>Yamashita A, Zhao Y, Matsuura Y, Yamasaki K, Moriguchi-Goto S, Sugita C, et al. Increased Metabolite Levels of Glycolysis and Pentose Phosphate Pathway in Rabbit Atherosclerotic Arteries and Hypoxic Macrophage. PLOS ONE. 2014 Jan 23;9(1</w:t>
      </w:r>
      <w:proofErr w:type="gramStart"/>
      <w:r>
        <w:t>):e</w:t>
      </w:r>
      <w:proofErr w:type="gramEnd"/>
      <w:r>
        <w:t xml:space="preserve">86426. </w:t>
      </w:r>
    </w:p>
    <w:p w14:paraId="044A9415" w14:textId="77777777" w:rsidR="004B6406" w:rsidRDefault="004B6406" w:rsidP="004B6406">
      <w:pPr>
        <w:pStyle w:val="Bibliography"/>
      </w:pPr>
      <w:r>
        <w:t xml:space="preserve">38. </w:t>
      </w:r>
      <w:r>
        <w:tab/>
        <w:t xml:space="preserve">Haschemi A, Kosma P, Gille L, Evans CR, Burant CF, Starkl P, et al. The Sedoheptulose Kinase CARKL Directs Macrophage Polarization through Control of Glucose Metabolism. Cell Metab. 2012 Jun 6;15(6):813–26. </w:t>
      </w:r>
    </w:p>
    <w:p w14:paraId="3C1FA772" w14:textId="77777777" w:rsidR="004B6406" w:rsidRDefault="004B6406" w:rsidP="004B6406">
      <w:pPr>
        <w:pStyle w:val="Bibliography"/>
      </w:pPr>
      <w:r>
        <w:t xml:space="preserve">39. </w:t>
      </w:r>
      <w:r>
        <w:tab/>
        <w:t xml:space="preserve">Murray PJ, Wynn TA. Protective and pathogenic functions of macrophage subsets. Nat Rev Immunol. 2011 Nov;11(11):723–37. </w:t>
      </w:r>
    </w:p>
    <w:p w14:paraId="256794A3" w14:textId="77777777" w:rsidR="004B6406" w:rsidRDefault="004B6406" w:rsidP="004B6406">
      <w:pPr>
        <w:pStyle w:val="Bibliography"/>
      </w:pPr>
      <w:r>
        <w:t xml:space="preserve">40. </w:t>
      </w:r>
      <w:r>
        <w:tab/>
        <w:t xml:space="preserve">Wynn TA, Barron L. Macrophages: Master Regulators of Inflammation and Fibrosis. Semin Liver Dis. 2010 Aug;30(3):245–57. </w:t>
      </w:r>
    </w:p>
    <w:p w14:paraId="11BDEAFD" w14:textId="77777777" w:rsidR="004B6406" w:rsidRDefault="004B6406" w:rsidP="004B6406">
      <w:pPr>
        <w:pStyle w:val="Bibliography"/>
      </w:pPr>
      <w:r>
        <w:t xml:space="preserve">41. </w:t>
      </w:r>
      <w:r>
        <w:tab/>
        <w:t xml:space="preserve">Cucak H, Grunnet LG, Rosendahl A. Accumulation of M1-like macrophages in type 2 diabetic islets is followed by a systemic shift in macrophage polarization. Journal of Leukocyte Biology. 2014;95(1):149–60. </w:t>
      </w:r>
    </w:p>
    <w:p w14:paraId="3DECA11C" w14:textId="77777777" w:rsidR="004B6406" w:rsidRDefault="004B6406" w:rsidP="004B6406">
      <w:pPr>
        <w:pStyle w:val="Bibliography"/>
      </w:pPr>
      <w:r>
        <w:lastRenderedPageBreak/>
        <w:t xml:space="preserve">42. </w:t>
      </w:r>
      <w:r>
        <w:tab/>
        <w:t xml:space="preserve">Eguchi K, Manabe I, Oishi-Tanaka Y, Ohsugi M, Kono N, Ogata F, et al. Saturated Fatty Acid and TLR Signaling Link β Cell Dysfunction and Islet Inflammation. Cell Metabolism. 2012 Apr 4;15(4):518–33. </w:t>
      </w:r>
    </w:p>
    <w:p w14:paraId="39ED87AA" w14:textId="77777777" w:rsidR="004B6406" w:rsidRDefault="004B6406" w:rsidP="004B6406">
      <w:pPr>
        <w:pStyle w:val="Bibliography"/>
      </w:pPr>
      <w:r>
        <w:t xml:space="preserve">43. </w:t>
      </w:r>
      <w:r>
        <w:tab/>
        <w:t xml:space="preserve">Bae Yun Soo, Lee Jee Hyun, Choi Soo Ho, Kim Sunah, Almazan Felicidad, Witztum Joseph L., et al. Macrophages Generate Reactive Oxygen Species in Response to Minimally Oxidized Low-Density Lipoprotein. Circulation Research. 2009 Jan 30;104(2):210–8. </w:t>
      </w:r>
    </w:p>
    <w:p w14:paraId="687A4C16" w14:textId="77777777" w:rsidR="004B6406" w:rsidRDefault="004B6406" w:rsidP="004B6406">
      <w:pPr>
        <w:pStyle w:val="Bibliography"/>
      </w:pPr>
      <w:r>
        <w:t xml:space="preserve">44. </w:t>
      </w:r>
      <w:r>
        <w:tab/>
        <w:t xml:space="preserve">Duewell P, Kono H, Rayner KJ, Sirois CM, Vladimer G, Bauernfeind FG, et al. NLRP3 inflammasomes are required for atherogenesis and activated by cholesterol crystals. Nature. 2010 Jul;464(7293):1357–61. </w:t>
      </w:r>
    </w:p>
    <w:p w14:paraId="36C5E533" w14:textId="77777777" w:rsidR="004B6406" w:rsidRDefault="004B6406" w:rsidP="004B6406">
      <w:pPr>
        <w:pStyle w:val="Bibliography"/>
      </w:pPr>
      <w:r>
        <w:t xml:space="preserve">45. </w:t>
      </w:r>
      <w:r>
        <w:tab/>
        <w:t>de Gaetano M, Crean D, Barry M, Belton O. M1- and M2-Type Macrophage Responses Are Predictive of Adverse Outcomes in Human Atherosclerosis. Front Immunol [Internet]. 2016 [cited 2019 Jan 16];7. Available from: http://www.frontiersin.org/articles/10.3389/fimmu.2016.00275/full</w:t>
      </w:r>
    </w:p>
    <w:p w14:paraId="60F69D02" w14:textId="77777777" w:rsidR="004B6406" w:rsidRDefault="004B6406" w:rsidP="004B6406">
      <w:pPr>
        <w:pStyle w:val="Bibliography"/>
      </w:pPr>
      <w:r>
        <w:t xml:space="preserve">46. </w:t>
      </w:r>
      <w:r>
        <w:tab/>
        <w:t xml:space="preserve">Huang Z, Luo Q, Guo Y, Chen J, Xiong G, Peng Y, et al. Mycobacterium </w:t>
      </w:r>
      <w:proofErr w:type="gramStart"/>
      <w:r>
        <w:t>tuberculosis</w:t>
      </w:r>
      <w:proofErr w:type="gramEnd"/>
      <w:r>
        <w:t>-Induced Polarization of Human Macrophage Orchestrates the Formation and Development of Tuberculous Granulomas In Vitro. PLoS ONE. 2015;10(6</w:t>
      </w:r>
      <w:proofErr w:type="gramStart"/>
      <w:r>
        <w:t>):e</w:t>
      </w:r>
      <w:proofErr w:type="gramEnd"/>
      <w:r>
        <w:t xml:space="preserve">0129744. </w:t>
      </w:r>
    </w:p>
    <w:p w14:paraId="6FF23A81" w14:textId="77777777" w:rsidR="004B6406" w:rsidRDefault="004B6406" w:rsidP="004B6406">
      <w:pPr>
        <w:pStyle w:val="Bibliography"/>
      </w:pPr>
      <w:r>
        <w:t xml:space="preserve">47. </w:t>
      </w:r>
      <w:r>
        <w:tab/>
        <w:t xml:space="preserve">Marino S, Cilfone NA, Mattila JT, Linderman JJ, Flynn JL, Kirschner DE. Macrophage polarization drives granuloma outcome during Mycobacterium tuberculosis infection. Infect Immun. 2015 Jan;83(1):324–38. </w:t>
      </w:r>
    </w:p>
    <w:p w14:paraId="3ABB4C77" w14:textId="77777777" w:rsidR="004B6406" w:rsidRDefault="004B6406" w:rsidP="004B6406">
      <w:pPr>
        <w:pStyle w:val="Bibliography"/>
      </w:pPr>
      <w:r>
        <w:t xml:space="preserve">48. </w:t>
      </w:r>
      <w:r>
        <w:tab/>
        <w:t xml:space="preserve">Burdo TH, Walker J, Williams KC. Macrophage Polarization in AIDS: Dynamic Interface between Anti-Viral and Anti-Inflammatory Macrophages during Acute and Chronic Infection. J Clin Cell Immunol. 2015 Jun;6(3). </w:t>
      </w:r>
    </w:p>
    <w:p w14:paraId="3E7156C2" w14:textId="77777777" w:rsidR="004B6406" w:rsidRDefault="004B6406" w:rsidP="004B6406">
      <w:pPr>
        <w:pStyle w:val="Bibliography"/>
      </w:pPr>
      <w:r>
        <w:t xml:space="preserve">49. </w:t>
      </w:r>
      <w:r>
        <w:tab/>
        <w:t xml:space="preserve">Okabe Y, Medzhitov R. Tissue biology perspective on macrophages. Nat Immunol. 2016 Jan;17(1):9–17. </w:t>
      </w:r>
    </w:p>
    <w:p w14:paraId="1D1A2F0A" w14:textId="77777777" w:rsidR="004B6406" w:rsidRDefault="004B6406" w:rsidP="004B6406">
      <w:pPr>
        <w:pStyle w:val="Bibliography"/>
      </w:pPr>
      <w:r>
        <w:t xml:space="preserve">50. </w:t>
      </w:r>
      <w:r>
        <w:tab/>
        <w:t xml:space="preserve">Sica A, Mantovani A. Macrophage plasticity and polarization: in vivo veritas. J Clin Invest. 2012 Mar;122(3):787–95. </w:t>
      </w:r>
    </w:p>
    <w:p w14:paraId="108B4EF4" w14:textId="77777777" w:rsidR="004B6406" w:rsidRDefault="004B6406" w:rsidP="004B6406">
      <w:pPr>
        <w:pStyle w:val="Bibliography"/>
      </w:pPr>
      <w:r>
        <w:t xml:space="preserve">51. </w:t>
      </w:r>
      <w:r>
        <w:tab/>
        <w:t xml:space="preserve">Mantovani A, Biswas SK, Galdiero MR, Sica A, Locati M. Macrophage plasticity and polarization in tissue repair and remodelling. J Pathol. 2013 Jan;229(2):176–85. </w:t>
      </w:r>
    </w:p>
    <w:p w14:paraId="4B60A295" w14:textId="77777777" w:rsidR="004B6406" w:rsidRDefault="004B6406" w:rsidP="004B6406">
      <w:pPr>
        <w:pStyle w:val="Bibliography"/>
      </w:pPr>
      <w:r>
        <w:t xml:space="preserve">52. </w:t>
      </w:r>
      <w:r>
        <w:tab/>
        <w:t xml:space="preserve">Davies LC, Jenkins SJ, Allen JE, Taylor PR. Tissue-resident macrophages. Nat Immunol. 2013 Oct;14(10):986–95. </w:t>
      </w:r>
    </w:p>
    <w:p w14:paraId="554A13F5" w14:textId="77777777" w:rsidR="004B6406" w:rsidRDefault="004B6406" w:rsidP="004B6406">
      <w:pPr>
        <w:pStyle w:val="Bibliography"/>
      </w:pPr>
      <w:r>
        <w:t xml:space="preserve">53. </w:t>
      </w:r>
      <w:r>
        <w:tab/>
        <w:t xml:space="preserve">Fadok VA, Bratton DL, Konowal A, Freed PW, Westcott JY, Henson PM. Macrophages that have ingested apoptotic cells in vitro inhibit proinflammatory cytokine production through autocrine/paracrine mechanisms involving TGF-beta, PGE2, and PAF. J Clin Invest. 1998 Feb 15;101(4):890–8. </w:t>
      </w:r>
    </w:p>
    <w:p w14:paraId="15EC7214" w14:textId="77777777" w:rsidR="004B6406" w:rsidRDefault="004B6406" w:rsidP="004B6406">
      <w:pPr>
        <w:pStyle w:val="Bibliography"/>
      </w:pPr>
      <w:r>
        <w:t xml:space="preserve">54. </w:t>
      </w:r>
      <w:r>
        <w:tab/>
        <w:t xml:space="preserve">Zhang S, Weinberg S, DeBerge M, Gainullina A, Schipma M, Kinchen JM, et al. Efferocytosis Fuels Requirements of Fatty Acid Oxidation and the Electron Transport </w:t>
      </w:r>
      <w:r>
        <w:lastRenderedPageBreak/>
        <w:t>Chain to Polarize Macrophages for Tissue Repair. Cell Metabolism [Internet]. 2018 Dec 27 [cited 2019 Jan 8]; Available from: http://www.sciencedirect.com/science/article/pii/S1550413118307411</w:t>
      </w:r>
    </w:p>
    <w:p w14:paraId="2AE1151A" w14:textId="77777777" w:rsidR="004B6406" w:rsidRDefault="004B6406" w:rsidP="004B6406">
      <w:pPr>
        <w:pStyle w:val="Bibliography"/>
      </w:pPr>
      <w:r>
        <w:t xml:space="preserve">55. </w:t>
      </w:r>
      <w:r>
        <w:tab/>
        <w:t xml:space="preserve">Mantovani A, Sica A, Sozzani S, Allavena P, Vecchi A, Locati M. The chemokine system in diverse forms of macrophage activation and polarization. Trends Immunol. 2004 Dec;25(12):677–86. </w:t>
      </w:r>
    </w:p>
    <w:p w14:paraId="17F343E4" w14:textId="77777777" w:rsidR="004B6406" w:rsidRDefault="004B6406" w:rsidP="004B6406">
      <w:pPr>
        <w:pStyle w:val="Bibliography"/>
      </w:pPr>
      <w:r>
        <w:t xml:space="preserve">56. </w:t>
      </w:r>
      <w:r>
        <w:tab/>
        <w:t xml:space="preserve">Gordon S, Martinez FO. Alternative activation of macrophages: mechanism and functions. Immunity. 2010 May 28;32(5):593–604. </w:t>
      </w:r>
    </w:p>
    <w:p w14:paraId="6A803334" w14:textId="77777777" w:rsidR="004B6406" w:rsidRDefault="004B6406" w:rsidP="004B6406">
      <w:pPr>
        <w:pStyle w:val="Bibliography"/>
      </w:pPr>
      <w:r>
        <w:t xml:space="preserve">57. </w:t>
      </w:r>
      <w:r>
        <w:tab/>
        <w:t xml:space="preserve">Pearce EL, Pearce EJ. Metabolic Pathways </w:t>
      </w:r>
      <w:proofErr w:type="gramStart"/>
      <w:r>
        <w:t>In</w:t>
      </w:r>
      <w:proofErr w:type="gramEnd"/>
      <w:r>
        <w:t xml:space="preserve"> Immune Cell Activation And Quiescence. Immunity. 2013 Apr 18;38(4):633–43. </w:t>
      </w:r>
    </w:p>
    <w:p w14:paraId="533946A1" w14:textId="77777777" w:rsidR="004B6406" w:rsidRDefault="004B6406" w:rsidP="004B6406">
      <w:pPr>
        <w:pStyle w:val="Bibliography"/>
      </w:pPr>
      <w:r>
        <w:t xml:space="preserve">58. </w:t>
      </w:r>
      <w:r>
        <w:tab/>
        <w:t xml:space="preserve">Mills EL, O’Neill LA. Reprogramming mitochondrial metabolism in macrophages as an anti-inflammatory signal. Eur J Immunol. 2016 Jan;46(1):13–21. </w:t>
      </w:r>
    </w:p>
    <w:p w14:paraId="5757682D" w14:textId="77777777" w:rsidR="004B6406" w:rsidRDefault="004B6406" w:rsidP="004B6406">
      <w:pPr>
        <w:pStyle w:val="Bibliography"/>
      </w:pPr>
      <w:r>
        <w:t xml:space="preserve">59. </w:t>
      </w:r>
      <w:r>
        <w:tab/>
        <w:t xml:space="preserve">Steinberg GR, Schertzer JD. AMPK promotes macrophage fatty acid oxidative metabolism to mitigate inflammation: implications for diabetes and cardiovascular disease. Immunol Cell Biol. 2014 Apr;92(4):340–5. </w:t>
      </w:r>
    </w:p>
    <w:p w14:paraId="4F447072" w14:textId="77777777" w:rsidR="004B6406" w:rsidRDefault="004B6406" w:rsidP="004B6406">
      <w:pPr>
        <w:pStyle w:val="Bibliography"/>
      </w:pPr>
      <w:r>
        <w:t xml:space="preserve">60. </w:t>
      </w:r>
      <w:r>
        <w:tab/>
        <w:t xml:space="preserve">Sag D, Carling D, Stout RD, Suttles J. AMP-activated protein kinase promotes macrophage polarization to an anti-inflammatory functional phenotype. J Immunol. 2008 Dec 15;181(12):8633–41. </w:t>
      </w:r>
    </w:p>
    <w:p w14:paraId="0F9AA70D" w14:textId="77777777" w:rsidR="004B6406" w:rsidRDefault="004B6406" w:rsidP="004B6406">
      <w:pPr>
        <w:pStyle w:val="Bibliography"/>
      </w:pPr>
      <w:r>
        <w:t xml:space="preserve">61. </w:t>
      </w:r>
      <w:r>
        <w:tab/>
        <w:t xml:space="preserve">Mounier R, Théret M, Arnold L, Cuvellier S, Bultot L, Göransson O, et al. AMPKα1 regulates macrophage skewing at the time of resolution of inflammation during skeletal muscle regeneration. Cell Metab. 2013 Aug 6;18(2):251–64. </w:t>
      </w:r>
    </w:p>
    <w:p w14:paraId="3B0744D6" w14:textId="77777777" w:rsidR="004B6406" w:rsidRDefault="004B6406" w:rsidP="004B6406">
      <w:pPr>
        <w:pStyle w:val="Bibliography"/>
      </w:pPr>
      <w:r>
        <w:t xml:space="preserve">62. </w:t>
      </w:r>
      <w:r>
        <w:tab/>
        <w:t>Jeong HW, Hsu KC, Lee J-W, Ham M, Huh JY, Shin HJ, et al. Berberine suppresses proinflammatory responses through AMPK activation in macrophages. Am J Physiol Endocrinol Metab. 2009 Apr;296(4</w:t>
      </w:r>
      <w:proofErr w:type="gramStart"/>
      <w:r>
        <w:t>):E</w:t>
      </w:r>
      <w:proofErr w:type="gramEnd"/>
      <w:r>
        <w:t xml:space="preserve">955-964. </w:t>
      </w:r>
    </w:p>
    <w:p w14:paraId="20E8988A" w14:textId="77777777" w:rsidR="004B6406" w:rsidRDefault="004B6406" w:rsidP="004B6406">
      <w:pPr>
        <w:pStyle w:val="Bibliography"/>
      </w:pPr>
      <w:r>
        <w:t xml:space="preserve">63. </w:t>
      </w:r>
      <w:r>
        <w:tab/>
        <w:t xml:space="preserve">Anthony RM, Urban JF, Alem F, Hamed HA, Rozo CT, Boucher J-L, et al. Memory TH2 cells induce alternatively activated macrophages to mediate protection against nematode parasites. Nat Med. 2006 Aug;12(8):955–60. </w:t>
      </w:r>
    </w:p>
    <w:p w14:paraId="1630B4F6" w14:textId="77777777" w:rsidR="004B6406" w:rsidRDefault="004B6406" w:rsidP="004B6406">
      <w:pPr>
        <w:pStyle w:val="Bibliography"/>
      </w:pPr>
      <w:r>
        <w:t xml:space="preserve">64. </w:t>
      </w:r>
      <w:r>
        <w:tab/>
        <w:t xml:space="preserve">Barner M, Mohrs M, Brombacher F, Kopf M. Differences between IL-4R alpha-deficient and IL-4-deficient mice reveal a role for IL-13 in the regulation of Th2 responses. Curr Biol. 1998 May 21;8(11):669–72. </w:t>
      </w:r>
    </w:p>
    <w:p w14:paraId="659AF823" w14:textId="77777777" w:rsidR="004B6406" w:rsidRDefault="004B6406" w:rsidP="004B6406">
      <w:pPr>
        <w:pStyle w:val="Bibliography"/>
      </w:pPr>
      <w:r>
        <w:t xml:space="preserve">65. </w:t>
      </w:r>
      <w:r>
        <w:tab/>
        <w:t xml:space="preserve">Chen F, Liu Z, Wu W, Rozo C, Bowdridge S, Millman A, et al. An essential role for TH2-type responses in limiting acute tissue damage during experimental helminth infection. Nat Med. 2012 Jan 15;18(2):260–6. </w:t>
      </w:r>
    </w:p>
    <w:p w14:paraId="052E4E74" w14:textId="77777777" w:rsidR="004B6406" w:rsidRDefault="004B6406" w:rsidP="004B6406">
      <w:pPr>
        <w:pStyle w:val="Bibliography"/>
      </w:pPr>
      <w:r>
        <w:t xml:space="preserve">66. </w:t>
      </w:r>
      <w:r>
        <w:tab/>
        <w:t xml:space="preserve">Ford AQ, Dasgupta P, Mikhailenko I, Smith EMP, Noben-Trauth N, Keegan AD. Adoptive transfer of IL-4Rα+ macrophages </w:t>
      </w:r>
      <w:proofErr w:type="gramStart"/>
      <w:r>
        <w:t>is</w:t>
      </w:r>
      <w:proofErr w:type="gramEnd"/>
      <w:r>
        <w:t xml:space="preserve"> sufficient to enhance eosinophilic inflammation in a mouse model of allergic lung inflammation. BMC Immunol. 2012 Jan </w:t>
      </w:r>
      <w:proofErr w:type="gramStart"/>
      <w:r>
        <w:t>31;13:6</w:t>
      </w:r>
      <w:proofErr w:type="gramEnd"/>
      <w:r>
        <w:t xml:space="preserve">. </w:t>
      </w:r>
    </w:p>
    <w:p w14:paraId="5C8475A8" w14:textId="77777777" w:rsidR="004B6406" w:rsidRDefault="004B6406" w:rsidP="004B6406">
      <w:pPr>
        <w:pStyle w:val="Bibliography"/>
      </w:pPr>
      <w:r>
        <w:lastRenderedPageBreak/>
        <w:t xml:space="preserve">67. </w:t>
      </w:r>
      <w:r>
        <w:tab/>
        <w:t xml:space="preserve">Martinez FO, Gordon S, Locati M, Mantovani A. Transcriptional profiling of the human monocyte-to-macrophage differentiation and polarization: new molecules and patterns of gene expression. J Immunol. 2006 Nov 15;177(10):7303–11. </w:t>
      </w:r>
    </w:p>
    <w:p w14:paraId="60A28CBD" w14:textId="77777777" w:rsidR="004B6406" w:rsidRDefault="004B6406" w:rsidP="004B6406">
      <w:pPr>
        <w:pStyle w:val="Bibliography"/>
      </w:pPr>
      <w:r>
        <w:t xml:space="preserve">68. </w:t>
      </w:r>
      <w:r>
        <w:tab/>
        <w:t xml:space="preserve">Jaguin M, Houlbert N, Fardel O, Lecureur V. Polarization profiles of human M-CSF-generated macrophages and comparison of M1-markers in classically activated macrophages from GM-CSF and M-CSF origin. Cell Immunol. 2013 Jan;281(1):51–61. </w:t>
      </w:r>
    </w:p>
    <w:p w14:paraId="56FE1F47" w14:textId="77777777" w:rsidR="004B6406" w:rsidRDefault="004B6406" w:rsidP="004B6406">
      <w:pPr>
        <w:pStyle w:val="Bibliography"/>
      </w:pPr>
      <w:r>
        <w:t xml:space="preserve">69. </w:t>
      </w:r>
      <w:r>
        <w:tab/>
        <w:t xml:space="preserve">Shapouri-Moghaddam A, Mohammadian S, Vazini H, Taghadosi M, Esmaeili S-A, Mardani F, et al. Macrophage plasticity, polarization, and function in health and disease. J Cell Physiol. 2018 Sep;233(9):6425–40. </w:t>
      </w:r>
    </w:p>
    <w:p w14:paraId="6E02C0DB" w14:textId="77777777" w:rsidR="004B6406" w:rsidRDefault="004B6406" w:rsidP="004B6406">
      <w:pPr>
        <w:pStyle w:val="Bibliography"/>
      </w:pPr>
      <w:r>
        <w:t xml:space="preserve">70. </w:t>
      </w:r>
      <w:r>
        <w:tab/>
        <w:t xml:space="preserve">Chistiakov DA, Bobryshev YV, Nikiforov NG, Elizova NV, Sobenin IA, Orekhov AN. Macrophage phenotypic plasticity in atherosclerosis: The associated features and the peculiarities of the expression of inflammatory genes. Int J Cardiol. 2015 Apr </w:t>
      </w:r>
      <w:proofErr w:type="gramStart"/>
      <w:r>
        <w:t>1;184:436</w:t>
      </w:r>
      <w:proofErr w:type="gramEnd"/>
      <w:r>
        <w:t xml:space="preserve">–45. </w:t>
      </w:r>
    </w:p>
    <w:p w14:paraId="7AAD7822" w14:textId="77777777" w:rsidR="004B6406" w:rsidRDefault="004B6406" w:rsidP="004B6406">
      <w:pPr>
        <w:pStyle w:val="Bibliography"/>
      </w:pPr>
      <w:r>
        <w:t xml:space="preserve">71. </w:t>
      </w:r>
      <w:r>
        <w:tab/>
        <w:t xml:space="preserve">Zizzo G, Hilliard BA, Monestier M, Cohen PL. Efficient clearance of early apoptotic cells by human macrophages requires M2c polarization and MerTK induction. J Immunol. 2012 Oct 1;189(7):3508–20. </w:t>
      </w:r>
    </w:p>
    <w:p w14:paraId="6BE6A3D0" w14:textId="77777777" w:rsidR="004B6406" w:rsidRDefault="004B6406" w:rsidP="004B6406">
      <w:pPr>
        <w:pStyle w:val="Bibliography"/>
      </w:pPr>
      <w:r>
        <w:t xml:space="preserve">72. </w:t>
      </w:r>
      <w:r>
        <w:tab/>
        <w:t xml:space="preserve">Malyshev I, Malyshev Y. Current Concept and Update of the Macrophage Plasticity Concept: Intracellular Mechanisms of Reprogramming and M3 Macrophage “Switch” Phenotype. Biomed Res Int. </w:t>
      </w:r>
      <w:proofErr w:type="gramStart"/>
      <w:r>
        <w:t>2015;2015:341308</w:t>
      </w:r>
      <w:proofErr w:type="gramEnd"/>
      <w:r>
        <w:t xml:space="preserve">. </w:t>
      </w:r>
    </w:p>
    <w:p w14:paraId="0A275F52" w14:textId="77777777" w:rsidR="004B6406" w:rsidRDefault="004B6406" w:rsidP="004B6406">
      <w:pPr>
        <w:pStyle w:val="Bibliography"/>
      </w:pPr>
      <w:r>
        <w:t xml:space="preserve">73. </w:t>
      </w:r>
      <w:r>
        <w:tab/>
        <w:t xml:space="preserve">Kalish S, Lyamina S, Manukhina E, Malyshev Y, Raetskaya A, Malyshev I. M3 Macrophages Stop Division of Tumor Cells In Vitro and Extend Survival of Mice with Ehrlich Ascites Carcinoma. Med Sci Monit Basic Res. 2017 Jan </w:t>
      </w:r>
      <w:proofErr w:type="gramStart"/>
      <w:r>
        <w:t>26;23:8</w:t>
      </w:r>
      <w:proofErr w:type="gramEnd"/>
      <w:r>
        <w:t xml:space="preserve">–19. </w:t>
      </w:r>
    </w:p>
    <w:p w14:paraId="238090E7" w14:textId="77777777" w:rsidR="004B6406" w:rsidRDefault="004B6406" w:rsidP="004B6406">
      <w:pPr>
        <w:pStyle w:val="Bibliography"/>
      </w:pPr>
      <w:r>
        <w:t xml:space="preserve">74. </w:t>
      </w:r>
      <w:r>
        <w:tab/>
        <w:t xml:space="preserve">Sica A, Schioppa T, Mantovani A, Allavena P. Tumour-associated macrophages are a distinct M2 polarised population promoting tumour progression: potential targets of anti-cancer therapy. Eur J Cancer. 2006 Apr;42(6):717–27. </w:t>
      </w:r>
    </w:p>
    <w:p w14:paraId="1643A5AB" w14:textId="77777777" w:rsidR="004B6406" w:rsidRDefault="004B6406" w:rsidP="004B6406">
      <w:pPr>
        <w:pStyle w:val="Bibliography"/>
      </w:pPr>
      <w:r>
        <w:t xml:space="preserve">75. </w:t>
      </w:r>
      <w:r>
        <w:tab/>
        <w:t xml:space="preserve">Mantovani A, Schioppa T, Porta C, Allavena P, Sica A. Role of tumor-associated macrophages in tumor progression and invasion. Cancer Metastasis Rev. 2006 Sep;25(3):315–22. </w:t>
      </w:r>
    </w:p>
    <w:p w14:paraId="3C3749FE" w14:textId="77777777" w:rsidR="004B6406" w:rsidRDefault="004B6406" w:rsidP="004B6406">
      <w:pPr>
        <w:pStyle w:val="Bibliography"/>
      </w:pPr>
      <w:r>
        <w:t xml:space="preserve">76. </w:t>
      </w:r>
      <w:r>
        <w:tab/>
        <w:t xml:space="preserve">Bannon P, Wood S, Restivo T, Campbell L, Hardman MJ, Mace KA. Diabetes induces stable intrinsic changes to myeloid cells that contribute to chronic inflammation during wound healing in mice. Dis Model Mech. 2013 Nov;6(6):1434–47. </w:t>
      </w:r>
    </w:p>
    <w:p w14:paraId="301E69F2" w14:textId="77777777" w:rsidR="004B6406" w:rsidRDefault="004B6406" w:rsidP="004B6406">
      <w:pPr>
        <w:pStyle w:val="Bibliography"/>
      </w:pPr>
      <w:r>
        <w:t xml:space="preserve">77. </w:t>
      </w:r>
      <w:r>
        <w:tab/>
        <w:t xml:space="preserve">Wilkinson HN, Clowes C, Banyard KL, Matteuci P, Mace K, Hardman MJ. Elevated local senescence in diabetic wound healing is linked to pathological repair via CXCR2. J Invest Dermatol. 2019 Jan 23; </w:t>
      </w:r>
    </w:p>
    <w:p w14:paraId="19D32622" w14:textId="77777777" w:rsidR="004B6406" w:rsidRDefault="004B6406" w:rsidP="004B6406">
      <w:pPr>
        <w:pStyle w:val="Bibliography"/>
      </w:pPr>
      <w:r>
        <w:t xml:space="preserve">78. </w:t>
      </w:r>
      <w:r>
        <w:tab/>
        <w:t xml:space="preserve">Dunn GP, Old LJ, Schreiber RD. The Immunobiology of Cancer Immunosurveillance and Immunoediting. Immunity. 2004 Aug;21(2):137–48. </w:t>
      </w:r>
    </w:p>
    <w:p w14:paraId="546AA930" w14:textId="77777777" w:rsidR="004B6406" w:rsidRDefault="004B6406" w:rsidP="004B6406">
      <w:pPr>
        <w:pStyle w:val="Bibliography"/>
      </w:pPr>
      <w:r>
        <w:lastRenderedPageBreak/>
        <w:t xml:space="preserve">79. </w:t>
      </w:r>
      <w:r>
        <w:tab/>
        <w:t xml:space="preserve">Aras S, Zaidi MR. TAMeless traitors: macrophages in cancer progression and metastasis. British Journal of Cancer. 2017 Nov;117(11):1583–91. </w:t>
      </w:r>
    </w:p>
    <w:p w14:paraId="1AE9712E" w14:textId="77777777" w:rsidR="004B6406" w:rsidRDefault="004B6406" w:rsidP="004B6406">
      <w:pPr>
        <w:pStyle w:val="Bibliography"/>
      </w:pPr>
      <w:r>
        <w:t xml:space="preserve">80. </w:t>
      </w:r>
      <w:r>
        <w:tab/>
        <w:t xml:space="preserve">Lin EY, Li J-F, Gnatovskiy L, Deng Y, Zhu L, Grzesik DA, et al. Macrophages Regulate the Angiogenic Switch in a Mouse Model of Breast Cancer. Cancer Res. 2006 Dec 1;66(23):11238–46. </w:t>
      </w:r>
    </w:p>
    <w:p w14:paraId="08A7A3EB" w14:textId="77777777" w:rsidR="004B6406" w:rsidRDefault="004B6406" w:rsidP="004B6406">
      <w:pPr>
        <w:pStyle w:val="Bibliography"/>
      </w:pPr>
      <w:r>
        <w:t xml:space="preserve">81. </w:t>
      </w:r>
      <w:r>
        <w:tab/>
        <w:t xml:space="preserve">Laoui D, Van Overmeire E, Di Conza G, Aldeni C, Keirsse J, Morias Y, et al. Tumor hypoxia does not drive differentiation of tumor-associated macrophages but rather fine-tunes the M2-like macrophage population. Cancer Res. 2014 Jan 1;74(1):24–30. </w:t>
      </w:r>
    </w:p>
    <w:p w14:paraId="2248164F" w14:textId="77777777" w:rsidR="004B6406" w:rsidRDefault="004B6406" w:rsidP="004B6406">
      <w:pPr>
        <w:pStyle w:val="Bibliography"/>
      </w:pPr>
      <w:r>
        <w:t xml:space="preserve">82. </w:t>
      </w:r>
      <w:r>
        <w:tab/>
        <w:t xml:space="preserve">Linde N, Lederle W, Depner S, van Rooijen N, Gutschalk CM, Mueller MM. Vascular endothelial growth factor-induced skin carcinogenesis depends on recruitment and alternative activation of macrophages. J Pathol. 2012 May;227(1):17–28. </w:t>
      </w:r>
    </w:p>
    <w:p w14:paraId="428CA76C" w14:textId="77777777" w:rsidR="004B6406" w:rsidRDefault="004B6406" w:rsidP="004B6406">
      <w:pPr>
        <w:pStyle w:val="Bibliography"/>
      </w:pPr>
      <w:r>
        <w:t xml:space="preserve">83. </w:t>
      </w:r>
      <w:r>
        <w:tab/>
        <w:t xml:space="preserve">Casazza A, Laoui D, Wenes M, Rizzolio S, Bassani N, Mambretti M, et al. Impeding macrophage entry into hypoxic tumor areas by Sema3A/Nrp1 signaling blockade inhibits angiogenesis and restores antitumor immunity. Cancer Cell. 2013 Dec 9;24(6):695–709. </w:t>
      </w:r>
    </w:p>
    <w:p w14:paraId="28FFA218" w14:textId="77777777" w:rsidR="004B6406" w:rsidRDefault="004B6406" w:rsidP="004B6406">
      <w:pPr>
        <w:pStyle w:val="Bibliography"/>
      </w:pPr>
      <w:r>
        <w:t xml:space="preserve">84. </w:t>
      </w:r>
      <w:r>
        <w:tab/>
        <w:t xml:space="preserve">Murray PJ, Allen JE, Biswas SK, Fisher EA, Gilroy DW, Goerdt S, et al. Macrophage Activation and Polarization: Nomenclature and Experimental Guidelines. Immunity. 2014 Jul 17;41(1):14–20. </w:t>
      </w:r>
    </w:p>
    <w:p w14:paraId="71FA2D9C" w14:textId="77777777" w:rsidR="004B6406" w:rsidRDefault="004B6406" w:rsidP="004B6406">
      <w:pPr>
        <w:pStyle w:val="Bibliography"/>
      </w:pPr>
      <w:r>
        <w:t xml:space="preserve">85. </w:t>
      </w:r>
      <w:r>
        <w:tab/>
        <w:t xml:space="preserve">Forlenza M, Fink IR, Raes G, Wiegertjes GF. Heterogeneity of macrophage activation in fish. Developmental &amp; Comparative Immunology. 2011 Dec;35(12):1246–55. </w:t>
      </w:r>
    </w:p>
    <w:p w14:paraId="25B4B109" w14:textId="77777777" w:rsidR="004B6406" w:rsidRDefault="004B6406" w:rsidP="004B6406">
      <w:pPr>
        <w:pStyle w:val="Bibliography"/>
      </w:pPr>
      <w:r>
        <w:t xml:space="preserve">86. </w:t>
      </w:r>
      <w:r>
        <w:tab/>
        <w:t xml:space="preserve">Gordon S, Plűddemann A. Tissue macrophage heterogeneity: issues and prospects. Semin Immunopathol. 2013 Sep;35(5):533–40. </w:t>
      </w:r>
    </w:p>
    <w:p w14:paraId="1FF86762" w14:textId="77777777" w:rsidR="004B6406" w:rsidRDefault="004B6406" w:rsidP="004B6406">
      <w:pPr>
        <w:pStyle w:val="Bibliography"/>
      </w:pPr>
      <w:r>
        <w:t xml:space="preserve">87. </w:t>
      </w:r>
      <w:r>
        <w:tab/>
        <w:t xml:space="preserve">Egawa M, Mukai K, Yoshikawa S, Iki M, Mukaida N, Kawano Y, et al. Inflammatory monocytes recruited to allergic skin acquire an anti-inflammatory M2 phenotype via basophil-derived interleukin-4. Immunity. 2013 Mar 21;38(3):570–80. </w:t>
      </w:r>
    </w:p>
    <w:p w14:paraId="17A2EE86" w14:textId="77777777" w:rsidR="004B6406" w:rsidRDefault="004B6406" w:rsidP="004B6406">
      <w:pPr>
        <w:pStyle w:val="Bibliography"/>
      </w:pPr>
      <w:r>
        <w:t xml:space="preserve">88. </w:t>
      </w:r>
      <w:r>
        <w:tab/>
        <w:t xml:space="preserve">Helm O, Held-Feindt J, Grage-Griebenow E, Reiling N, Ungefroren H, Vogel I, et al. Tumor-associated macrophages exhibit pro- and anti-inflammatory properties by which they impact on pancreatic tumorigenesis. Int J Cancer. 2014 Aug 15;135(4):843–61. </w:t>
      </w:r>
    </w:p>
    <w:p w14:paraId="60A54EF0" w14:textId="77777777" w:rsidR="004B6406" w:rsidRDefault="004B6406" w:rsidP="004B6406">
      <w:pPr>
        <w:pStyle w:val="Bibliography"/>
      </w:pPr>
      <w:r>
        <w:t xml:space="preserve">89. </w:t>
      </w:r>
      <w:r>
        <w:tab/>
        <w:t xml:space="preserve">Arnold L, Henry A, Poron F, Baba-Amer Y, van Rooijen N, Plonquet A, et al. Inflammatory monocytes recruited after skeletal muscle injury switch into antiinflammatory macrophages to support myogenesis. J Exp Med. 2007 May 14;204(5):1057–69. </w:t>
      </w:r>
    </w:p>
    <w:p w14:paraId="40D2393C" w14:textId="77777777" w:rsidR="004B6406" w:rsidRDefault="004B6406" w:rsidP="004B6406">
      <w:pPr>
        <w:pStyle w:val="Bibliography"/>
      </w:pPr>
      <w:r>
        <w:t xml:space="preserve">90. </w:t>
      </w:r>
      <w:r>
        <w:tab/>
        <w:t>Italiani P, Mazza EMC, Lucchesi D, Cifola I, Gemelli C, Grande A, et al. Transcriptomic Profiling of the Development of the Inflammatory Response in Human Monocytes In Vitro. PLOS ONE. 2014 Feb 3;9(2</w:t>
      </w:r>
      <w:proofErr w:type="gramStart"/>
      <w:r>
        <w:t>):e</w:t>
      </w:r>
      <w:proofErr w:type="gramEnd"/>
      <w:r>
        <w:t xml:space="preserve">87680. </w:t>
      </w:r>
    </w:p>
    <w:p w14:paraId="5BEA89CA" w14:textId="77777777" w:rsidR="004B6406" w:rsidRDefault="004B6406" w:rsidP="004B6406">
      <w:pPr>
        <w:pStyle w:val="Bibliography"/>
      </w:pPr>
      <w:r>
        <w:lastRenderedPageBreak/>
        <w:t xml:space="preserve">91. </w:t>
      </w:r>
      <w:r>
        <w:tab/>
        <w:t>Stables MJ, Shah S, Camon EB, Lovering RC, Newson J, Bystrom J, et al. Transcriptomic analyses of murine resolution-phase macrophages. Blood. 2011 Dec 22;118(26</w:t>
      </w:r>
      <w:proofErr w:type="gramStart"/>
      <w:r>
        <w:t>):e</w:t>
      </w:r>
      <w:proofErr w:type="gramEnd"/>
      <w:r>
        <w:t xml:space="preserve">192-208. </w:t>
      </w:r>
    </w:p>
    <w:p w14:paraId="4FB4DFCD" w14:textId="77777777" w:rsidR="004B6406" w:rsidRDefault="004B6406" w:rsidP="004B6406">
      <w:pPr>
        <w:pStyle w:val="Bibliography"/>
      </w:pPr>
      <w:r>
        <w:t xml:space="preserve">92. </w:t>
      </w:r>
      <w:r>
        <w:tab/>
        <w:t xml:space="preserve">Xue J, Schmidt SV, Sander J, Draffehn A, Krebs W, Quester I, et al. Transcriptome-Based Network Analysis Reveals a Spectrum Model of Human Macrophage Activation. Immunity. 2014 Feb 20;40(2):274–88. </w:t>
      </w:r>
    </w:p>
    <w:p w14:paraId="68FA9802" w14:textId="77777777" w:rsidR="004B6406" w:rsidRDefault="004B6406" w:rsidP="004B6406">
      <w:pPr>
        <w:pStyle w:val="Bibliography"/>
      </w:pPr>
      <w:r>
        <w:t xml:space="preserve">93. </w:t>
      </w:r>
      <w:r>
        <w:tab/>
        <w:t xml:space="preserve">Campbell L, Saville CR, Murray PJ, Cruickshank SM, Hardman MJ. Local arginase 1 activity is required for cutaneous wound healing. J Invest Dermatol. 2013 Oct;133(10):2461–70. </w:t>
      </w:r>
    </w:p>
    <w:p w14:paraId="70A66B13" w14:textId="77777777" w:rsidR="004B6406" w:rsidRDefault="004B6406" w:rsidP="004B6406">
      <w:pPr>
        <w:pStyle w:val="Bibliography"/>
      </w:pPr>
      <w:r>
        <w:t xml:space="preserve">94. </w:t>
      </w:r>
      <w:r>
        <w:tab/>
        <w:t xml:space="preserve">Tarique AA, Logan J, Thomas E, Holt PG, Sly PD, Fantino E. Phenotypic, Functional, and Plasticity Features of Classical and Alternatively Activated Human Macrophages. Am J Respir Cell Mol Biol. 2015 Apr 14;53(5):676–88. </w:t>
      </w:r>
    </w:p>
    <w:p w14:paraId="3B66BCC0" w14:textId="77777777" w:rsidR="004B6406" w:rsidRDefault="004B6406" w:rsidP="004B6406">
      <w:pPr>
        <w:pStyle w:val="Bibliography"/>
      </w:pPr>
      <w:r>
        <w:t xml:space="preserve">95. </w:t>
      </w:r>
      <w:r>
        <w:tab/>
        <w:t xml:space="preserve">Stout RD, Jiang C, Matta B, Tietzel I, Watkins SK, Suttles J. Macrophages sequentially change their functional phenotype in response to changes in microenvironmental influences. J Immunol. 2005 Jul 1;175(1):342–9. </w:t>
      </w:r>
    </w:p>
    <w:p w14:paraId="6F63ED89" w14:textId="77777777" w:rsidR="004B6406" w:rsidRDefault="004B6406" w:rsidP="004B6406">
      <w:pPr>
        <w:pStyle w:val="Bibliography"/>
      </w:pPr>
      <w:r>
        <w:t xml:space="preserve">96. </w:t>
      </w:r>
      <w:r>
        <w:tab/>
        <w:t xml:space="preserve">Italiani P, Boraschi D. New Insights </w:t>
      </w:r>
      <w:proofErr w:type="gramStart"/>
      <w:r>
        <w:t>Into</w:t>
      </w:r>
      <w:proofErr w:type="gramEnd"/>
      <w:r>
        <w:t xml:space="preserve"> Tissue Macrophages: From Their Origin to the Development of Memory. Immune Netw. 2015 Aug;15(4):167–76. </w:t>
      </w:r>
    </w:p>
    <w:p w14:paraId="679C8E2A" w14:textId="77777777" w:rsidR="004B6406" w:rsidRDefault="004B6406" w:rsidP="004B6406">
      <w:pPr>
        <w:pStyle w:val="Bibliography"/>
      </w:pPr>
      <w:r>
        <w:t xml:space="preserve">97. </w:t>
      </w:r>
      <w:r>
        <w:tab/>
        <w:t xml:space="preserve">Epelman S, Lavine KJ, Randolph GJ. Origin and functions of tissue macrophages. Immunity. 2014 Jul 17;41(1):21–35. </w:t>
      </w:r>
    </w:p>
    <w:p w14:paraId="7C06C296" w14:textId="77777777" w:rsidR="004B6406" w:rsidRDefault="004B6406" w:rsidP="004B6406">
      <w:pPr>
        <w:pStyle w:val="Bibliography"/>
      </w:pPr>
      <w:r>
        <w:t xml:space="preserve">98. </w:t>
      </w:r>
      <w:r>
        <w:tab/>
        <w:t xml:space="preserve">Ginhoux F, Jung S. Monocytes and macrophages: developmental pathways and tissue homeostasis. Nat Rev Immunol. 2014 Jun;14(6):392–404. </w:t>
      </w:r>
    </w:p>
    <w:p w14:paraId="2A63F2D3" w14:textId="77777777" w:rsidR="004B6406" w:rsidRDefault="004B6406" w:rsidP="004B6406">
      <w:pPr>
        <w:pStyle w:val="Bibliography"/>
      </w:pPr>
      <w:r>
        <w:t xml:space="preserve">99. </w:t>
      </w:r>
      <w:r>
        <w:tab/>
        <w:t xml:space="preserve">Epelman S, Lavine KJ, Beaudin AE, Sojka DK, Carrero JA, Calderon B, et al. Embryonic and adult-derived resident cardiac macrophages are maintained through distinct mechanisms at steady state and during inflammation. Immunity. 2014 Jan 16;40(1):91–104. </w:t>
      </w:r>
    </w:p>
    <w:p w14:paraId="576745B8" w14:textId="77777777" w:rsidR="004B6406" w:rsidRDefault="004B6406" w:rsidP="004B6406">
      <w:pPr>
        <w:pStyle w:val="Bibliography"/>
      </w:pPr>
      <w:r>
        <w:t xml:space="preserve">100. </w:t>
      </w:r>
      <w:r>
        <w:tab/>
        <w:t xml:space="preserve">Guilliams M, De Kleer I, Henri S, Post S, Vanhoutte L, De Prijck S, et al. Alveolar macrophages develop from fetal monocytes that differentiate into long-lived cells in the first week of life via GM-CSF. J Exp Med. 2013 Sep 23;210(10):1977–92. </w:t>
      </w:r>
    </w:p>
    <w:p w14:paraId="2FEA7F1C" w14:textId="77777777" w:rsidR="004B6406" w:rsidRDefault="004B6406" w:rsidP="004B6406">
      <w:pPr>
        <w:pStyle w:val="Bibliography"/>
      </w:pPr>
      <w:r>
        <w:t xml:space="preserve">101. </w:t>
      </w:r>
      <w:r>
        <w:tab/>
        <w:t xml:space="preserve">Ginhoux F, Greter M, Leboeuf M, Nandi S, See P, Gokhan S, et al. Fate Mapping Analysis Reveals That Adult Microglia Derive from Primitive Macrophages. Science. 2010 Nov 5;330(6005):841–5. </w:t>
      </w:r>
    </w:p>
    <w:p w14:paraId="521B11CA" w14:textId="77777777" w:rsidR="004B6406" w:rsidRDefault="004B6406" w:rsidP="004B6406">
      <w:pPr>
        <w:pStyle w:val="Bibliography"/>
      </w:pPr>
      <w:r>
        <w:t xml:space="preserve">102. </w:t>
      </w:r>
      <w:r>
        <w:tab/>
        <w:t xml:space="preserve">Hashimoto D, Chow A, Noizat C, Teo P, Beasley MB, Leboeuf M, et al. Tissue-resident macrophages self-maintain locally throughout adult life with minimal contribution from circulating monocytes. Immunity. 2013 Apr 18;38(4):792–804. </w:t>
      </w:r>
    </w:p>
    <w:p w14:paraId="73864A32" w14:textId="77777777" w:rsidR="004B6406" w:rsidRDefault="004B6406" w:rsidP="004B6406">
      <w:pPr>
        <w:pStyle w:val="Bibliography"/>
      </w:pPr>
      <w:r>
        <w:t xml:space="preserve">103. </w:t>
      </w:r>
      <w:r>
        <w:tab/>
        <w:t xml:space="preserve">Lavin Y, Mortha A, Rahman A, Merad M. Regulation of macrophage development and function in peripheral tissues. Nat Rev Immunol. 2015 Dec;15(12):731–44. </w:t>
      </w:r>
    </w:p>
    <w:p w14:paraId="01D95BE0" w14:textId="77777777" w:rsidR="004B6406" w:rsidRDefault="004B6406" w:rsidP="004B6406">
      <w:pPr>
        <w:pStyle w:val="Bibliography"/>
      </w:pPr>
      <w:r>
        <w:lastRenderedPageBreak/>
        <w:t xml:space="preserve">104. </w:t>
      </w:r>
      <w:r>
        <w:tab/>
        <w:t xml:space="preserve">Bain CC, Bravo-Blas A, Scott CL, Perdiguero EG, Geissmann F, Henri S, et al. Constant replenishment from circulating monocytes maintains the macrophage pool in the intestine of adult mice. Nat Immunol. 2014 Oct;15(10):929–37. </w:t>
      </w:r>
    </w:p>
    <w:p w14:paraId="0AA64FA9" w14:textId="77777777" w:rsidR="004B6406" w:rsidRDefault="004B6406" w:rsidP="004B6406">
      <w:pPr>
        <w:pStyle w:val="Bibliography"/>
      </w:pPr>
      <w:r>
        <w:t xml:space="preserve">105. </w:t>
      </w:r>
      <w:r>
        <w:tab/>
        <w:t xml:space="preserve">Tamoutounour S, Guilliams M, Montanana Sanchis F, Liu H, Terhorst D, Malosse C, et al. Origins and functional specialization of macrophages and of conventional and monocyte-derived dendritic cells in mouse skin. Immunity. 2013 Nov 14;39(5):925–38. </w:t>
      </w:r>
    </w:p>
    <w:p w14:paraId="294AAB1D" w14:textId="77777777" w:rsidR="004B6406" w:rsidRDefault="004B6406" w:rsidP="004B6406">
      <w:pPr>
        <w:pStyle w:val="Bibliography"/>
      </w:pPr>
      <w:r>
        <w:t xml:space="preserve">106. </w:t>
      </w:r>
      <w:r>
        <w:tab/>
        <w:t>Hoeffel G, Chen J, Lavin Y, Low D, Almeida FF, See P, et al. C-</w:t>
      </w:r>
      <w:proofErr w:type="gramStart"/>
      <w:r>
        <w:t>Myb(</w:t>
      </w:r>
      <w:proofErr w:type="gramEnd"/>
      <w:r>
        <w:t xml:space="preserve">+) erythro-myeloid progenitor-derived fetal monocytes give rise to adult tissue-resident macrophages. Immunity. 2015 Apr 21;42(4):665–78. </w:t>
      </w:r>
    </w:p>
    <w:p w14:paraId="30934228" w14:textId="77777777" w:rsidR="004B6406" w:rsidRDefault="004B6406" w:rsidP="004B6406">
      <w:pPr>
        <w:pStyle w:val="Bibliography"/>
      </w:pPr>
      <w:r>
        <w:t xml:space="preserve">107. </w:t>
      </w:r>
      <w:r>
        <w:tab/>
        <w:t xml:space="preserve">Yamasaki R, Lu H, Butovsky O, Ohno N, Rietsch AM, Cialic R, et al. Differential roles of microglia and monocytes in the inflamed central nervous system. Journal of Experimental Medicine. 2014 Jul 28;211(8):1533–49. </w:t>
      </w:r>
    </w:p>
    <w:p w14:paraId="1C5DBFD4" w14:textId="77777777" w:rsidR="004B6406" w:rsidRDefault="004B6406" w:rsidP="004B6406">
      <w:pPr>
        <w:pStyle w:val="Bibliography"/>
      </w:pPr>
      <w:r>
        <w:t xml:space="preserve">108. </w:t>
      </w:r>
      <w:r>
        <w:tab/>
        <w:t xml:space="preserve">Bajpai G, Schneider C, Wong N, Bredemeyer A, Hulsmans M, Nahrendorf M, et al. The human heart contains distinct macrophage subsets with divergent origins and functions. Nature Medicine. 2018 Aug;24(8):1234. </w:t>
      </w:r>
    </w:p>
    <w:p w14:paraId="5394E831" w14:textId="77777777" w:rsidR="004B6406" w:rsidRDefault="004B6406" w:rsidP="004B6406">
      <w:pPr>
        <w:pStyle w:val="Bibliography"/>
      </w:pPr>
      <w:r>
        <w:t xml:space="preserve">109. </w:t>
      </w:r>
      <w:r>
        <w:tab/>
        <w:t xml:space="preserve">Amit I, Winter DR, Jung S. The role of the local environment and epigenetics in shaping macrophage identity and their effect on tissue homeostasis. Nature Immunology. 2016 Jan;17(1):18–25. </w:t>
      </w:r>
    </w:p>
    <w:p w14:paraId="129C7C87" w14:textId="77777777" w:rsidR="004B6406" w:rsidRDefault="004B6406" w:rsidP="004B6406">
      <w:pPr>
        <w:pStyle w:val="Bibliography"/>
      </w:pPr>
      <w:r>
        <w:t xml:space="preserve">110. </w:t>
      </w:r>
      <w:r>
        <w:tab/>
        <w:t xml:space="preserve">Mowat AM, Scott CL, Bain CC. Barrier-tissue macrophages: functional adaptation to environmental challenges. Nature Medicine. 2017 Nov;23(11):1258–70. </w:t>
      </w:r>
    </w:p>
    <w:p w14:paraId="1862053C" w14:textId="77777777" w:rsidR="004B6406" w:rsidRDefault="004B6406" w:rsidP="004B6406">
      <w:pPr>
        <w:pStyle w:val="Bibliography"/>
      </w:pPr>
      <w:r>
        <w:t xml:space="preserve">111. </w:t>
      </w:r>
      <w:r>
        <w:tab/>
        <w:t xml:space="preserve">Gordon S. Innate Immune Functions of Macrophages in Different Tissue Environments. JIN. 2012;4(5–6):409–10. </w:t>
      </w:r>
    </w:p>
    <w:p w14:paraId="036F9F80" w14:textId="77777777" w:rsidR="004B6406" w:rsidRDefault="004B6406" w:rsidP="004B6406">
      <w:pPr>
        <w:pStyle w:val="Bibliography"/>
      </w:pPr>
      <w:r>
        <w:t xml:space="preserve">112. </w:t>
      </w:r>
      <w:r>
        <w:tab/>
        <w:t xml:space="preserve">Kierdorf K, Prinz M, Geissmann F, Gomez Perdiguero E. Development and function of tissue resident macrophages in mice. Semin Immunol. 2015;27(6):369–78. </w:t>
      </w:r>
    </w:p>
    <w:p w14:paraId="6C4696A9" w14:textId="77777777" w:rsidR="004B6406" w:rsidRDefault="004B6406" w:rsidP="004B6406">
      <w:pPr>
        <w:pStyle w:val="Bibliography"/>
      </w:pPr>
      <w:r>
        <w:t xml:space="preserve">113. </w:t>
      </w:r>
      <w:r>
        <w:tab/>
        <w:t xml:space="preserve">Gosselin D, Link V, Romanoski CE, Fonseca GJ, Eichenfield DZ, Spann NJ, et al. Environment drives selection and function of enhancers controlling tissue-specific macrophage identities. Cell. 2014 Dec 4;159(6):1327–40. </w:t>
      </w:r>
    </w:p>
    <w:p w14:paraId="6B0ED531" w14:textId="77777777" w:rsidR="004B6406" w:rsidRDefault="004B6406" w:rsidP="004B6406">
      <w:pPr>
        <w:pStyle w:val="Bibliography"/>
      </w:pPr>
      <w:r>
        <w:t xml:space="preserve">114. </w:t>
      </w:r>
      <w:r>
        <w:tab/>
        <w:t xml:space="preserve">Lavin Y, Winter D, Blecher-Gonen R, David E, Keren-Shaul H, Merad M, et al. Tissue-resident macrophage enhancer landscapes are shaped by the local microenvironment. Cell. 2014 Dec 4;159(6):1312–26. </w:t>
      </w:r>
    </w:p>
    <w:p w14:paraId="3315A61F" w14:textId="77777777" w:rsidR="004B6406" w:rsidRDefault="004B6406" w:rsidP="004B6406">
      <w:pPr>
        <w:pStyle w:val="Bibliography"/>
      </w:pPr>
      <w:r>
        <w:t xml:space="preserve">115. </w:t>
      </w:r>
      <w:r>
        <w:tab/>
        <w:t>Sevenich L. Brain-Resident Microglia and Blood-Borne Macrophages Orchestrate Central Nervous System Inflammation in Neurodegenerative Disorders and Brain Cancer. Front Immunol [Internet]. 2018 [cited 2019 Jan 14];9. Available from: https://www.frontiersin.org/articles/10.3389/fimmu.2018.00697/full#B53</w:t>
      </w:r>
    </w:p>
    <w:p w14:paraId="6092CDB3" w14:textId="77777777" w:rsidR="004B6406" w:rsidRDefault="004B6406" w:rsidP="004B6406">
      <w:pPr>
        <w:pStyle w:val="Bibliography"/>
      </w:pPr>
      <w:r>
        <w:lastRenderedPageBreak/>
        <w:t xml:space="preserve">116. </w:t>
      </w:r>
      <w:r>
        <w:tab/>
        <w:t xml:space="preserve">Minutti CM, Knipper JA, Allen JE, Zaiss DMW. Tissue-specific contribution of macrophages to wound healing. Seminars in Cell &amp; Developmental Biology. 2017 Jan </w:t>
      </w:r>
      <w:proofErr w:type="gramStart"/>
      <w:r>
        <w:t>1;61:3</w:t>
      </w:r>
      <w:proofErr w:type="gramEnd"/>
      <w:r>
        <w:t xml:space="preserve">–11. </w:t>
      </w:r>
    </w:p>
    <w:p w14:paraId="7AEA2F14" w14:textId="77777777" w:rsidR="004B6406" w:rsidRDefault="004B6406" w:rsidP="004B6406">
      <w:pPr>
        <w:pStyle w:val="Bibliography"/>
      </w:pPr>
      <w:r>
        <w:t xml:space="preserve">117. </w:t>
      </w:r>
      <w:r>
        <w:tab/>
        <w:t xml:space="preserve">Gautier EL, Shay T, Miller J, Greter M, Jakubzick C, Ivanov S, et al. Gene-expression profiles and transcriptional regulatory pathways that underlie the identity and diversity of mouse tissue macrophages. Nat Immunol. 2012 Nov;13(11):1118–28. </w:t>
      </w:r>
    </w:p>
    <w:p w14:paraId="051D176B" w14:textId="77777777" w:rsidR="004B6406" w:rsidRDefault="004B6406" w:rsidP="004B6406">
      <w:pPr>
        <w:pStyle w:val="Bibliography"/>
      </w:pPr>
      <w:r>
        <w:t xml:space="preserve">118. </w:t>
      </w:r>
      <w:r>
        <w:tab/>
        <w:t xml:space="preserve">Cohen M, Giladi A, Gorki A-D, Solodkin DG, Zada M, Hladik A, et al. Lung Single-Cell Signaling Interaction Map Reveals Basophil Role in Macrophage Imprinting. Cell. 2018 Nov 1;175(4):1031-1044.e18. </w:t>
      </w:r>
    </w:p>
    <w:p w14:paraId="48180ECE" w14:textId="77777777" w:rsidR="004B6406" w:rsidRDefault="004B6406" w:rsidP="004B6406">
      <w:pPr>
        <w:pStyle w:val="Bibliography"/>
      </w:pPr>
      <w:r>
        <w:t xml:space="preserve">119. </w:t>
      </w:r>
      <w:r>
        <w:tab/>
        <w:t xml:space="preserve">Flajnik MF, Kasahara M. Origin and evolution of the adaptive immune system: genetic events and selective pressures. Nat Rev Genet. 2010 Jan;11(1):47–59. </w:t>
      </w:r>
    </w:p>
    <w:p w14:paraId="5DFCD1BF" w14:textId="77777777" w:rsidR="004B6406" w:rsidRDefault="004B6406" w:rsidP="004B6406">
      <w:pPr>
        <w:pStyle w:val="Bibliography"/>
      </w:pPr>
      <w:r>
        <w:t xml:space="preserve">120. </w:t>
      </w:r>
      <w:r>
        <w:tab/>
        <w:t>Charles A Janeway J, Travers P, Walport M, Shlomchik MJ. Evolution of the innate immune system. Immunobiology: The Immune System in Health and Disease 5th edition [Internet]. 2001 [cited 2019 Feb 4]; Available from: http://www.ncbi.nlm.nih.gov/books/NBK27138/</w:t>
      </w:r>
    </w:p>
    <w:p w14:paraId="47076F38" w14:textId="77777777" w:rsidR="004B6406" w:rsidRDefault="004B6406" w:rsidP="004B6406">
      <w:pPr>
        <w:pStyle w:val="Bibliography"/>
      </w:pPr>
      <w:r>
        <w:t xml:space="preserve">121. </w:t>
      </w:r>
      <w:r>
        <w:tab/>
        <w:t xml:space="preserve">Desjardins M, Houde M, Gagnon E. Phagocytosis: the convoluted way from nutrition to adaptive immunity. Immunological Reviews. 2005;207(1):158–65. </w:t>
      </w:r>
    </w:p>
    <w:p w14:paraId="0342813A" w14:textId="77777777" w:rsidR="004B6406" w:rsidRDefault="004B6406" w:rsidP="004B6406">
      <w:pPr>
        <w:pStyle w:val="Bibliography"/>
      </w:pPr>
      <w:r>
        <w:t xml:space="preserve">122. </w:t>
      </w:r>
      <w:r>
        <w:tab/>
        <w:t xml:space="preserve">Gaudet RG, Bradfield CJ, MacMicking JD. Evolution of Cell-Autonomous Effector Mechanisms in Macrophages versus Non-Immune Cells. Microbiol Spectr. 2016;4(6). </w:t>
      </w:r>
    </w:p>
    <w:p w14:paraId="2964454B" w14:textId="77777777" w:rsidR="004B6406" w:rsidRDefault="004B6406" w:rsidP="004B6406">
      <w:pPr>
        <w:pStyle w:val="Bibliography"/>
      </w:pPr>
      <w:r>
        <w:t xml:space="preserve">123. </w:t>
      </w:r>
      <w:r>
        <w:tab/>
        <w:t xml:space="preserve">Wittamer V, Bertrand JY, Gutschow PW, Traver D. Characterization of the mononuclear phagocyte system in zebrafish. Blood. 2011 Jun 30;117(26):7126–35. </w:t>
      </w:r>
    </w:p>
    <w:p w14:paraId="06C32312" w14:textId="77777777" w:rsidR="004B6406" w:rsidRDefault="004B6406" w:rsidP="004B6406">
      <w:pPr>
        <w:pStyle w:val="Bibliography"/>
      </w:pPr>
      <w:r>
        <w:t xml:space="preserve">124. </w:t>
      </w:r>
      <w:r>
        <w:tab/>
        <w:t>Wiegertjes GF, Wentzel AS, Spaink HP, Elks PM, Fink IR. Polarization of immune responses in fish: The ‘macrophages first’ point of view. Molecular Immunology [Internet]. 2015 [cited 2015 Nov 11]; Available from: http://www.sciencedirect.com/science/article/pii/S0161589015300894</w:t>
      </w:r>
    </w:p>
    <w:p w14:paraId="07252556" w14:textId="77777777" w:rsidR="004B6406" w:rsidRDefault="004B6406" w:rsidP="004B6406">
      <w:pPr>
        <w:pStyle w:val="Bibliography"/>
      </w:pPr>
      <w:r>
        <w:t xml:space="preserve">125. </w:t>
      </w:r>
      <w:r>
        <w:tab/>
        <w:t xml:space="preserve">Gordon S, Taylor PR. Monocyte and macrophage heterogeneity. Nat Rev Immunol. 2005 Dec;5(12):953–64. </w:t>
      </w:r>
    </w:p>
    <w:p w14:paraId="371605C5" w14:textId="77777777" w:rsidR="004B6406" w:rsidRDefault="004B6406" w:rsidP="004B6406">
      <w:pPr>
        <w:pStyle w:val="Bibliography"/>
      </w:pPr>
      <w:r>
        <w:t xml:space="preserve">126. </w:t>
      </w:r>
      <w:r>
        <w:tab/>
        <w:t xml:space="preserve">Neumann NF, Stafford JL, Belosevic M. Biochemical and functional characterisation of macrophage stimulating factors secreted by mitogen-induced goldfish kidney leucocytes. Fish Shellfish Immunol. 2000 Feb;10(2):167–86. </w:t>
      </w:r>
    </w:p>
    <w:p w14:paraId="62E832E0" w14:textId="77777777" w:rsidR="004B6406" w:rsidRDefault="004B6406" w:rsidP="004B6406">
      <w:pPr>
        <w:pStyle w:val="Bibliography"/>
      </w:pPr>
      <w:r>
        <w:t xml:space="preserve">127. </w:t>
      </w:r>
      <w:r>
        <w:tab/>
        <w:t xml:space="preserve">Rieger AM, Hall BE, Barreda DR. Macrophage activation differentially modulates particle binding, phagocytosis and downstream antimicrobial mechanisms. Dev Comp Immunol. 2010 Nov;34(11):1144–59. </w:t>
      </w:r>
    </w:p>
    <w:p w14:paraId="00F4B331" w14:textId="77777777" w:rsidR="004B6406" w:rsidRDefault="004B6406" w:rsidP="004B6406">
      <w:pPr>
        <w:pStyle w:val="Bibliography"/>
      </w:pPr>
      <w:r>
        <w:t xml:space="preserve">128. </w:t>
      </w:r>
      <w:r>
        <w:tab/>
        <w:t xml:space="preserve">Grayfer L, Hodgkinson JW, Belosevic M. Antimicrobial responses of teleost phagocytes and innate immune evasion strategies of intracellular bacteria. Dev Comp Immunol. 2014 Apr;43(2):223–42. </w:t>
      </w:r>
    </w:p>
    <w:p w14:paraId="468AFCEC" w14:textId="77777777" w:rsidR="004B6406" w:rsidRDefault="004B6406" w:rsidP="004B6406">
      <w:pPr>
        <w:pStyle w:val="Bibliography"/>
      </w:pPr>
      <w:r>
        <w:lastRenderedPageBreak/>
        <w:t xml:space="preserve">129. </w:t>
      </w:r>
      <w:r>
        <w:tab/>
        <w:t>Grayfer L, Kerimoglu B, Yaparla A, Hodgkinson JW, Xie J, Belosevic M. Mechanisms of Fish Macrophage Antimicrobial Immunity. Front Immunol [Internet]. 2018 May 28 [cited 2019 Jan 17];9. Available from: https://www.ncbi.nlm.nih.gov/pmc/articles/PMC5985312/</w:t>
      </w:r>
    </w:p>
    <w:p w14:paraId="5D15C453" w14:textId="77777777" w:rsidR="004B6406" w:rsidRDefault="004B6406" w:rsidP="004B6406">
      <w:pPr>
        <w:pStyle w:val="Bibliography"/>
      </w:pPr>
      <w:r>
        <w:t xml:space="preserve">130. </w:t>
      </w:r>
      <w:r>
        <w:tab/>
        <w:t xml:space="preserve">Arts JAJ, Tijhaar EJ, Chadzinska M, Savelkoul HFJ, Verburg-van Kemenade BML. Functional analysis of carp interferon-γ: Evolutionary conservation of classical phagocyte activation. Fish &amp; Shellfish Immunology. 2010 Nov 1;29(5):793–802. </w:t>
      </w:r>
    </w:p>
    <w:p w14:paraId="27197A3F" w14:textId="77777777" w:rsidR="004B6406" w:rsidRDefault="004B6406" w:rsidP="004B6406">
      <w:pPr>
        <w:pStyle w:val="Bibliography"/>
      </w:pPr>
      <w:r>
        <w:t xml:space="preserve">131. </w:t>
      </w:r>
      <w:r>
        <w:tab/>
        <w:t xml:space="preserve">Yang K, Zhang S, Chen D, Zhang A, Wang X, Zhou H. IFN-γ-activated lymphocytes boost nitric oxide production in grass carp monocytes/macrophages. Fish Shellfish Immunol. 2013 Nov;35(5):1635–41. </w:t>
      </w:r>
    </w:p>
    <w:p w14:paraId="1773916A" w14:textId="77777777" w:rsidR="004B6406" w:rsidRDefault="004B6406" w:rsidP="004B6406">
      <w:pPr>
        <w:pStyle w:val="Bibliography"/>
      </w:pPr>
      <w:r>
        <w:t xml:space="preserve">132. </w:t>
      </w:r>
      <w:r>
        <w:tab/>
        <w:t xml:space="preserve">Zou J, Carrington A, Collet B, Dijkstra JM, Yoshiura Y, Bols N, et al. Identification and bioactivities of IFN-gamma in rainbow trout Oncorhynchus mykiss: the first Th1-type cytokine characterized functionally in fish. J Immunol. 2005 Aug 15;175(4):2484–94. </w:t>
      </w:r>
    </w:p>
    <w:p w14:paraId="479E50C5" w14:textId="77777777" w:rsidR="004B6406" w:rsidRDefault="004B6406" w:rsidP="004B6406">
      <w:pPr>
        <w:pStyle w:val="Bibliography"/>
      </w:pPr>
      <w:r>
        <w:t xml:space="preserve">133. </w:t>
      </w:r>
      <w:r>
        <w:tab/>
        <w:t xml:space="preserve">Grayfer L, Walsh JG, Belosevic M. Characterization and functional analysis of goldfish (Carassius auratus L.) tumor necrosis factor-alpha. Dev Comp Immunol. 2008;32(5):532–43. </w:t>
      </w:r>
    </w:p>
    <w:p w14:paraId="1F8D776D" w14:textId="77777777" w:rsidR="004B6406" w:rsidRDefault="004B6406" w:rsidP="004B6406">
      <w:pPr>
        <w:pStyle w:val="Bibliography"/>
      </w:pPr>
      <w:r>
        <w:t xml:space="preserve">134. </w:t>
      </w:r>
      <w:r>
        <w:tab/>
        <w:t>Nguyen-Chi M, Laplace-Builhe B, Travnickova J, Luz-Crawford P, Tejedor G, Phan QT, et al. Identification of polarized macrophage subsets in zebrafish. eLife. 2015 Jul 8;</w:t>
      </w:r>
      <w:proofErr w:type="gramStart"/>
      <w:r>
        <w:t>4:e</w:t>
      </w:r>
      <w:proofErr w:type="gramEnd"/>
      <w:r>
        <w:t xml:space="preserve">07288. </w:t>
      </w:r>
    </w:p>
    <w:p w14:paraId="112B4C9E" w14:textId="77777777" w:rsidR="004B6406" w:rsidRDefault="004B6406" w:rsidP="004B6406">
      <w:pPr>
        <w:pStyle w:val="Bibliography"/>
      </w:pPr>
      <w:r>
        <w:t xml:space="preserve">135. </w:t>
      </w:r>
      <w:r>
        <w:tab/>
        <w:t xml:space="preserve">Castro R, Zou J, Secombes CJ, Martin SAM. Cortisol modulates the induction of inflammatory gene expression in a rainbow trout macrophage cell line. Fish Shellfish Immunol. 2011 Jan;30(1):215–23. </w:t>
      </w:r>
    </w:p>
    <w:p w14:paraId="45270FD5" w14:textId="77777777" w:rsidR="004B6406" w:rsidRDefault="004B6406" w:rsidP="004B6406">
      <w:pPr>
        <w:pStyle w:val="Bibliography"/>
      </w:pPr>
      <w:r>
        <w:t xml:space="preserve">136. </w:t>
      </w:r>
      <w:r>
        <w:tab/>
        <w:t xml:space="preserve">Grayfer L, Hodgkinson JW, Hitchen SJ, Belosevic M. Characterization and functional analysis of goldfish (Carassius auratus L.) interleukin-10. Mol Immunol. 2011 Jan;48(4):563–71. </w:t>
      </w:r>
    </w:p>
    <w:p w14:paraId="06972E55" w14:textId="77777777" w:rsidR="004B6406" w:rsidRDefault="004B6406" w:rsidP="004B6406">
      <w:pPr>
        <w:pStyle w:val="Bibliography"/>
      </w:pPr>
      <w:r>
        <w:t xml:space="preserve">137. </w:t>
      </w:r>
      <w:r>
        <w:tab/>
        <w:t xml:space="preserve">Joerink M, Forlenza M, Ribeiro CMS, de Vries BJ, Savelkoul HFJ, Wiegertjes GF. Differential macrophage polarisation during parasitic infections in common carp (Cyprinus carpio L.). Fish &amp; Shellfish Immunology. 2006 Nov;21(5):561–71. </w:t>
      </w:r>
    </w:p>
    <w:p w14:paraId="70D91F15" w14:textId="77777777" w:rsidR="004B6406" w:rsidRDefault="004B6406" w:rsidP="004B6406">
      <w:pPr>
        <w:pStyle w:val="Bibliography"/>
      </w:pPr>
      <w:r>
        <w:t xml:space="preserve">138. </w:t>
      </w:r>
      <w:r>
        <w:tab/>
        <w:t xml:space="preserve">Wei H, Yin L, Feng S, Wang X, Yang K, Zhang A, et al. Dual-parallel inhibition of IL-10 and TGF-β1 controls LPS-induced inflammatory response via NF-κB signaling in grass carp monocytes/macrophages. Fish &amp; Shellfish Immunology. 2015 Jun 1;44(2):445–52. </w:t>
      </w:r>
    </w:p>
    <w:p w14:paraId="548A6F46" w14:textId="77777777" w:rsidR="004B6406" w:rsidRDefault="004B6406" w:rsidP="004B6406">
      <w:pPr>
        <w:pStyle w:val="Bibliography"/>
      </w:pPr>
      <w:r>
        <w:t xml:space="preserve">139. </w:t>
      </w:r>
      <w:r>
        <w:tab/>
        <w:t xml:space="preserve">Hodgkinson JW, Grayfer L, Belosevic M. Biology of Bony Fish Macrophages. Biology (Basel). 2015 Nov 30;4(4):881–906. </w:t>
      </w:r>
    </w:p>
    <w:p w14:paraId="5DDBBA01" w14:textId="77777777" w:rsidR="004B6406" w:rsidRDefault="004B6406" w:rsidP="004B6406">
      <w:pPr>
        <w:pStyle w:val="Bibliography"/>
      </w:pPr>
      <w:r>
        <w:t xml:space="preserve">140. </w:t>
      </w:r>
      <w:r>
        <w:tab/>
        <w:t xml:space="preserve">Joerink M, Savelkoul HFJ, Wiegertjes GF. Evolutionary conservation of alternative activation of macrophages: Structural and functional characterization of arginase 1 and 2 in carp (Cyprinus carpio L.). Molecular Immunology. 2006 Mar 1;43(8):1116–28. </w:t>
      </w:r>
    </w:p>
    <w:p w14:paraId="517B8F94" w14:textId="77777777" w:rsidR="004B6406" w:rsidRDefault="004B6406" w:rsidP="004B6406">
      <w:pPr>
        <w:pStyle w:val="Bibliography"/>
      </w:pPr>
      <w:r>
        <w:lastRenderedPageBreak/>
        <w:t xml:space="preserve">141. </w:t>
      </w:r>
      <w:r>
        <w:tab/>
        <w:t>Neves J, Zhu J, Sousa-Victor P, Konjikusic M, Riley R, Chew S, et al. Immune modulation by MANF promotes tissue repair and regenerative success in the retina. Science. 2016 Jul 1;353(6294</w:t>
      </w:r>
      <w:proofErr w:type="gramStart"/>
      <w:r>
        <w:t>):aaf</w:t>
      </w:r>
      <w:proofErr w:type="gramEnd"/>
      <w:r>
        <w:t xml:space="preserve">3646. </w:t>
      </w:r>
    </w:p>
    <w:p w14:paraId="0C400B18" w14:textId="77777777" w:rsidR="004B6406" w:rsidRDefault="004B6406" w:rsidP="004B6406">
      <w:pPr>
        <w:pStyle w:val="Bibliography"/>
      </w:pPr>
      <w:r>
        <w:t xml:space="preserve">142. </w:t>
      </w:r>
      <w:r>
        <w:tab/>
        <w:t xml:space="preserve">Wang T, Hanington PC, Belosevic M, Secombes CJ. Two Macrophage Colony-Stimulating Factor Genes Exist in Fish That Differ in Gene Organization and Are Differentially Expressed. The Journal of Immunology. 2008 Sep 1;181(5):3310–22. </w:t>
      </w:r>
    </w:p>
    <w:p w14:paraId="0FF64188" w14:textId="77777777" w:rsidR="004B6406" w:rsidRDefault="004B6406" w:rsidP="004B6406">
      <w:pPr>
        <w:pStyle w:val="Bibliography"/>
      </w:pPr>
      <w:r>
        <w:t xml:space="preserve">143. </w:t>
      </w:r>
      <w:r>
        <w:tab/>
        <w:t xml:space="preserve">Grayfer L, Hanington PC, Belosevic M. Macrophage colony-stimulating factor (CSF-1) induces pro-inflammatory gene expression and enhances antimicrobial responses of goldfish (Carassius auratus L.) macrophages. Fish &amp; Shellfish Immunology. 2009 Mar 1;26(3):406–13. </w:t>
      </w:r>
    </w:p>
    <w:p w14:paraId="753CBF84" w14:textId="77777777" w:rsidR="004B6406" w:rsidRDefault="004B6406" w:rsidP="004B6406">
      <w:pPr>
        <w:pStyle w:val="Bibliography"/>
      </w:pPr>
      <w:r>
        <w:t xml:space="preserve">144. </w:t>
      </w:r>
      <w:r>
        <w:tab/>
        <w:t xml:space="preserve">Rieger AM, Hanington PC, Belosevic M, Barreda DR. Control of CSF-1 induced inflammation in teleost fish by a soluble form of the CSF-1 receptor. Fish &amp; Shellfish Immunology. 2014 Nov 1;41(1):45–51. </w:t>
      </w:r>
    </w:p>
    <w:p w14:paraId="368C253D" w14:textId="77777777" w:rsidR="004B6406" w:rsidRDefault="004B6406" w:rsidP="004B6406">
      <w:pPr>
        <w:pStyle w:val="Bibliography"/>
      </w:pPr>
      <w:r>
        <w:t xml:space="preserve">145. </w:t>
      </w:r>
      <w:r>
        <w:tab/>
        <w:t xml:space="preserve">Rieger AM, Havixbeck JJ, Belosevic M, Barreda DR. Teleost soluble CSF-1R modulates cytokine profiles at an inflammatory site, and inhibits neutrophil chemotaxis, phagocytosis, and bacterial killing. Developmental &amp; Comparative Immunology. 2015 Apr 1;49(2):259–66. </w:t>
      </w:r>
    </w:p>
    <w:p w14:paraId="397D596C" w14:textId="77777777" w:rsidR="004B6406" w:rsidRDefault="004B6406" w:rsidP="004B6406">
      <w:pPr>
        <w:pStyle w:val="Bibliography"/>
      </w:pPr>
      <w:r>
        <w:t xml:space="preserve">146. </w:t>
      </w:r>
      <w:r>
        <w:tab/>
        <w:t>He S, Chen J, Jiang Y, Wu Y, Zhu L, Jin W, et al. Adult zebrafish Langerhans cells arise from hematopoietic stem/progenitor cells. Zon LI, editor. eLife. 2018 Jun 15;</w:t>
      </w:r>
      <w:proofErr w:type="gramStart"/>
      <w:r>
        <w:t>7:e</w:t>
      </w:r>
      <w:proofErr w:type="gramEnd"/>
      <w:r>
        <w:t xml:space="preserve">36131. </w:t>
      </w:r>
    </w:p>
    <w:p w14:paraId="18DC49EC" w14:textId="77777777" w:rsidR="004B6406" w:rsidRDefault="004B6406" w:rsidP="004B6406">
      <w:pPr>
        <w:pStyle w:val="Bibliography"/>
      </w:pPr>
      <w:r>
        <w:t xml:space="preserve">147. </w:t>
      </w:r>
      <w:r>
        <w:tab/>
        <w:t xml:space="preserve">Reite OB, Evensen O. Inflammatory cells of teleostean fish: a review focusing on mast cells/eosinophilic granule cells and rodlet cells. Fish Shellfish Immunol. 2006 Feb;20(2):192–208. </w:t>
      </w:r>
    </w:p>
    <w:p w14:paraId="560C935D" w14:textId="77777777" w:rsidR="004B6406" w:rsidRDefault="004B6406" w:rsidP="004B6406">
      <w:pPr>
        <w:pStyle w:val="Bibliography"/>
      </w:pPr>
      <w:r>
        <w:t xml:space="preserve">148. </w:t>
      </w:r>
      <w:r>
        <w:tab/>
        <w:t xml:space="preserve">Buchmann K. Evolution of Innate Immunity: Clues from Invertebrates via Fish to Mammals. Front Immunol. </w:t>
      </w:r>
      <w:proofErr w:type="gramStart"/>
      <w:r>
        <w:t>2014;5:459</w:t>
      </w:r>
      <w:proofErr w:type="gramEnd"/>
      <w:r>
        <w:t xml:space="preserve">. </w:t>
      </w:r>
    </w:p>
    <w:p w14:paraId="3B7E2C34" w14:textId="77777777" w:rsidR="004B6406" w:rsidRDefault="004B6406" w:rsidP="004B6406">
      <w:pPr>
        <w:pStyle w:val="Bibliography"/>
      </w:pPr>
      <w:r>
        <w:t xml:space="preserve">149. </w:t>
      </w:r>
      <w:r>
        <w:tab/>
        <w:t xml:space="preserve">Mestas J, Hughes CCW. Of Mice and Not Men: Differences between Mouse and Human Immunology. The Journal of Immunology. 2004 Mar 1;172(5):2731–8. </w:t>
      </w:r>
    </w:p>
    <w:p w14:paraId="7272A36D" w14:textId="77777777" w:rsidR="004B6406" w:rsidRDefault="004B6406" w:rsidP="004B6406">
      <w:pPr>
        <w:pStyle w:val="Bibliography"/>
      </w:pPr>
      <w:r>
        <w:t xml:space="preserve">150. </w:t>
      </w:r>
      <w:r>
        <w:tab/>
        <w:t xml:space="preserve">Eom DS, Parichy DM. A macrophage relay for long-distance signaling during postembryonic tissue remodeling. Science. 2017 Mar 24;355(6331):1317–20. </w:t>
      </w:r>
    </w:p>
    <w:p w14:paraId="32F472F3" w14:textId="77777777" w:rsidR="004B6406" w:rsidRDefault="004B6406" w:rsidP="004B6406">
      <w:pPr>
        <w:pStyle w:val="Bibliography"/>
      </w:pPr>
      <w:r>
        <w:t xml:space="preserve">151. </w:t>
      </w:r>
      <w:r>
        <w:tab/>
        <w:t xml:space="preserve">Niethammer P. The early wound signals. Current Opinion in Genetics &amp; Development. 2016 </w:t>
      </w:r>
      <w:proofErr w:type="gramStart"/>
      <w:r>
        <w:t>Oct;40:17</w:t>
      </w:r>
      <w:proofErr w:type="gramEnd"/>
      <w:r>
        <w:t xml:space="preserve">–22. </w:t>
      </w:r>
    </w:p>
    <w:p w14:paraId="66EAB2E9" w14:textId="77777777" w:rsidR="004B6406" w:rsidRDefault="004B6406" w:rsidP="004B6406">
      <w:pPr>
        <w:pStyle w:val="Bibliography"/>
      </w:pPr>
      <w:r>
        <w:t xml:space="preserve">152. </w:t>
      </w:r>
      <w:r>
        <w:tab/>
        <w:t xml:space="preserve">Niethammer P, Grabher C, Look AT, Mitchison TJ. A tissue-scale gradient of hydrogen peroxide mediates rapid wound detection in zebrafish. Nature. 2009 Jun 18;459(7249):996–9. </w:t>
      </w:r>
    </w:p>
    <w:p w14:paraId="54DE7E4B" w14:textId="77777777" w:rsidR="004B6406" w:rsidRDefault="004B6406" w:rsidP="004B6406">
      <w:pPr>
        <w:pStyle w:val="Bibliography"/>
      </w:pPr>
      <w:r>
        <w:t xml:space="preserve">153. </w:t>
      </w:r>
      <w:r>
        <w:tab/>
        <w:t xml:space="preserve">Cooper EL. Evolution of immune systems from self/not self to danger to artificial immune systems (AIS). Physics of Life Reviews. 2010 Mar 1;7(1):55–78. </w:t>
      </w:r>
    </w:p>
    <w:p w14:paraId="769FE16E" w14:textId="77777777" w:rsidR="004B6406" w:rsidRDefault="004B6406" w:rsidP="004B6406">
      <w:pPr>
        <w:pStyle w:val="Bibliography"/>
      </w:pPr>
      <w:r>
        <w:lastRenderedPageBreak/>
        <w:t xml:space="preserve">154. </w:t>
      </w:r>
      <w:r>
        <w:tab/>
        <w:t>Dishaw LJ, Litman GW. Invertebrate allorecognition: the origins of histocompatibility. Curr Biol. 2009 Apr 14;19(7</w:t>
      </w:r>
      <w:proofErr w:type="gramStart"/>
      <w:r>
        <w:t>):R</w:t>
      </w:r>
      <w:proofErr w:type="gramEnd"/>
      <w:r>
        <w:t xml:space="preserve">286-288. </w:t>
      </w:r>
    </w:p>
    <w:p w14:paraId="6E981F29" w14:textId="77777777" w:rsidR="004B6406" w:rsidRDefault="004B6406" w:rsidP="004B6406">
      <w:pPr>
        <w:pStyle w:val="Bibliography"/>
      </w:pPr>
      <w:r>
        <w:t xml:space="preserve">155. </w:t>
      </w:r>
      <w:r>
        <w:tab/>
        <w:t xml:space="preserve">Lemaitre B, Nicolas E, Michaut L, Reichhart JM, Hoffmann JA. The dorsoventral regulatory gene cassette spätzle/Toll/cactus controls the potent antifungal response in Drosophila adults. Cell. 1996 Sep 20;86(6):973–83. </w:t>
      </w:r>
    </w:p>
    <w:p w14:paraId="5CF05ECE" w14:textId="77777777" w:rsidR="004B6406" w:rsidRDefault="004B6406" w:rsidP="004B6406">
      <w:pPr>
        <w:pStyle w:val="Bibliography"/>
      </w:pPr>
      <w:r>
        <w:t xml:space="preserve">156. </w:t>
      </w:r>
      <w:r>
        <w:tab/>
        <w:t>Schroder K, Irvine KM, Taylor MS, Bokil NJ, Le Cao K-A, Masterman K-A, et al. Conservation and divergence in Toll-like receptor 4-regulated gene expression in primary human versus mouse macrophages. Proc Natl Acad Sci USA. 2012 Apr 17;109(16</w:t>
      </w:r>
      <w:proofErr w:type="gramStart"/>
      <w:r>
        <w:t>):E</w:t>
      </w:r>
      <w:proofErr w:type="gramEnd"/>
      <w:r>
        <w:t xml:space="preserve">944-953. </w:t>
      </w:r>
    </w:p>
    <w:p w14:paraId="0C71E8DE" w14:textId="77777777" w:rsidR="004B6406" w:rsidRDefault="004B6406" w:rsidP="004B6406">
      <w:pPr>
        <w:pStyle w:val="Bibliography"/>
      </w:pPr>
      <w:r>
        <w:t xml:space="preserve">157. </w:t>
      </w:r>
      <w:r>
        <w:tab/>
        <w:t xml:space="preserve">Hales KG, Korey CA, Larracuente AM, Roberts DM. Genetics on the Fly: A Primer on the Drosophila Model System. Genetics. 2015 Nov;201(3):815–42. </w:t>
      </w:r>
    </w:p>
    <w:p w14:paraId="08FF52EF" w14:textId="77777777" w:rsidR="004B6406" w:rsidRDefault="004B6406" w:rsidP="004B6406">
      <w:pPr>
        <w:pStyle w:val="Bibliography"/>
      </w:pPr>
      <w:r>
        <w:t xml:space="preserve">158. </w:t>
      </w:r>
      <w:r>
        <w:tab/>
        <w:t xml:space="preserve">Duffy JB. GAL4 system in drosophila: A fly geneticist’s swiss army knife. Genesis. 2002 Sep 1;34(1–2):1–15. </w:t>
      </w:r>
    </w:p>
    <w:p w14:paraId="461D5CD6" w14:textId="77777777" w:rsidR="004B6406" w:rsidRDefault="004B6406" w:rsidP="004B6406">
      <w:pPr>
        <w:pStyle w:val="Bibliography"/>
      </w:pPr>
      <w:r>
        <w:t xml:space="preserve">159. </w:t>
      </w:r>
      <w:r>
        <w:tab/>
        <w:t xml:space="preserve">Lemaitre B, Hoffmann J. The host defense of Drosophila melanogaster. Annu Rev Immunol. </w:t>
      </w:r>
      <w:proofErr w:type="gramStart"/>
      <w:r>
        <w:t>2007;25:697</w:t>
      </w:r>
      <w:proofErr w:type="gramEnd"/>
      <w:r>
        <w:t xml:space="preserve">–743. </w:t>
      </w:r>
    </w:p>
    <w:p w14:paraId="6F7F588D" w14:textId="77777777" w:rsidR="004B6406" w:rsidRDefault="004B6406" w:rsidP="004B6406">
      <w:pPr>
        <w:pStyle w:val="Bibliography"/>
      </w:pPr>
      <w:r>
        <w:t xml:space="preserve">160. </w:t>
      </w:r>
      <w:r>
        <w:tab/>
        <w:t xml:space="preserve">Rodríguez A del V, Didiano D, Desplan C. Power tools for gene expression and clonal analysis in Drosophila. Nat Methods. 2011 Dec 28;9(1):47–55. </w:t>
      </w:r>
    </w:p>
    <w:p w14:paraId="03751F20" w14:textId="77777777" w:rsidR="004B6406" w:rsidRDefault="004B6406" w:rsidP="004B6406">
      <w:pPr>
        <w:pStyle w:val="Bibliography"/>
      </w:pPr>
      <w:r>
        <w:t xml:space="preserve">161. </w:t>
      </w:r>
      <w:r>
        <w:tab/>
        <w:t xml:space="preserve">Halfon MS, Gisselbrecht S, Lu J, Estrada B, Keshishian H, Michelson AM. New fluorescent protein reporters for use with the Drosophila Gal4 expression system and for vital detection of balancer chromosomes. Genesis. 2002 Oct;34(1–2):135–8. </w:t>
      </w:r>
    </w:p>
    <w:p w14:paraId="3F37B284" w14:textId="77777777" w:rsidR="004B6406" w:rsidRDefault="004B6406" w:rsidP="004B6406">
      <w:pPr>
        <w:pStyle w:val="Bibliography"/>
      </w:pPr>
      <w:r>
        <w:t xml:space="preserve">162. </w:t>
      </w:r>
      <w:r>
        <w:tab/>
        <w:t xml:space="preserve">Pfeiffer BD, Jenett A, Hammonds AS, Ngo T-TB, Misra S, Murphy C, et al. Tools for neuroanatomy and neurogenetics in Drosophila. Proc Natl Acad Sci USA. 2008 Jul 15;105(28):9715–20. </w:t>
      </w:r>
    </w:p>
    <w:p w14:paraId="56C84C04" w14:textId="77777777" w:rsidR="004B6406" w:rsidRDefault="004B6406" w:rsidP="004B6406">
      <w:pPr>
        <w:pStyle w:val="Bibliography"/>
      </w:pPr>
      <w:r>
        <w:t xml:space="preserve">163. </w:t>
      </w:r>
      <w:r>
        <w:tab/>
        <w:t xml:space="preserve">Gyoergy A, Roblek M, Ratheesh A, Valoskova K, Belyaeva V, Wachner S, et al. Tools Allowing Independent Visualization and Genetic Manipulation of Drosophilamelanogaster Macrophages and Surrounding Tissues. G3 (Bethesda). 2018 Jan 10; </w:t>
      </w:r>
    </w:p>
    <w:p w14:paraId="5D191C07" w14:textId="77777777" w:rsidR="004B6406" w:rsidRDefault="004B6406" w:rsidP="004B6406">
      <w:pPr>
        <w:pStyle w:val="Bibliography"/>
      </w:pPr>
      <w:r>
        <w:t xml:space="preserve">164. </w:t>
      </w:r>
      <w:r>
        <w:tab/>
        <w:t xml:space="preserve">Gold KS, Brückner K. Macrophages and cellular immunity in Drosophila melanogaster. Semin Immunol. 2016 Apr 22; </w:t>
      </w:r>
    </w:p>
    <w:p w14:paraId="27552BEF" w14:textId="77777777" w:rsidR="004B6406" w:rsidRDefault="004B6406" w:rsidP="004B6406">
      <w:pPr>
        <w:pStyle w:val="Bibliography"/>
      </w:pPr>
      <w:r>
        <w:t xml:space="preserve">165. </w:t>
      </w:r>
      <w:r>
        <w:tab/>
        <w:t xml:space="preserve">Gold KS, Brückner K. Drosophila as a model for the two myeloid blood cell systems in vertebrates. Experimental Hematology. 2014 Aug;42(8):717–27. </w:t>
      </w:r>
    </w:p>
    <w:p w14:paraId="09833F2D" w14:textId="77777777" w:rsidR="004B6406" w:rsidRDefault="004B6406" w:rsidP="004B6406">
      <w:pPr>
        <w:pStyle w:val="Bibliography"/>
      </w:pPr>
      <w:r>
        <w:t xml:space="preserve">166. </w:t>
      </w:r>
      <w:r>
        <w:tab/>
        <w:t>Evans IR, Wood W. Drosophila embryonic hemocytes. Curr Biol. 2011 Mar 8;21(5</w:t>
      </w:r>
      <w:proofErr w:type="gramStart"/>
      <w:r>
        <w:t>):R</w:t>
      </w:r>
      <w:proofErr w:type="gramEnd"/>
      <w:r>
        <w:t xml:space="preserve">173-174. </w:t>
      </w:r>
    </w:p>
    <w:p w14:paraId="0B1B628A" w14:textId="77777777" w:rsidR="004B6406" w:rsidRDefault="004B6406" w:rsidP="004B6406">
      <w:pPr>
        <w:pStyle w:val="Bibliography"/>
      </w:pPr>
      <w:r>
        <w:t xml:space="preserve">167. </w:t>
      </w:r>
      <w:r>
        <w:tab/>
        <w:t xml:space="preserve">Browne N, Heelan M, Kavanagh K. An analysis of the structural and functional similarities of insect hemocytes and mammalian phagocytes. Virulence. 2013 Oct 1;4(7):597–603. </w:t>
      </w:r>
    </w:p>
    <w:p w14:paraId="349FFCA9" w14:textId="77777777" w:rsidR="004B6406" w:rsidRDefault="004B6406" w:rsidP="004B6406">
      <w:pPr>
        <w:pStyle w:val="Bibliography"/>
      </w:pPr>
      <w:r>
        <w:lastRenderedPageBreak/>
        <w:t xml:space="preserve">168. </w:t>
      </w:r>
      <w:r>
        <w:tab/>
        <w:t xml:space="preserve">Vlisidou I, Wood W. Drosophila blood cells and their role in immune responses. FEBS J. 2015 Apr;282(8):1368–82. </w:t>
      </w:r>
    </w:p>
    <w:p w14:paraId="78AC9F88" w14:textId="77777777" w:rsidR="004B6406" w:rsidRDefault="004B6406" w:rsidP="004B6406">
      <w:pPr>
        <w:pStyle w:val="Bibliography"/>
      </w:pPr>
      <w:r>
        <w:t xml:space="preserve">169. </w:t>
      </w:r>
      <w:r>
        <w:tab/>
        <w:t>Vlisidou I, Dowling AJ, Evans IR, Waterfield N, ffrench-Constant RH, Wood W. Drosophila embryos as model systems for monitoring bacterial infection in real time. PLoS Pathog. 2009 Jul;5(7</w:t>
      </w:r>
      <w:proofErr w:type="gramStart"/>
      <w:r>
        <w:t>):e</w:t>
      </w:r>
      <w:proofErr w:type="gramEnd"/>
      <w:r>
        <w:t xml:space="preserve">1000518. </w:t>
      </w:r>
    </w:p>
    <w:p w14:paraId="117110D5" w14:textId="77777777" w:rsidR="004B6406" w:rsidRDefault="004B6406" w:rsidP="004B6406">
      <w:pPr>
        <w:pStyle w:val="Bibliography"/>
      </w:pPr>
      <w:r>
        <w:t xml:space="preserve">170. </w:t>
      </w:r>
      <w:r>
        <w:tab/>
        <w:t xml:space="preserve">Kounatidis I, Ligoxygakis P. Drosophila as a model system to unravel the layers of innate immunity to infection. Open Biology. 2012 May 1;2(5):120075. </w:t>
      </w:r>
    </w:p>
    <w:p w14:paraId="399F6890" w14:textId="77777777" w:rsidR="004B6406" w:rsidRDefault="004B6406" w:rsidP="004B6406">
      <w:pPr>
        <w:pStyle w:val="Bibliography"/>
      </w:pPr>
      <w:r>
        <w:t xml:space="preserve">171. </w:t>
      </w:r>
      <w:r>
        <w:tab/>
        <w:t xml:space="preserve">Tassetto M, Kunitomi M, Andino R. Circulating Immune Cells Mediate a Systemic RNAi-Based Adaptive Antiviral Response in Drosophila. Cell. 2017 Apr 6;169(2):314-325.e13. </w:t>
      </w:r>
    </w:p>
    <w:p w14:paraId="337B2418" w14:textId="77777777" w:rsidR="004B6406" w:rsidRDefault="004B6406" w:rsidP="004B6406">
      <w:pPr>
        <w:pStyle w:val="Bibliography"/>
      </w:pPr>
      <w:r>
        <w:t xml:space="preserve">172. </w:t>
      </w:r>
      <w:r>
        <w:tab/>
        <w:t>Wang L, Kounatidis I, Ligoxygakis P. Drosophila as a model to study the role of blood cells in inflammation, innate immunity and cancer. Front Cell Infect Microbiol [Internet]. 2014 Jan 9 [cited 2016 Feb 27];3. Available from: http://www.ncbi.nlm.nih.gov/pmc/articles/PMC3885817/</w:t>
      </w:r>
    </w:p>
    <w:p w14:paraId="16248703" w14:textId="77777777" w:rsidR="004B6406" w:rsidRDefault="004B6406" w:rsidP="004B6406">
      <w:pPr>
        <w:pStyle w:val="Bibliography"/>
      </w:pPr>
      <w:r>
        <w:t xml:space="preserve">173. </w:t>
      </w:r>
      <w:r>
        <w:tab/>
        <w:t xml:space="preserve">Krautz R, Arefin B, Theopold U. Damage signals in the insect immune response. Front Plant Sci. </w:t>
      </w:r>
      <w:proofErr w:type="gramStart"/>
      <w:r>
        <w:t>2014;5:342</w:t>
      </w:r>
      <w:proofErr w:type="gramEnd"/>
      <w:r>
        <w:t xml:space="preserve">. </w:t>
      </w:r>
    </w:p>
    <w:p w14:paraId="125C2CD9" w14:textId="77777777" w:rsidR="004B6406" w:rsidRDefault="004B6406" w:rsidP="004B6406">
      <w:pPr>
        <w:pStyle w:val="Bibliography"/>
      </w:pPr>
      <w:r>
        <w:t xml:space="preserve">174. </w:t>
      </w:r>
      <w:r>
        <w:tab/>
        <w:t xml:space="preserve">Razzell W, Wood W, Martin P. Swatting flies: modelling wound healing and inflammation in Drosophila. Dis Model Mech. 2011 Sep;4(5):569–74. </w:t>
      </w:r>
    </w:p>
    <w:p w14:paraId="7531417E" w14:textId="77777777" w:rsidR="004B6406" w:rsidRDefault="004B6406" w:rsidP="004B6406">
      <w:pPr>
        <w:pStyle w:val="Bibliography"/>
      </w:pPr>
      <w:r>
        <w:t xml:space="preserve">175. </w:t>
      </w:r>
      <w:r>
        <w:tab/>
        <w:t xml:space="preserve">Wood W, Martin P. Macrophage Functions in Tissue Patterning and Disease: New Insights from the Fly. Dev Cell. 2017 Feb 6;40(3):221–33. </w:t>
      </w:r>
    </w:p>
    <w:p w14:paraId="7DAA759B" w14:textId="77777777" w:rsidR="004B6406" w:rsidRDefault="004B6406" w:rsidP="004B6406">
      <w:pPr>
        <w:pStyle w:val="Bibliography"/>
      </w:pPr>
      <w:r>
        <w:t xml:space="preserve">176. </w:t>
      </w:r>
      <w:r>
        <w:tab/>
        <w:t xml:space="preserve">Evans CJ, Hartenstein V, Banerjee U. Thicker Than Blood: Conserved Mechanisms in Drosophila and Vertebrate Hematopoiesis. Developmental Cell. 2003 Nov;5(5):673–90. </w:t>
      </w:r>
    </w:p>
    <w:p w14:paraId="0F6EBED0" w14:textId="77777777" w:rsidR="004B6406" w:rsidRDefault="004B6406" w:rsidP="004B6406">
      <w:pPr>
        <w:pStyle w:val="Bibliography"/>
      </w:pPr>
      <w:r>
        <w:t xml:space="preserve">177. </w:t>
      </w:r>
      <w:r>
        <w:tab/>
        <w:t xml:space="preserve">Yu S, Luo F, Jin LH. The Drosophila lymph gland is an ideal model for studying hematopoiesis. Dev Comp Immunol. 2017 Nov 27; </w:t>
      </w:r>
    </w:p>
    <w:p w14:paraId="269ADCA6" w14:textId="77777777" w:rsidR="004B6406" w:rsidRDefault="004B6406" w:rsidP="004B6406">
      <w:pPr>
        <w:pStyle w:val="Bibliography"/>
      </w:pPr>
      <w:r>
        <w:t xml:space="preserve">178. </w:t>
      </w:r>
      <w:r>
        <w:tab/>
        <w:t xml:space="preserve">Wood W, Jacinto A. Drosophila melanogaster embryonic haemocytes: masters of multitasking. Nat Rev Mol Cell Biol. 2007 Jul;8(7):542–51. </w:t>
      </w:r>
    </w:p>
    <w:p w14:paraId="1E0F90CB" w14:textId="77777777" w:rsidR="004B6406" w:rsidRDefault="004B6406" w:rsidP="004B6406">
      <w:pPr>
        <w:pStyle w:val="Bibliography"/>
      </w:pPr>
      <w:r>
        <w:t xml:space="preserve">179. </w:t>
      </w:r>
      <w:r>
        <w:tab/>
        <w:t xml:space="preserve">Ulvila J, Vanha-Aho L-M, Rämet M. Drosophila phagocytosis - still many unknowns under the surface. APMIS. 2011 Oct;119(10):651–62. </w:t>
      </w:r>
    </w:p>
    <w:p w14:paraId="56326FF8" w14:textId="77777777" w:rsidR="004B6406" w:rsidRDefault="004B6406" w:rsidP="004B6406">
      <w:pPr>
        <w:pStyle w:val="Bibliography"/>
      </w:pPr>
      <w:r>
        <w:t xml:space="preserve">180. </w:t>
      </w:r>
      <w:r>
        <w:tab/>
        <w:t xml:space="preserve">Laughon A, Gesteland RF. Primary structure of the Saccharomyces cerevisiae GAL4 gene. Mol Cell Biol. 1984 Feb;4(2):260–7. </w:t>
      </w:r>
    </w:p>
    <w:p w14:paraId="67FE6E15" w14:textId="77777777" w:rsidR="004B6406" w:rsidRDefault="004B6406" w:rsidP="004B6406">
      <w:pPr>
        <w:pStyle w:val="Bibliography"/>
      </w:pPr>
      <w:r>
        <w:t xml:space="preserve">181. </w:t>
      </w:r>
      <w:r>
        <w:tab/>
        <w:t xml:space="preserve">Laughon A, Driscoll R, Wills N, Gesteland RF. Identification of two proteins encoded by the Saccharomyces cerevisiae GAL4 gene. Mol Cell Biol. 1984 Feb;4(2):268–75. </w:t>
      </w:r>
    </w:p>
    <w:p w14:paraId="26D21889" w14:textId="77777777" w:rsidR="004B6406" w:rsidRDefault="004B6406" w:rsidP="004B6406">
      <w:pPr>
        <w:pStyle w:val="Bibliography"/>
      </w:pPr>
      <w:r>
        <w:t xml:space="preserve">182. </w:t>
      </w:r>
      <w:r>
        <w:tab/>
        <w:t xml:space="preserve">Giniger E, Varnum SM, Ptashne M. Specific DNA binding of GAL4, a positive regulatory protein of yeast. Cell. 1985 Apr;40(4):767–74. </w:t>
      </w:r>
    </w:p>
    <w:p w14:paraId="650411BD" w14:textId="77777777" w:rsidR="004B6406" w:rsidRDefault="004B6406" w:rsidP="004B6406">
      <w:pPr>
        <w:pStyle w:val="Bibliography"/>
      </w:pPr>
      <w:r>
        <w:lastRenderedPageBreak/>
        <w:t xml:space="preserve">183. </w:t>
      </w:r>
      <w:r>
        <w:tab/>
        <w:t xml:space="preserve">Ma J, Ptashne M. A new class of yeast transcriptional activators. Cell. 1987 Oct 9;51(1):113–9. </w:t>
      </w:r>
    </w:p>
    <w:p w14:paraId="682974EC" w14:textId="77777777" w:rsidR="004B6406" w:rsidRDefault="004B6406" w:rsidP="004B6406">
      <w:pPr>
        <w:pStyle w:val="Bibliography"/>
      </w:pPr>
      <w:r>
        <w:t xml:space="preserve">184. </w:t>
      </w:r>
      <w:r>
        <w:tab/>
        <w:t xml:space="preserve">Fischer JA, Giniger E, Maniatis T, Ptashne M. GAL4 activates transcription in Drosophila. Nature. 1988 Apr 28;332(6167):853–6. </w:t>
      </w:r>
    </w:p>
    <w:p w14:paraId="197765D7" w14:textId="77777777" w:rsidR="004B6406" w:rsidRDefault="004B6406" w:rsidP="004B6406">
      <w:pPr>
        <w:pStyle w:val="Bibliography"/>
      </w:pPr>
      <w:r>
        <w:t xml:space="preserve">185. </w:t>
      </w:r>
      <w:r>
        <w:tab/>
        <w:t xml:space="preserve">Brand AH, Perrimon N. Targeted gene expression as a means of altering cell fates and generating dominant phenotypes. Development. 1993 Jun;118(2):401–15. </w:t>
      </w:r>
    </w:p>
    <w:p w14:paraId="148AB65C" w14:textId="77777777" w:rsidR="004B6406" w:rsidRDefault="004B6406" w:rsidP="004B6406">
      <w:pPr>
        <w:pStyle w:val="Bibliography"/>
      </w:pPr>
      <w:r>
        <w:t xml:space="preserve">186. </w:t>
      </w:r>
      <w:r>
        <w:tab/>
        <w:t xml:space="preserve">Hiraizumi Y. Spontaneous recombination in Drosophila melanogaster males. Proc Natl Acad Sci USA. 1971 Feb;68(2):268–70. </w:t>
      </w:r>
    </w:p>
    <w:p w14:paraId="2882A550" w14:textId="77777777" w:rsidR="004B6406" w:rsidRDefault="004B6406" w:rsidP="004B6406">
      <w:pPr>
        <w:pStyle w:val="Bibliography"/>
      </w:pPr>
      <w:r>
        <w:t xml:space="preserve">187. </w:t>
      </w:r>
      <w:r>
        <w:tab/>
        <w:t>Majumdar S, Rio DC. P transposable elements in Drosophila and other eukaryotic organisms. Microbiol Spectr. 2015 Apr;3(2</w:t>
      </w:r>
      <w:proofErr w:type="gramStart"/>
      <w:r>
        <w:t>):MDNA</w:t>
      </w:r>
      <w:proofErr w:type="gramEnd"/>
      <w:r>
        <w:t xml:space="preserve">3-0004–2014. </w:t>
      </w:r>
    </w:p>
    <w:p w14:paraId="370CC940" w14:textId="77777777" w:rsidR="004B6406" w:rsidRDefault="004B6406" w:rsidP="004B6406">
      <w:pPr>
        <w:pStyle w:val="Bibliography"/>
      </w:pPr>
      <w:r>
        <w:t xml:space="preserve">188. </w:t>
      </w:r>
      <w:r>
        <w:tab/>
        <w:t xml:space="preserve">Bachmann A, Knust E. The use of P-element transposons to generate transgenic flies. Methods Mol Biol. </w:t>
      </w:r>
      <w:proofErr w:type="gramStart"/>
      <w:r>
        <w:t>2008;420:61</w:t>
      </w:r>
      <w:proofErr w:type="gramEnd"/>
      <w:r>
        <w:t xml:space="preserve">–77. </w:t>
      </w:r>
    </w:p>
    <w:p w14:paraId="00917844" w14:textId="77777777" w:rsidR="004B6406" w:rsidRDefault="004B6406" w:rsidP="004B6406">
      <w:pPr>
        <w:pStyle w:val="Bibliography"/>
      </w:pPr>
      <w:r>
        <w:t xml:space="preserve">189. </w:t>
      </w:r>
      <w:r>
        <w:tab/>
        <w:t xml:space="preserve">Ryder E, Russell S. Transposable elements as tools for genomics and genetics in Drosophila. Brief Funct Genomic Proteomic. 2003 Apr;2(1):57–71. </w:t>
      </w:r>
    </w:p>
    <w:p w14:paraId="67BF7E46" w14:textId="77777777" w:rsidR="004B6406" w:rsidRDefault="004B6406" w:rsidP="004B6406">
      <w:pPr>
        <w:pStyle w:val="Bibliography"/>
      </w:pPr>
      <w:r>
        <w:t xml:space="preserve">190. </w:t>
      </w:r>
      <w:r>
        <w:tab/>
        <w:t xml:space="preserve">Kvon EZ, Kazmar T, Stampfel G, Yáñez-Cuna JO, Pagani M, Schernhuber K, et al. Genome-scale functional characterization of Drosophila developmental enhancers in vivo. Nature. 2014 Aug 7;512(7512):91–5. </w:t>
      </w:r>
    </w:p>
    <w:p w14:paraId="385C3EC3" w14:textId="77777777" w:rsidR="004B6406" w:rsidRDefault="004B6406" w:rsidP="004B6406">
      <w:pPr>
        <w:pStyle w:val="Bibliography"/>
      </w:pPr>
      <w:r>
        <w:t xml:space="preserve">191. </w:t>
      </w:r>
      <w:r>
        <w:tab/>
        <w:t xml:space="preserve">Singh A. Enhancer trap technique – A novel tool for identification and developmental characterization of Drosophila genes. Current Science. 1995;68(5):517–25. </w:t>
      </w:r>
    </w:p>
    <w:p w14:paraId="45E0A365" w14:textId="77777777" w:rsidR="004B6406" w:rsidRDefault="004B6406" w:rsidP="004B6406">
      <w:pPr>
        <w:pStyle w:val="Bibliography"/>
      </w:pPr>
      <w:r>
        <w:t xml:space="preserve">192. </w:t>
      </w:r>
      <w:r>
        <w:tab/>
        <w:t xml:space="preserve">Buchon N, Silverman N, Cherry S. Immunity in Drosophila melanogaster--from microbial recognition to whole-organism physiology. Nat Rev Immunol. 2014 Dec;14(12):796–810. </w:t>
      </w:r>
    </w:p>
    <w:p w14:paraId="55E92A63" w14:textId="77777777" w:rsidR="004B6406" w:rsidRDefault="004B6406" w:rsidP="004B6406">
      <w:pPr>
        <w:pStyle w:val="Bibliography"/>
      </w:pPr>
      <w:r>
        <w:t xml:space="preserve">193. </w:t>
      </w:r>
      <w:r>
        <w:tab/>
        <w:t xml:space="preserve">Bahar AA, Ren D. Antimicrobial Peptides. Pharmaceuticals (Basel). 2013 Nov 28;6(12):1543–75. </w:t>
      </w:r>
    </w:p>
    <w:p w14:paraId="6D0C09DA" w14:textId="77777777" w:rsidR="004B6406" w:rsidRDefault="004B6406" w:rsidP="004B6406">
      <w:pPr>
        <w:pStyle w:val="Bibliography"/>
      </w:pPr>
      <w:r>
        <w:t xml:space="preserve">194. </w:t>
      </w:r>
      <w:r>
        <w:tab/>
        <w:t xml:space="preserve">Fehlbaum P, Bulet P, Michaut L, Lagueux M, Broekaert WF, Hetru C, et al. Insect immunity. Septic injury of Drosophila induces the synthesis of a potent antifungal peptide with sequence homology to plant antifungal peptides. J Biol Chem. 1994 Dec 30;269(52):33159–63. </w:t>
      </w:r>
    </w:p>
    <w:p w14:paraId="01E2F400" w14:textId="77777777" w:rsidR="004B6406" w:rsidRDefault="004B6406" w:rsidP="004B6406">
      <w:pPr>
        <w:pStyle w:val="Bibliography"/>
      </w:pPr>
      <w:r>
        <w:t xml:space="preserve">195. </w:t>
      </w:r>
      <w:r>
        <w:tab/>
        <w:t xml:space="preserve">Asling B, Dushay MS, Hultmark D. Identification of early genes in the Drosophila immune response by PCR-based differential display: the Attacin A gene and the evolution of attacin-like proteins. Insect Biochem Mol Biol. 1995 Apr;25(4):511–8. </w:t>
      </w:r>
    </w:p>
    <w:p w14:paraId="7AB74497" w14:textId="77777777" w:rsidR="004B6406" w:rsidRDefault="004B6406" w:rsidP="004B6406">
      <w:pPr>
        <w:pStyle w:val="Bibliography"/>
      </w:pPr>
      <w:r>
        <w:t xml:space="preserve">196. </w:t>
      </w:r>
      <w:r>
        <w:tab/>
        <w:t xml:space="preserve">Vierstraete E, Verleyen P, Baggerman G, D’Hertog W, Van den Bergh G, Arckens L, et al. A proteomic approach for the analysis of instantly released wound and immune proteins in Drosophila melanogaster hemolymph. Proc Natl Acad Sci USA. 2004 Jan 13;101(2):470–5. </w:t>
      </w:r>
    </w:p>
    <w:p w14:paraId="63CF5595" w14:textId="77777777" w:rsidR="004B6406" w:rsidRDefault="004B6406" w:rsidP="004B6406">
      <w:pPr>
        <w:pStyle w:val="Bibliography"/>
      </w:pPr>
      <w:r>
        <w:lastRenderedPageBreak/>
        <w:t xml:space="preserve">197. </w:t>
      </w:r>
      <w:r>
        <w:tab/>
        <w:t xml:space="preserve">Imler J-L, Bulet P. Antimicrobial peptides in Drosophila: structures, activities and gene regulation. Chem Immunol Allergy. </w:t>
      </w:r>
      <w:proofErr w:type="gramStart"/>
      <w:r>
        <w:t>2005;86:1</w:t>
      </w:r>
      <w:proofErr w:type="gramEnd"/>
      <w:r>
        <w:t xml:space="preserve">–21. </w:t>
      </w:r>
    </w:p>
    <w:p w14:paraId="2413284C" w14:textId="77777777" w:rsidR="004B6406" w:rsidRDefault="004B6406" w:rsidP="004B6406">
      <w:pPr>
        <w:pStyle w:val="Bibliography"/>
      </w:pPr>
      <w:r>
        <w:t xml:space="preserve">198. </w:t>
      </w:r>
      <w:r>
        <w:tab/>
        <w:t xml:space="preserve">Rizki MTM. Alterations in the haemocyte population of Drosophila melanogaster. J Morphol. 1957 May 1;100(3):437–58. </w:t>
      </w:r>
    </w:p>
    <w:p w14:paraId="0DFDA60F" w14:textId="77777777" w:rsidR="004B6406" w:rsidRDefault="004B6406" w:rsidP="004B6406">
      <w:pPr>
        <w:pStyle w:val="Bibliography"/>
      </w:pPr>
      <w:r>
        <w:t xml:space="preserve">199. </w:t>
      </w:r>
      <w:r>
        <w:tab/>
        <w:t xml:space="preserve">Tang H. Regulation and function of the melanization reaction in Drosophila. Fly (Austin). 2009 Mar;3(1):105–11. </w:t>
      </w:r>
    </w:p>
    <w:p w14:paraId="56D834A3" w14:textId="77777777" w:rsidR="004B6406" w:rsidRDefault="004B6406" w:rsidP="004B6406">
      <w:pPr>
        <w:pStyle w:val="Bibliography"/>
      </w:pPr>
      <w:r>
        <w:t xml:space="preserve">200. </w:t>
      </w:r>
      <w:r>
        <w:tab/>
        <w:t xml:space="preserve">Williams MJ. Drosophila hemopoiesis and cellular immunity. J Immunol. 2007 Apr 15;178(8):4711–6. </w:t>
      </w:r>
    </w:p>
    <w:p w14:paraId="3F682AFB" w14:textId="77777777" w:rsidR="004B6406" w:rsidRDefault="004B6406" w:rsidP="004B6406">
      <w:pPr>
        <w:pStyle w:val="Bibliography"/>
      </w:pPr>
      <w:r>
        <w:t xml:space="preserve">201. </w:t>
      </w:r>
      <w:r>
        <w:tab/>
        <w:t xml:space="preserve">Fauvarque M-O, Williams MJ. Drosophila cellular immunity: a story of migration and adhesion. J Cell Sci. 2011 May 1;124(Pt 9):1373–82. </w:t>
      </w:r>
    </w:p>
    <w:p w14:paraId="1A45A9E4" w14:textId="77777777" w:rsidR="004B6406" w:rsidRDefault="004B6406" w:rsidP="004B6406">
      <w:pPr>
        <w:pStyle w:val="Bibliography"/>
      </w:pPr>
      <w:r>
        <w:t xml:space="preserve">202. </w:t>
      </w:r>
      <w:r>
        <w:tab/>
        <w:t xml:space="preserve">Lebestky T, Chang T, Hartenstein V, Banerjee U. Specification of Drosophila hematopoietic lineage by conserved transcription factors. Science. 2000 Apr 7;288(5463):146–9. </w:t>
      </w:r>
    </w:p>
    <w:p w14:paraId="7D9346F9" w14:textId="77777777" w:rsidR="004B6406" w:rsidRDefault="004B6406" w:rsidP="004B6406">
      <w:pPr>
        <w:pStyle w:val="Bibliography"/>
      </w:pPr>
      <w:r>
        <w:t xml:space="preserve">203. </w:t>
      </w:r>
      <w:r>
        <w:tab/>
        <w:t xml:space="preserve">Lanot R, Zachary D, Holder F, Meister M. Postembryonic hematopoiesis in Drosophila. Dev Biol. 2001 Feb 15;230(2):243–57. </w:t>
      </w:r>
    </w:p>
    <w:p w14:paraId="1616B2AC" w14:textId="77777777" w:rsidR="004B6406" w:rsidRDefault="004B6406" w:rsidP="004B6406">
      <w:pPr>
        <w:pStyle w:val="Bibliography"/>
      </w:pPr>
      <w:r>
        <w:t xml:space="preserve">204. </w:t>
      </w:r>
      <w:r>
        <w:tab/>
        <w:t xml:space="preserve">Rizki TM, Rizki RM, Bellotti RA. Genetics of a Drosophila phenoloxidase. Mol Gen Genet. 1985;201(1):7–13. </w:t>
      </w:r>
    </w:p>
    <w:p w14:paraId="7FD13FD4" w14:textId="77777777" w:rsidR="004B6406" w:rsidRDefault="004B6406" w:rsidP="004B6406">
      <w:pPr>
        <w:pStyle w:val="Bibliography"/>
      </w:pPr>
      <w:r>
        <w:t xml:space="preserve">205. </w:t>
      </w:r>
      <w:r>
        <w:tab/>
        <w:t xml:space="preserve">Rizki TM, Rizki RM. Lamellocyte differentiation in Drosophila larvae parasitized by Leptopilina. Dev Comp Immunol. 1992 Jun;16(2–3):103–10. </w:t>
      </w:r>
    </w:p>
    <w:p w14:paraId="198AB5EF" w14:textId="77777777" w:rsidR="004B6406" w:rsidRDefault="004B6406" w:rsidP="004B6406">
      <w:pPr>
        <w:pStyle w:val="Bibliography"/>
      </w:pPr>
      <w:r>
        <w:t xml:space="preserve">206. </w:t>
      </w:r>
      <w:r>
        <w:tab/>
        <w:t xml:space="preserve">Parsons B, Foley E. Cellular Immune defenses of Drosophila melanogaster. Dev Comp Immunol. 2016; </w:t>
      </w:r>
    </w:p>
    <w:p w14:paraId="7972467F" w14:textId="77777777" w:rsidR="004B6406" w:rsidRDefault="004B6406" w:rsidP="004B6406">
      <w:pPr>
        <w:pStyle w:val="Bibliography"/>
      </w:pPr>
      <w:r>
        <w:t xml:space="preserve">207. </w:t>
      </w:r>
      <w:r>
        <w:tab/>
        <w:t xml:space="preserve">Hanratty WP, Dearolf CR. The Drosophila Tumorous-lethal hematopoietic oncogene is a dominant mutation in the hopscotch locus. Mol Gen Genet. 1993 Apr;238(1–2):33–7. </w:t>
      </w:r>
    </w:p>
    <w:p w14:paraId="30076A94" w14:textId="77777777" w:rsidR="004B6406" w:rsidRDefault="004B6406" w:rsidP="004B6406">
      <w:pPr>
        <w:pStyle w:val="Bibliography"/>
      </w:pPr>
      <w:r>
        <w:t xml:space="preserve">208. </w:t>
      </w:r>
      <w:r>
        <w:tab/>
        <w:t xml:space="preserve">Harrison DA, Binari R, Nahreini TS, Gilman M, Perrimon N. Activation of a Drosophila Janus kinase (JAK) causes hematopoietic neoplasia and developmental defects. EMBO J. 1995 Jun 15;14(12):2857–65. </w:t>
      </w:r>
    </w:p>
    <w:p w14:paraId="27906DBC" w14:textId="77777777" w:rsidR="004B6406" w:rsidRDefault="004B6406" w:rsidP="004B6406">
      <w:pPr>
        <w:pStyle w:val="Bibliography"/>
      </w:pPr>
      <w:r>
        <w:t xml:space="preserve">209. </w:t>
      </w:r>
      <w:r>
        <w:tab/>
        <w:t xml:space="preserve">Luo H, Hanratty WP, Dearolf CR. An amino acid substitution in the Drosophila hopTum-l Jak kinase causes leukemia-like hematopoietic defects. EMBO J. 1995 Apr 3;14(7):1412–20. </w:t>
      </w:r>
    </w:p>
    <w:p w14:paraId="6ACE8116" w14:textId="77777777" w:rsidR="004B6406" w:rsidRDefault="004B6406" w:rsidP="004B6406">
      <w:pPr>
        <w:pStyle w:val="Bibliography"/>
      </w:pPr>
      <w:r>
        <w:t xml:space="preserve">210. </w:t>
      </w:r>
      <w:r>
        <w:tab/>
        <w:t xml:space="preserve">Minakhina S, Tan W, Steward R. JAK/STAT and the GATA factor Pannier control hemocyte maturation and differentiation in Drosophila. Dev Biol. 2011 Apr 15;352(2):308–16. </w:t>
      </w:r>
    </w:p>
    <w:p w14:paraId="0F3B2740" w14:textId="77777777" w:rsidR="004B6406" w:rsidRDefault="004B6406" w:rsidP="004B6406">
      <w:pPr>
        <w:pStyle w:val="Bibliography"/>
      </w:pPr>
      <w:r>
        <w:t xml:space="preserve">211. </w:t>
      </w:r>
      <w:r>
        <w:tab/>
        <w:t xml:space="preserve">Letourneau M, Lapraz F, Sharma A, Vanzo N, Waltzer L, Crozatier M. Drosophila hematopoiesis under normal conditions and in response to immune stress. FEBS Lett. 2016 Nov;590(22):4034–51. </w:t>
      </w:r>
    </w:p>
    <w:p w14:paraId="6B5D7845" w14:textId="77777777" w:rsidR="004B6406" w:rsidRDefault="004B6406" w:rsidP="004B6406">
      <w:pPr>
        <w:pStyle w:val="Bibliography"/>
      </w:pPr>
      <w:r>
        <w:lastRenderedPageBreak/>
        <w:t xml:space="preserve">212. </w:t>
      </w:r>
      <w:r>
        <w:tab/>
        <w:t xml:space="preserve">Crozatier M, Meister M. Drosophila haematopoiesis. Cellular Microbiology. 2007 May 1;9(5):1117–26. </w:t>
      </w:r>
    </w:p>
    <w:p w14:paraId="7BDBEDD7" w14:textId="77777777" w:rsidR="004B6406" w:rsidRDefault="004B6406" w:rsidP="004B6406">
      <w:pPr>
        <w:pStyle w:val="Bibliography"/>
      </w:pPr>
      <w:r>
        <w:t xml:space="preserve">213. </w:t>
      </w:r>
      <w:r>
        <w:tab/>
        <w:t xml:space="preserve">Evans IR, Wood W. Drosophila blood cell chemotaxis. Curr Opin Cell Biol. 2014 </w:t>
      </w:r>
      <w:proofErr w:type="gramStart"/>
      <w:r>
        <w:t>Oct;30:1</w:t>
      </w:r>
      <w:proofErr w:type="gramEnd"/>
      <w:r>
        <w:t xml:space="preserve">–8. </w:t>
      </w:r>
    </w:p>
    <w:p w14:paraId="3F405E32" w14:textId="77777777" w:rsidR="004B6406" w:rsidRDefault="004B6406" w:rsidP="004B6406">
      <w:pPr>
        <w:pStyle w:val="Bibliography"/>
      </w:pPr>
      <w:r>
        <w:t xml:space="preserve">214. </w:t>
      </w:r>
      <w:r>
        <w:tab/>
        <w:t xml:space="preserve">Tepass U, Fessler LI, Aziz A, Hartenstein V. Embryonic origin of hemocytes and their relationship to cell death in Drosophila. Development. 1994 Jul;120(7):1829–37. </w:t>
      </w:r>
    </w:p>
    <w:p w14:paraId="236A7F34" w14:textId="77777777" w:rsidR="004B6406" w:rsidRDefault="004B6406" w:rsidP="004B6406">
      <w:pPr>
        <w:pStyle w:val="Bibliography"/>
      </w:pPr>
      <w:r>
        <w:t xml:space="preserve">215. </w:t>
      </w:r>
      <w:r>
        <w:tab/>
        <w:t xml:space="preserve">Cho NK, Keyes L, Johnson E, Heller J, Ryner L, Karim F, et al. Developmental Control of Blood Cell Migration by the Drosophila VEGF Pathway. Cell. 2002 Mar 22;108(6):865–76. </w:t>
      </w:r>
    </w:p>
    <w:p w14:paraId="479EBBF7" w14:textId="77777777" w:rsidR="004B6406" w:rsidRDefault="004B6406" w:rsidP="004B6406">
      <w:pPr>
        <w:pStyle w:val="Bibliography"/>
      </w:pPr>
      <w:r>
        <w:t xml:space="preserve">216. </w:t>
      </w:r>
      <w:r>
        <w:tab/>
        <w:t xml:space="preserve">Wood W, Faria C, Jacinto A. Distinct mechanisms regulate hemocyte chemotaxis during development and wound healing in Drosophila melanogaster. J Cell Biol. 2006 May 8;173(3):405–16. </w:t>
      </w:r>
    </w:p>
    <w:p w14:paraId="2F9DD6E9" w14:textId="77777777" w:rsidR="004B6406" w:rsidRDefault="004B6406" w:rsidP="004B6406">
      <w:pPr>
        <w:pStyle w:val="Bibliography"/>
      </w:pPr>
      <w:r>
        <w:t xml:space="preserve">217. </w:t>
      </w:r>
      <w:r>
        <w:tab/>
        <w:t xml:space="preserve">Heino TI, Kärpänen T, Wahlström G, Pulkkinen M, Eriksson U, Alitalo K, et al. The Drosophila VEGF receptor homolog is expressed in hemocytes. Mech Dev. 2001 Nov;109(1):69–77. </w:t>
      </w:r>
    </w:p>
    <w:p w14:paraId="554A7CDD" w14:textId="77777777" w:rsidR="004B6406" w:rsidRDefault="004B6406" w:rsidP="004B6406">
      <w:pPr>
        <w:pStyle w:val="Bibliography"/>
      </w:pPr>
      <w:r>
        <w:t xml:space="preserve">218. </w:t>
      </w:r>
      <w:r>
        <w:tab/>
        <w:t xml:space="preserve">Brückner K, Kockel L, Duchek P, Luque CM, Rørth P, Perrimon N. The PDGF/VEGF receptor controls blood cell survival in Drosophila. Dev Cell. 2004 Jul;7(1):73–84. </w:t>
      </w:r>
    </w:p>
    <w:p w14:paraId="25A50A6C" w14:textId="77777777" w:rsidR="004B6406" w:rsidRDefault="004B6406" w:rsidP="004B6406">
      <w:pPr>
        <w:pStyle w:val="Bibliography"/>
      </w:pPr>
      <w:r>
        <w:t xml:space="preserve">219. </w:t>
      </w:r>
      <w:r>
        <w:tab/>
        <w:t xml:space="preserve">Evans IR, Hu N, Skaer H, Wood W. Interdependence of macrophage migration and ventral nerve cord development in Drosophila embryos. Development. 2010 May 15;137(10):1625–33. </w:t>
      </w:r>
    </w:p>
    <w:p w14:paraId="478D866F" w14:textId="77777777" w:rsidR="004B6406" w:rsidRDefault="004B6406" w:rsidP="004B6406">
      <w:pPr>
        <w:pStyle w:val="Bibliography"/>
      </w:pPr>
      <w:r>
        <w:t xml:space="preserve">220. </w:t>
      </w:r>
      <w:r>
        <w:tab/>
        <w:t xml:space="preserve">Siekhaus D, Haesemeyer M, Moffitt O, Lehmann R. RhoL controls invasion and Rap1 localization during immune cell transmigration in Drosophila. Nat Cell Biol. 2010 Jun;12(6):605–10. </w:t>
      </w:r>
    </w:p>
    <w:p w14:paraId="1B6B28D1" w14:textId="77777777" w:rsidR="004B6406" w:rsidRDefault="004B6406" w:rsidP="004B6406">
      <w:pPr>
        <w:pStyle w:val="Bibliography"/>
      </w:pPr>
      <w:r>
        <w:t xml:space="preserve">221. </w:t>
      </w:r>
      <w:r>
        <w:tab/>
        <w:t xml:space="preserve">Ratheesh A, Belyaeva V, Siekhaus DE. Drosophila immune cell migration and adhesion during embryonic development and larval immune responses. Current Opinion in Cell Biology. 2015 </w:t>
      </w:r>
      <w:proofErr w:type="gramStart"/>
      <w:r>
        <w:t>Oct;36:71</w:t>
      </w:r>
      <w:proofErr w:type="gramEnd"/>
      <w:r>
        <w:t xml:space="preserve">–9. </w:t>
      </w:r>
    </w:p>
    <w:p w14:paraId="7909A141" w14:textId="77777777" w:rsidR="004B6406" w:rsidRDefault="004B6406" w:rsidP="004B6406">
      <w:pPr>
        <w:pStyle w:val="Bibliography"/>
      </w:pPr>
      <w:r>
        <w:t xml:space="preserve">222. </w:t>
      </w:r>
      <w:r>
        <w:tab/>
        <w:t xml:space="preserve">Parsons B, Foley E. The Drosophila Platelet-derived Growth Factor and Vascular Endothelial Growth Factor-Receptor Related (Pvr) Protein Ligands Pvf2 and Pvf3 Control Hemocyte Viability and Invasive Migration. J Biol Chem. 2013 Jul 12;288(28):20173–83. </w:t>
      </w:r>
    </w:p>
    <w:p w14:paraId="017C37D3" w14:textId="77777777" w:rsidR="004B6406" w:rsidRDefault="004B6406" w:rsidP="004B6406">
      <w:pPr>
        <w:pStyle w:val="Bibliography"/>
      </w:pPr>
      <w:r>
        <w:t xml:space="preserve">223. </w:t>
      </w:r>
      <w:r>
        <w:tab/>
        <w:t xml:space="preserve">Ratheesh A, Biebl J, Vesela J, Smutny M, Papusheva E, Krens SFG, et al. Drosophila TNF Modulates Tissue Tension in the Embryo to Facilitate Macrophage Invasive Migration. Dev Cell. 2018 07;45(3):331-346.e7. </w:t>
      </w:r>
    </w:p>
    <w:p w14:paraId="15763AD9" w14:textId="77777777" w:rsidR="004B6406" w:rsidRDefault="004B6406" w:rsidP="004B6406">
      <w:pPr>
        <w:pStyle w:val="Bibliography"/>
      </w:pPr>
      <w:r>
        <w:t xml:space="preserve">224. </w:t>
      </w:r>
      <w:r>
        <w:tab/>
        <w:t xml:space="preserve">Moreira S, Stramer B, Evans I, Wood W, Martin P. Prioritization of competing damage and developmental signals by migrating macrophages in the Drosophila embryo. Curr Biol. 2010 Mar 9;20(5):464–70. </w:t>
      </w:r>
    </w:p>
    <w:p w14:paraId="73BC5C37" w14:textId="77777777" w:rsidR="004B6406" w:rsidRDefault="004B6406" w:rsidP="004B6406">
      <w:pPr>
        <w:pStyle w:val="Bibliography"/>
      </w:pPr>
      <w:r>
        <w:lastRenderedPageBreak/>
        <w:t xml:space="preserve">225. </w:t>
      </w:r>
      <w:r>
        <w:tab/>
        <w:t xml:space="preserve">Evans IR, Ghai PA, Urbančič V, Tan K-L, Wood W. SCAR/WAVE-mediated processing of engulfed apoptotic corpses is essential for effective macrophage migration in Drosophila. Cell Death Differ. 2013 May;20(5):709–20. </w:t>
      </w:r>
    </w:p>
    <w:p w14:paraId="1C2A96F7" w14:textId="77777777" w:rsidR="004B6406" w:rsidRDefault="004B6406" w:rsidP="004B6406">
      <w:pPr>
        <w:pStyle w:val="Bibliography"/>
      </w:pPr>
      <w:r>
        <w:t xml:space="preserve">226. </w:t>
      </w:r>
      <w:r>
        <w:tab/>
        <w:t xml:space="preserve">Arandjelovic S, Ravichandran KS. Phagocytosis of apoptotic cells in homeostasis. Nat Immunol. 2015 Aug 19;16(9):907–17. </w:t>
      </w:r>
    </w:p>
    <w:p w14:paraId="28EE5008" w14:textId="77777777" w:rsidR="004B6406" w:rsidRDefault="004B6406" w:rsidP="004B6406">
      <w:pPr>
        <w:pStyle w:val="Bibliography"/>
      </w:pPr>
      <w:r>
        <w:t xml:space="preserve">227. </w:t>
      </w:r>
      <w:r>
        <w:tab/>
        <w:t xml:space="preserve">Franc NC, Heitzler P, Ezekowitz RA, White K. Requirement for croquemort in phagocytosis of apoptotic cells in Drosophila. Science. 1999 Jun 18;284(5422):1991–4. </w:t>
      </w:r>
    </w:p>
    <w:p w14:paraId="598115A0" w14:textId="77777777" w:rsidR="004B6406" w:rsidRDefault="004B6406" w:rsidP="004B6406">
      <w:pPr>
        <w:pStyle w:val="Bibliography"/>
      </w:pPr>
      <w:r>
        <w:t xml:space="preserve">228. </w:t>
      </w:r>
      <w:r>
        <w:tab/>
        <w:t xml:space="preserve">Franc NC, Dimarcq JL, Lagueux M, Hoffmann J, Ezekowitz RA. Croquemort, a novel Drosophila hemocyte/macrophage receptor that recognizes apoptotic cells. Immunity. 1996 May;4(5):431–43. </w:t>
      </w:r>
    </w:p>
    <w:p w14:paraId="48278958" w14:textId="77777777" w:rsidR="004B6406" w:rsidRDefault="004B6406" w:rsidP="004B6406">
      <w:pPr>
        <w:pStyle w:val="Bibliography"/>
      </w:pPr>
      <w:r>
        <w:t xml:space="preserve">229. </w:t>
      </w:r>
      <w:r>
        <w:tab/>
        <w:t>Guillou A, Troha K, Wang H, Franc NC, Buchon N. The Drosophila CD36 Homologue croquemort Is Required to Maintain Immune and Gut Homeostasis during Development and Aging. PLoS Pathog [Internet]. 2016 Oct 25 [cited 2019 Jan 14];12(10). Available from: https://www.ncbi.nlm.nih.gov/pmc/articles/PMC5079587/</w:t>
      </w:r>
    </w:p>
    <w:p w14:paraId="2FCCD63A" w14:textId="77777777" w:rsidR="004B6406" w:rsidRDefault="004B6406" w:rsidP="004B6406">
      <w:pPr>
        <w:pStyle w:val="Bibliography"/>
      </w:pPr>
      <w:r>
        <w:t xml:space="preserve">230. </w:t>
      </w:r>
      <w:r>
        <w:tab/>
        <w:t xml:space="preserve">Manaka J, Kuraishi T, Shiratsuchi A, Nakai Y, Higashida H, Henson P, et al. Draper-mediated and phosphatidylserine-independent phagocytosis of apoptotic cells by Drosophila hemocytes/macrophages. J Biol Chem. 2004 Nov 12;279(46):48466–76. </w:t>
      </w:r>
    </w:p>
    <w:p w14:paraId="60434011" w14:textId="77777777" w:rsidR="004B6406" w:rsidRDefault="004B6406" w:rsidP="004B6406">
      <w:pPr>
        <w:pStyle w:val="Bibliography"/>
      </w:pPr>
      <w:r>
        <w:t xml:space="preserve">231. </w:t>
      </w:r>
      <w:r>
        <w:tab/>
        <w:t xml:space="preserve">Kurant E, Axelrod S, Leaman D, Gaul U. Six-microns-under acts upstream of Draper in the glial phagocytosis of apoptotic neurons. Cell. 2008 May 2;133(3):498–509. </w:t>
      </w:r>
    </w:p>
    <w:p w14:paraId="0EFDB395" w14:textId="77777777" w:rsidR="004B6406" w:rsidRDefault="004B6406" w:rsidP="004B6406">
      <w:pPr>
        <w:pStyle w:val="Bibliography"/>
      </w:pPr>
      <w:r>
        <w:t xml:space="preserve">232. </w:t>
      </w:r>
      <w:r>
        <w:tab/>
        <w:t xml:space="preserve">Weavers H, Evans IR, Martin P, Wood W. Corpse Engulfment Generates a Molecular Memory that Primes the Macrophage Inflammatory Response. Cell. 2016 Jun 16;165(7):1658–71. </w:t>
      </w:r>
    </w:p>
    <w:p w14:paraId="35DF01B8" w14:textId="77777777" w:rsidR="004B6406" w:rsidRDefault="004B6406" w:rsidP="004B6406">
      <w:pPr>
        <w:pStyle w:val="Bibliography"/>
      </w:pPr>
      <w:r>
        <w:t xml:space="preserve">233. </w:t>
      </w:r>
      <w:r>
        <w:tab/>
        <w:t xml:space="preserve">Defaye A, Evans I, Crozatier M, Wood W, Lemaitre B, Leulier F. Genetic ablation of Drosophila phagocytes reveals their contribution to both development and resistance to bacterial infection. J Innate Immun. 2009;1(4):322–34. </w:t>
      </w:r>
    </w:p>
    <w:p w14:paraId="4751B839" w14:textId="77777777" w:rsidR="004B6406" w:rsidRDefault="004B6406" w:rsidP="004B6406">
      <w:pPr>
        <w:pStyle w:val="Bibliography"/>
      </w:pPr>
      <w:r>
        <w:t xml:space="preserve">234. </w:t>
      </w:r>
      <w:r>
        <w:tab/>
        <w:t xml:space="preserve">Bunt S, Hooley C, Hu N, Scahill C, Weavers H, Skaer H. Hemocyte-Secreted Type IV Collagen Enhances BMP Signaling to Guide Renal Tubule Morphogenesis in Drosophila. Dev Cell. 2010 Aug 17;19(2):296–306. </w:t>
      </w:r>
    </w:p>
    <w:p w14:paraId="25154E62" w14:textId="77777777" w:rsidR="004B6406" w:rsidRDefault="004B6406" w:rsidP="004B6406">
      <w:pPr>
        <w:pStyle w:val="Bibliography"/>
      </w:pPr>
      <w:r>
        <w:t xml:space="preserve">235. </w:t>
      </w:r>
      <w:r>
        <w:tab/>
        <w:t xml:space="preserve">Olofsson B, Page DT. Condensation of the central nervous system in embryonic Drosophila is inhibited by blocking hemocyte migration or neural activity. Dev Biol. 2005 Mar 1;279(1):233–43. </w:t>
      </w:r>
    </w:p>
    <w:p w14:paraId="3D6CB9C1" w14:textId="77777777" w:rsidR="004B6406" w:rsidRDefault="004B6406" w:rsidP="004B6406">
      <w:pPr>
        <w:pStyle w:val="Bibliography"/>
      </w:pPr>
      <w:r>
        <w:t xml:space="preserve">236. </w:t>
      </w:r>
      <w:r>
        <w:tab/>
        <w:t xml:space="preserve">Babcock DT, Brock AR, Fish GS, Wang Y, Perrin L, Krasnow MA, et al. Circulating blood cells function as a surveillance system for damaged tissue in Drosophila larvae. Proc Natl Acad Sci USA. 2008 Jul 22;105(29):10017–22. </w:t>
      </w:r>
    </w:p>
    <w:p w14:paraId="0F1EE4C7" w14:textId="77777777" w:rsidR="004B6406" w:rsidRDefault="004B6406" w:rsidP="004B6406">
      <w:pPr>
        <w:pStyle w:val="Bibliography"/>
      </w:pPr>
      <w:r>
        <w:lastRenderedPageBreak/>
        <w:t xml:space="preserve">237. </w:t>
      </w:r>
      <w:r>
        <w:tab/>
        <w:t xml:space="preserve">Charroux B, Royet J. Elimination of plasmatocytes by targeted apoptosis reveals their role in multiple aspects of the Drosophila immune response. PNAS. 2009 Jun 16;106(24):9797–802. </w:t>
      </w:r>
    </w:p>
    <w:p w14:paraId="2F3B5A98" w14:textId="77777777" w:rsidR="004B6406" w:rsidRDefault="004B6406" w:rsidP="004B6406">
      <w:pPr>
        <w:pStyle w:val="Bibliography"/>
      </w:pPr>
      <w:r>
        <w:t xml:space="preserve">238. </w:t>
      </w:r>
      <w:r>
        <w:tab/>
        <w:t xml:space="preserve">Dionne MS, Schneider DS. Models of infectious diseases in the fruit fly Drosophila melanogaster. Disease Models &amp; Mechanisms. 2008 Jul 1;1(1):43–9. </w:t>
      </w:r>
    </w:p>
    <w:p w14:paraId="130F4AD2" w14:textId="77777777" w:rsidR="004B6406" w:rsidRDefault="004B6406" w:rsidP="004B6406">
      <w:pPr>
        <w:pStyle w:val="Bibliography"/>
      </w:pPr>
      <w:r>
        <w:t xml:space="preserve">239. </w:t>
      </w:r>
      <w:r>
        <w:tab/>
        <w:t>Nehme NT, Liégeois S, Kele B, Giammarinaro P, Pradel E, Hoffmann JA, et al. A model of bacterial intestinal infections in Drosophila melanogaster. PLoS Pathog. 2007 Nov;3(11</w:t>
      </w:r>
      <w:proofErr w:type="gramStart"/>
      <w:r>
        <w:t>):e</w:t>
      </w:r>
      <w:proofErr w:type="gramEnd"/>
      <w:r>
        <w:t xml:space="preserve">173. </w:t>
      </w:r>
    </w:p>
    <w:p w14:paraId="4CB60659" w14:textId="77777777" w:rsidR="004B6406" w:rsidRDefault="004B6406" w:rsidP="004B6406">
      <w:pPr>
        <w:pStyle w:val="Bibliography"/>
      </w:pPr>
      <w:r>
        <w:t xml:space="preserve">240. </w:t>
      </w:r>
      <w:r>
        <w:tab/>
        <w:t xml:space="preserve">Kaneko T, Yano T, Aggarwal K, Lim J-H, Ueda K, Oshima Y, et al. PGRP-LC and PGRP-LE have essential yet distinct functions in the drosophila immune response to monomeric DAP-type peptidoglycan. Nat Immunol. 2006 Jul;7(7):715–23. </w:t>
      </w:r>
    </w:p>
    <w:p w14:paraId="7E1E56AD" w14:textId="77777777" w:rsidR="004B6406" w:rsidRDefault="004B6406" w:rsidP="004B6406">
      <w:pPr>
        <w:pStyle w:val="Bibliography"/>
      </w:pPr>
      <w:r>
        <w:t xml:space="preserve">241. </w:t>
      </w:r>
      <w:r>
        <w:tab/>
        <w:t xml:space="preserve">Sharma P, Dube D, Singh A, Mishra B, Singh N, Sinha M, et al. Structural basis of recognition of pathogen-associated molecular patterns and inhibition of proinflammatory cytokines by camel peptidoglycan recognition protein. J Biol Chem. 2011 May 6;286(18):16208–17. </w:t>
      </w:r>
    </w:p>
    <w:p w14:paraId="6CF01C96" w14:textId="77777777" w:rsidR="004B6406" w:rsidRDefault="004B6406" w:rsidP="004B6406">
      <w:pPr>
        <w:pStyle w:val="Bibliography"/>
      </w:pPr>
      <w:r>
        <w:t xml:space="preserve">242. </w:t>
      </w:r>
      <w:r>
        <w:tab/>
        <w:t xml:space="preserve">Shia AKH, Glittenberg M, Thompson G, Weber AN, Reichhart J-M, Ligoxygakis P. Toll-dependent antimicrobial responses in Drosophila larval fat body require Spätzle secreted by haemocytes. J Cell Sci. 2009 Dec 15;122(Pt 24):4505–15. </w:t>
      </w:r>
    </w:p>
    <w:p w14:paraId="52859C81" w14:textId="77777777" w:rsidR="004B6406" w:rsidRDefault="004B6406" w:rsidP="004B6406">
      <w:pPr>
        <w:pStyle w:val="Bibliography"/>
      </w:pPr>
      <w:r>
        <w:t xml:space="preserve">243. </w:t>
      </w:r>
      <w:r>
        <w:tab/>
        <w:t>Schmid MR, Anderl I, Vesala L, Vanha-aho L-M, Deng X-J, Rämet M, et al. Control of Drosophila Blood Cell Activation via Toll Signaling in the Fat Body. PLoS ONE. 2014 Aug 7;9(8</w:t>
      </w:r>
      <w:proofErr w:type="gramStart"/>
      <w:r>
        <w:t>):e</w:t>
      </w:r>
      <w:proofErr w:type="gramEnd"/>
      <w:r>
        <w:t xml:space="preserve">102568. </w:t>
      </w:r>
    </w:p>
    <w:p w14:paraId="6AD1DDFF" w14:textId="77777777" w:rsidR="004B6406" w:rsidRDefault="004B6406" w:rsidP="004B6406">
      <w:pPr>
        <w:pStyle w:val="Bibliography"/>
      </w:pPr>
      <w:r>
        <w:t xml:space="preserve">244. </w:t>
      </w:r>
      <w:r>
        <w:tab/>
        <w:t xml:space="preserve">Kocks C, Cho JH, Nehme N, Ulvila J, Pearson AM, Meister M, et al. Eater, a transmembrane protein mediating phagocytosis of bacterial pathogens in Drosophila. Cell. 2005 Oct 21;123(2):335–46. </w:t>
      </w:r>
    </w:p>
    <w:p w14:paraId="103E7760" w14:textId="77777777" w:rsidR="004B6406" w:rsidRDefault="004B6406" w:rsidP="004B6406">
      <w:pPr>
        <w:pStyle w:val="Bibliography"/>
      </w:pPr>
      <w:r>
        <w:t xml:space="preserve">245. </w:t>
      </w:r>
      <w:r>
        <w:tab/>
        <w:t xml:space="preserve">Kurucz E, Márkus R, Zsámboki J, Folkl-Medzihradszky K, Darula Z, Vilmos P, et al. Nimrod, a putative phagocytosis receptor with EGF repeats in Drosophila plasmatocytes. Curr Biol. 2007 Apr 3;17(7):649–54. </w:t>
      </w:r>
    </w:p>
    <w:p w14:paraId="47765B8A" w14:textId="77777777" w:rsidR="004B6406" w:rsidRDefault="004B6406" w:rsidP="004B6406">
      <w:pPr>
        <w:pStyle w:val="Bibliography"/>
      </w:pPr>
      <w:r>
        <w:t xml:space="preserve">246. </w:t>
      </w:r>
      <w:r>
        <w:tab/>
        <w:t xml:space="preserve">Shiratsuchi A, Mori T, Sakurai K, Nagaosa K, Sekimizu K, Lee BL, et al. Independent recognition of Staphylococcus aureus by two receptors for phagocytosis in Drosophila. J Biol Chem. 2012 Jun 22;287(26):21663–72. </w:t>
      </w:r>
    </w:p>
    <w:p w14:paraId="22A2A9C8" w14:textId="77777777" w:rsidR="004B6406" w:rsidRDefault="004B6406" w:rsidP="004B6406">
      <w:pPr>
        <w:pStyle w:val="Bibliography"/>
      </w:pPr>
      <w:r>
        <w:t xml:space="preserve">247. </w:t>
      </w:r>
      <w:r>
        <w:tab/>
        <w:t xml:space="preserve">Stuart LM, Deng J, Silver JM, Takahashi K, Tseng AA, Hennessy EJ, et al. Response to Staphylococcus aureus requires CD36-mediated phagocytosis triggered by the COOH-terminal cytoplasmic domain. J Cell Biol. 2005 Aug 1;170(3):477–85. </w:t>
      </w:r>
    </w:p>
    <w:p w14:paraId="55581FAB" w14:textId="77777777" w:rsidR="004B6406" w:rsidRDefault="004B6406" w:rsidP="004B6406">
      <w:pPr>
        <w:pStyle w:val="Bibliography"/>
      </w:pPr>
      <w:r>
        <w:t xml:space="preserve">248. </w:t>
      </w:r>
      <w:r>
        <w:tab/>
        <w:t xml:space="preserve">Stramer B, Wood W, Galko MJ, Redd MJ, Jacinto A, Parkhurst SM, et al. Live imaging of wound inflammation in Drosophila embryos reveals key roles for small GTPases during in vivo cell migration. J Cell Biol. 2005 Feb 14;168(4):567–73. </w:t>
      </w:r>
    </w:p>
    <w:p w14:paraId="30C3BDEF" w14:textId="77777777" w:rsidR="004B6406" w:rsidRDefault="004B6406" w:rsidP="004B6406">
      <w:pPr>
        <w:pStyle w:val="Bibliography"/>
      </w:pPr>
      <w:r>
        <w:lastRenderedPageBreak/>
        <w:t xml:space="preserve">249. </w:t>
      </w:r>
      <w:r>
        <w:tab/>
        <w:t xml:space="preserve">Pastor-Pareja JC, Wu M, Xu T. An innate immune response of blood cells to tumors and tissue damage in Drosophila. Disease Models and Mechanisms. 2008 Sep 1;1(2–3):144–54. </w:t>
      </w:r>
    </w:p>
    <w:p w14:paraId="605A595B" w14:textId="77777777" w:rsidR="004B6406" w:rsidRDefault="004B6406" w:rsidP="004B6406">
      <w:pPr>
        <w:pStyle w:val="Bibliography"/>
      </w:pPr>
      <w:r>
        <w:t xml:space="preserve">250. </w:t>
      </w:r>
      <w:r>
        <w:tab/>
        <w:t xml:space="preserve">Agaisse H, Petersen UM, Boutros M, Mathey-Prevot B, Perrimon N. Signaling role of hemocytes in Drosophila JAK/STAT-dependent response to septic injury. Dev Cell. 2003 Sep;5(3):441–50. </w:t>
      </w:r>
    </w:p>
    <w:p w14:paraId="0522E89B" w14:textId="77777777" w:rsidR="004B6406" w:rsidRDefault="004B6406" w:rsidP="004B6406">
      <w:pPr>
        <w:pStyle w:val="Bibliography"/>
      </w:pPr>
      <w:r>
        <w:t xml:space="preserve">251. </w:t>
      </w:r>
      <w:r>
        <w:tab/>
        <w:t xml:space="preserve">Razzell W, Evans IR, Martin P, Wood W. Calcium flashes orchestrate the wound inflammatory response through DUOX activation and hydrogen peroxide release. Curr Biol. 2013 Mar 4;23(5):424–9. </w:t>
      </w:r>
    </w:p>
    <w:p w14:paraId="27422F0B" w14:textId="77777777" w:rsidR="004B6406" w:rsidRDefault="004B6406" w:rsidP="004B6406">
      <w:pPr>
        <w:pStyle w:val="Bibliography"/>
      </w:pPr>
      <w:r>
        <w:t xml:space="preserve">252. </w:t>
      </w:r>
      <w:r>
        <w:tab/>
        <w:t xml:space="preserve">Weavers H, Liepe J, Sim A, Wood W, Martin P, Stumpf MPH. Systems Analysis of the Dynamic Inflammatory Response to Tissue Damage Reveals Spatiotemporal Properties of the Wound Attractant Gradient. Curr Biol. 2016 Aug 8;26(15):1975–89. </w:t>
      </w:r>
    </w:p>
    <w:p w14:paraId="31137D55" w14:textId="77777777" w:rsidR="004B6406" w:rsidRDefault="004B6406" w:rsidP="004B6406">
      <w:pPr>
        <w:pStyle w:val="Bibliography"/>
      </w:pPr>
      <w:r>
        <w:t xml:space="preserve">253. </w:t>
      </w:r>
      <w:r>
        <w:tab/>
        <w:t xml:space="preserve">Evans IR, Rodrigues FSLM, Armitage EL, Wood W. Draper/CED-1 mediates an ancient damage response to control inflammatory blood cell migration in vivo. Curr Biol. 2015 Jun 15;25(12):1606–12. </w:t>
      </w:r>
    </w:p>
    <w:p w14:paraId="53BBF288" w14:textId="77777777" w:rsidR="004B6406" w:rsidRDefault="004B6406" w:rsidP="004B6406">
      <w:pPr>
        <w:pStyle w:val="Bibliography"/>
      </w:pPr>
      <w:r>
        <w:t xml:space="preserve">254. </w:t>
      </w:r>
      <w:r>
        <w:tab/>
        <w:t>Anderl I, Hultmark D. New ways to make a blood cell. eLife [Internet]. 2015 [cited 2015 Oct 13];4. Available from: http://www.ncbi.nlm.nih.gov/pmc/articles/PMC4357284/</w:t>
      </w:r>
    </w:p>
    <w:p w14:paraId="6C541E46" w14:textId="77777777" w:rsidR="004B6406" w:rsidRDefault="004B6406" w:rsidP="004B6406">
      <w:pPr>
        <w:pStyle w:val="Bibliography"/>
      </w:pPr>
      <w:r>
        <w:t xml:space="preserve">255. </w:t>
      </w:r>
      <w:r>
        <w:tab/>
        <w:t xml:space="preserve">Banerjee U, Girard JR, Goins LM, Spratford CM. Drosophila as a Genetic Model for Hematopoiesis. Genetics. 2019 Feb;211(2):367–417. </w:t>
      </w:r>
    </w:p>
    <w:p w14:paraId="721A5F95" w14:textId="77777777" w:rsidR="004B6406" w:rsidRDefault="004B6406" w:rsidP="004B6406">
      <w:pPr>
        <w:pStyle w:val="Bibliography"/>
      </w:pPr>
      <w:r>
        <w:t xml:space="preserve">256. </w:t>
      </w:r>
      <w:r>
        <w:tab/>
        <w:t xml:space="preserve">Rehorn KP, Thelen H, Michelson AM, Reuter R. A molecular aspect of hematopoiesis and endoderm development common to vertebrates and Drosophila. Development. 1996 Dec 1;122(12):4023–31. </w:t>
      </w:r>
    </w:p>
    <w:p w14:paraId="78D1D694" w14:textId="77777777" w:rsidR="004B6406" w:rsidRDefault="004B6406" w:rsidP="004B6406">
      <w:pPr>
        <w:pStyle w:val="Bibliography"/>
      </w:pPr>
      <w:r>
        <w:t xml:space="preserve">257. </w:t>
      </w:r>
      <w:r>
        <w:tab/>
        <w:t xml:space="preserve">Meister M. Blood cells of Drosophila: cell lineages and role in host defence. Current Opinion in Immunology. 2004 Feb 1;16(1):10–5. </w:t>
      </w:r>
    </w:p>
    <w:p w14:paraId="2521EAEC" w14:textId="77777777" w:rsidR="004B6406" w:rsidRDefault="004B6406" w:rsidP="004B6406">
      <w:pPr>
        <w:pStyle w:val="Bibliography"/>
      </w:pPr>
      <w:r>
        <w:t xml:space="preserve">258. </w:t>
      </w:r>
      <w:r>
        <w:tab/>
        <w:t xml:space="preserve">Alfonso TB, Jones BW. gcm2 promotes glial cell differentiation and is required with glial cells missing for macrophage development in Drosophila. Dev Biol. 2002 Aug 15;248(2):369–83. </w:t>
      </w:r>
    </w:p>
    <w:p w14:paraId="213E1CA7" w14:textId="77777777" w:rsidR="004B6406" w:rsidRDefault="004B6406" w:rsidP="004B6406">
      <w:pPr>
        <w:pStyle w:val="Bibliography"/>
      </w:pPr>
      <w:r>
        <w:t xml:space="preserve">259. </w:t>
      </w:r>
      <w:r>
        <w:tab/>
        <w:t xml:space="preserve">Bernardoni R, Vivancos V, Giangrande A. glide/gcm is expressed and required in the scavenger cell lineage. Dev Biol. 1997 Nov 1;191(1):118–30. </w:t>
      </w:r>
    </w:p>
    <w:p w14:paraId="66DDFFFE" w14:textId="77777777" w:rsidR="004B6406" w:rsidRDefault="004B6406" w:rsidP="004B6406">
      <w:pPr>
        <w:pStyle w:val="Bibliography"/>
      </w:pPr>
      <w:r>
        <w:t xml:space="preserve">260. </w:t>
      </w:r>
      <w:r>
        <w:tab/>
        <w:t xml:space="preserve">Bataillé L, Augé B, Ferjoux G, Haenlin M, Waltzer L. Resolving embryonic blood cell fate choice in Drosophila: interplay of GCM and RUNX factors. Development. 2005 Oct;132(20):4635–44. </w:t>
      </w:r>
    </w:p>
    <w:p w14:paraId="6DB29E7E" w14:textId="77777777" w:rsidR="004B6406" w:rsidRDefault="004B6406" w:rsidP="004B6406">
      <w:pPr>
        <w:pStyle w:val="Bibliography"/>
      </w:pPr>
      <w:r>
        <w:t xml:space="preserve">261. </w:t>
      </w:r>
      <w:r>
        <w:tab/>
        <w:t xml:space="preserve">Ginhoux F, Guilliams M. Tissue-Resident Macrophage Ontogeny and Homeostasis. Immunity. 2016 Mar 15;44(3):439–49. </w:t>
      </w:r>
    </w:p>
    <w:p w14:paraId="78774533" w14:textId="77777777" w:rsidR="004B6406" w:rsidRDefault="004B6406" w:rsidP="004B6406">
      <w:pPr>
        <w:pStyle w:val="Bibliography"/>
      </w:pPr>
      <w:r>
        <w:lastRenderedPageBreak/>
        <w:t xml:space="preserve">262. </w:t>
      </w:r>
      <w:r>
        <w:tab/>
        <w:t xml:space="preserve">Honti V, Csordás G, Márkus R, Kurucz E, Jankovics F, Andó I. Cell lineage tracing reveals the plasticity of the hemocyte lineages and of the hematopoietic compartments in Drosophila melanogaster. Mol Immunol. 2010 Jul;47(11–12):1997–2004. </w:t>
      </w:r>
    </w:p>
    <w:p w14:paraId="12A6B86E" w14:textId="77777777" w:rsidR="004B6406" w:rsidRDefault="004B6406" w:rsidP="004B6406">
      <w:pPr>
        <w:pStyle w:val="Bibliography"/>
      </w:pPr>
      <w:r>
        <w:t xml:space="preserve">263. </w:t>
      </w:r>
      <w:r>
        <w:tab/>
        <w:t>Csordás G, Varga GIB, Honti V, Jankovics F, Kurucz É, Andó I. In vivo immunostaining of hemocyte compartments in Drosophila for live imaging. PLoS ONE. 2014;9(6</w:t>
      </w:r>
      <w:proofErr w:type="gramStart"/>
      <w:r>
        <w:t>):e</w:t>
      </w:r>
      <w:proofErr w:type="gramEnd"/>
      <w:r>
        <w:t xml:space="preserve">98191. </w:t>
      </w:r>
    </w:p>
    <w:p w14:paraId="20FE1407" w14:textId="77777777" w:rsidR="004B6406" w:rsidRDefault="004B6406" w:rsidP="004B6406">
      <w:pPr>
        <w:pStyle w:val="Bibliography"/>
      </w:pPr>
      <w:r>
        <w:t xml:space="preserve">264. </w:t>
      </w:r>
      <w:r>
        <w:tab/>
        <w:t xml:space="preserve">Grigorian M, Mandal L, Hartenstein V. Hematopoiesis at the onset of metamorphosis: terminal differentiation and dissociation of the Drosophila lymph gland. Dev Genes Evol. 2011 Aug;221(3):121–31. </w:t>
      </w:r>
    </w:p>
    <w:p w14:paraId="4E530FA2" w14:textId="77777777" w:rsidR="004B6406" w:rsidRDefault="004B6406" w:rsidP="004B6406">
      <w:pPr>
        <w:pStyle w:val="Bibliography"/>
      </w:pPr>
      <w:r>
        <w:t xml:space="preserve">265. </w:t>
      </w:r>
      <w:r>
        <w:tab/>
        <w:t xml:space="preserve">Lebestky T, Jung S-H, Banerjee U. A Serrate-expressing signaling center controls Drosophila hematopoiesis. Genes Dev. 2003 Feb 1;17(3):348–53. </w:t>
      </w:r>
    </w:p>
    <w:p w14:paraId="638B9171" w14:textId="77777777" w:rsidR="004B6406" w:rsidRDefault="004B6406" w:rsidP="004B6406">
      <w:pPr>
        <w:pStyle w:val="Bibliography"/>
      </w:pPr>
      <w:r>
        <w:t xml:space="preserve">266. </w:t>
      </w:r>
      <w:r>
        <w:tab/>
        <w:t xml:space="preserve">Gao H, Wu X, Fossett N. Upregulation of the Drosophila Friend of GATA Gene u-shaped by JAK/STAT Signaling Maintains Lymph Gland Prohemocyte Potency. Mol Cell Biol. 2009 Nov 15;29(22):6086–96. </w:t>
      </w:r>
    </w:p>
    <w:p w14:paraId="7C5782D9" w14:textId="77777777" w:rsidR="004B6406" w:rsidRDefault="004B6406" w:rsidP="004B6406">
      <w:pPr>
        <w:pStyle w:val="Bibliography"/>
      </w:pPr>
      <w:r>
        <w:t xml:space="preserve">267. </w:t>
      </w:r>
      <w:r>
        <w:tab/>
        <w:t xml:space="preserve">Agaisse H, Perrimon N. The roles of JAK/STAT signaling in Drosophila immune responses. Immunol Rev. 2004 </w:t>
      </w:r>
      <w:proofErr w:type="gramStart"/>
      <w:r>
        <w:t>Apr;198:72</w:t>
      </w:r>
      <w:proofErr w:type="gramEnd"/>
      <w:r>
        <w:t xml:space="preserve">–82. </w:t>
      </w:r>
    </w:p>
    <w:p w14:paraId="4443C720" w14:textId="77777777" w:rsidR="004B6406" w:rsidRDefault="004B6406" w:rsidP="004B6406">
      <w:pPr>
        <w:pStyle w:val="Bibliography"/>
      </w:pPr>
      <w:r>
        <w:t xml:space="preserve">268. </w:t>
      </w:r>
      <w:r>
        <w:tab/>
        <w:t xml:space="preserve">Sinenko SA, Shim J, Banerjee U. Oxidative stress in the haematopoietic niche regulates the cellular immune response in Drosophila. EMBO Rep. 2012 Jan;13(1):83–9. </w:t>
      </w:r>
    </w:p>
    <w:p w14:paraId="773B000C" w14:textId="77777777" w:rsidR="004B6406" w:rsidRDefault="004B6406" w:rsidP="004B6406">
      <w:pPr>
        <w:pStyle w:val="Bibliography"/>
      </w:pPr>
      <w:r>
        <w:t xml:space="preserve">269. </w:t>
      </w:r>
      <w:r>
        <w:tab/>
        <w:t xml:space="preserve">Krzemień J, Dubois L, Makki R, Meister M, Vincent A, Crozatier M. Control of blood cell homeostasis in Drosophila larvae by the posterior signalling centre. Nature. 2007 Mar 15;446(7133):325–8. </w:t>
      </w:r>
    </w:p>
    <w:p w14:paraId="2D7DBC01" w14:textId="77777777" w:rsidR="004B6406" w:rsidRDefault="004B6406" w:rsidP="004B6406">
      <w:pPr>
        <w:pStyle w:val="Bibliography"/>
      </w:pPr>
      <w:r>
        <w:t xml:space="preserve">270. </w:t>
      </w:r>
      <w:r>
        <w:tab/>
        <w:t xml:space="preserve">Sinenko SA, Kim EK, Wynn R, Manfruelli P, Ando I, Wharton KA, et al. Yantar, a conserved arginine-rich protein is involved in Drosophila hemocyte development. Dev Biol. 2004 Sep 1;273(1):48–62. </w:t>
      </w:r>
    </w:p>
    <w:p w14:paraId="4BA23EB7" w14:textId="77777777" w:rsidR="004B6406" w:rsidRDefault="004B6406" w:rsidP="004B6406">
      <w:pPr>
        <w:pStyle w:val="Bibliography"/>
      </w:pPr>
      <w:r>
        <w:t xml:space="preserve">271. </w:t>
      </w:r>
      <w:r>
        <w:tab/>
        <w:t xml:space="preserve">Duvic B, Hoffmann JA, Meister M, Royet J. Notch signaling controls lineage specification during Drosophila larval hematopoiesis. Curr Biol. 2002 Nov 19;12(22):1923–7. </w:t>
      </w:r>
    </w:p>
    <w:p w14:paraId="2A4CCFD8" w14:textId="77777777" w:rsidR="004B6406" w:rsidRDefault="004B6406" w:rsidP="004B6406">
      <w:pPr>
        <w:pStyle w:val="Bibliography"/>
      </w:pPr>
      <w:r>
        <w:t xml:space="preserve">272. </w:t>
      </w:r>
      <w:r>
        <w:tab/>
        <w:t>Anderl I, Vesala L, Ihalainen TO, Vanha-Aho L-M, Andó I, Rämet M, et al. Transdifferentiation and Proliferation in Two Distinct Hemocyte Lineages in Drosophila melanogaster Larvae after Wasp Infection. PLoS Pathog. 2016 Jul;12(7</w:t>
      </w:r>
      <w:proofErr w:type="gramStart"/>
      <w:r>
        <w:t>):e</w:t>
      </w:r>
      <w:proofErr w:type="gramEnd"/>
      <w:r>
        <w:t xml:space="preserve">1005746. </w:t>
      </w:r>
    </w:p>
    <w:p w14:paraId="5FCE5162" w14:textId="77777777" w:rsidR="004B6406" w:rsidRDefault="004B6406" w:rsidP="004B6406">
      <w:pPr>
        <w:pStyle w:val="Bibliography"/>
      </w:pPr>
      <w:r>
        <w:t xml:space="preserve">273. </w:t>
      </w:r>
      <w:r>
        <w:tab/>
        <w:t>Stofanko M, Kwon SY, Badenhorst P. Lineage Tracing of Lamellocytes Demonstrates Drosophila Macrophage Plasticity. PLoS ONE. 2010 Nov 19;5(11</w:t>
      </w:r>
      <w:proofErr w:type="gramStart"/>
      <w:r>
        <w:t>):e</w:t>
      </w:r>
      <w:proofErr w:type="gramEnd"/>
      <w:r>
        <w:t xml:space="preserve">14051. </w:t>
      </w:r>
    </w:p>
    <w:p w14:paraId="0914F41F" w14:textId="77777777" w:rsidR="004B6406" w:rsidRDefault="004B6406" w:rsidP="004B6406">
      <w:pPr>
        <w:pStyle w:val="Bibliography"/>
      </w:pPr>
      <w:r>
        <w:lastRenderedPageBreak/>
        <w:t xml:space="preserve">274. </w:t>
      </w:r>
      <w:r>
        <w:tab/>
        <w:t>Leitão AB, Sucena É. Drosophila sessile hemocyte clusters are true hematopoietic tissues that regulate larval blood cell differentiation. eLife [Internet]. 2015 [cited 2015 Oct 2];4. Available from: http://www.ncbi.nlm.nih.gov/pmc/articles/PMC4357286/</w:t>
      </w:r>
    </w:p>
    <w:p w14:paraId="03E602BC" w14:textId="77777777" w:rsidR="004B6406" w:rsidRDefault="004B6406" w:rsidP="004B6406">
      <w:pPr>
        <w:pStyle w:val="Bibliography"/>
      </w:pPr>
      <w:r>
        <w:t xml:space="preserve">275. </w:t>
      </w:r>
      <w:r>
        <w:tab/>
        <w:t xml:space="preserve">Márkus R, Laurinyecz B, Kurucz E, Honti V, Bajusz I, Sipos B, et al. Sessile hemocytes as a hematopoietic compartment in Drosophila melanogaster. Proc Natl Acad Sci USA. 2009 Mar 24;106(12):4805–9. </w:t>
      </w:r>
    </w:p>
    <w:p w14:paraId="2A03A5FD" w14:textId="77777777" w:rsidR="004B6406" w:rsidRDefault="004B6406" w:rsidP="004B6406">
      <w:pPr>
        <w:pStyle w:val="Bibliography"/>
      </w:pPr>
      <w:r>
        <w:t xml:space="preserve">276. </w:t>
      </w:r>
      <w:r>
        <w:tab/>
        <w:t xml:space="preserve">Kurucz E, Váczi B, Márkus R, Laurinyecz B, Vilmos P, Zsámboki J, et al. Definition of Drosophila hemocyte subsets by cell-type specific antigens. Acta Biol Hung. 2007;58 Suppl:95–111. </w:t>
      </w:r>
    </w:p>
    <w:p w14:paraId="69039D85" w14:textId="77777777" w:rsidR="004B6406" w:rsidRDefault="004B6406" w:rsidP="004B6406">
      <w:pPr>
        <w:pStyle w:val="Bibliography"/>
      </w:pPr>
      <w:r>
        <w:t xml:space="preserve">277. </w:t>
      </w:r>
      <w:r>
        <w:tab/>
        <w:t xml:space="preserve">Makhijani K, Alexander B, Tanaka T, Rulifson E, Brückner K. The peripheral nervous system supports blood cell homing and survival in the Drosophila larva. Development. 2011 Dec;138(24):5379–91. </w:t>
      </w:r>
    </w:p>
    <w:p w14:paraId="4ABEE383" w14:textId="77777777" w:rsidR="004B6406" w:rsidRDefault="004B6406" w:rsidP="004B6406">
      <w:pPr>
        <w:pStyle w:val="Bibliography"/>
      </w:pPr>
      <w:r>
        <w:t xml:space="preserve">278. </w:t>
      </w:r>
      <w:r>
        <w:tab/>
        <w:t xml:space="preserve">Makhijani K, Alexander B, Rao D, Petraki S, Herboso L, Kukar K, et al. Regulation of Drosophila hematopoietic sites by Activin-β from active sensory neurons. Nat Commun. 2017 </w:t>
      </w:r>
      <w:proofErr w:type="gramStart"/>
      <w:r>
        <w:t>27;8:15990</w:t>
      </w:r>
      <w:proofErr w:type="gramEnd"/>
      <w:r>
        <w:t xml:space="preserve">. </w:t>
      </w:r>
    </w:p>
    <w:p w14:paraId="182AFD85" w14:textId="77777777" w:rsidR="004B6406" w:rsidRDefault="004B6406" w:rsidP="004B6406">
      <w:pPr>
        <w:pStyle w:val="Bibliography"/>
      </w:pPr>
      <w:r>
        <w:t xml:space="preserve">279. </w:t>
      </w:r>
      <w:r>
        <w:tab/>
        <w:t xml:space="preserve">Ghosh S, Singh A, Mandal S, Mandal L. Active Hematopoietic Hubs in Drosophila Adults Generate Hemocytes and Contribute to Immune Response. Developmental Cell. 2015 May 26;33(4):478–88. </w:t>
      </w:r>
    </w:p>
    <w:p w14:paraId="444CA47E" w14:textId="77777777" w:rsidR="004B6406" w:rsidRDefault="004B6406" w:rsidP="004B6406">
      <w:pPr>
        <w:pStyle w:val="Bibliography"/>
      </w:pPr>
      <w:r>
        <w:t xml:space="preserve">280. </w:t>
      </w:r>
      <w:r>
        <w:tab/>
        <w:t xml:space="preserve">Gallin JI. Human neutrophil heterogeneity exists, but is it meaningful? Blood. 1984 May 1;63(5):977–83. </w:t>
      </w:r>
    </w:p>
    <w:p w14:paraId="4B4F530F" w14:textId="77777777" w:rsidR="004B6406" w:rsidRDefault="004B6406" w:rsidP="004B6406">
      <w:pPr>
        <w:pStyle w:val="Bibliography"/>
      </w:pPr>
      <w:r>
        <w:t xml:space="preserve">281. </w:t>
      </w:r>
      <w:r>
        <w:tab/>
        <w:t xml:space="preserve">Martinez FO. The transcriptome of human monocyte subsets begins to emerge. Journal of Biology. 2009 Dec 23;8(11):99. </w:t>
      </w:r>
    </w:p>
    <w:p w14:paraId="3D3245C2" w14:textId="77777777" w:rsidR="004B6406" w:rsidRDefault="004B6406" w:rsidP="004B6406">
      <w:pPr>
        <w:pStyle w:val="Bibliography"/>
      </w:pPr>
      <w:r>
        <w:t xml:space="preserve">282. </w:t>
      </w:r>
      <w:r>
        <w:tab/>
        <w:t xml:space="preserve">Galli SJ, Borregaard N, Wynn TA. Phenotypic and functional plasticity of cells of innate immunity: macrophages, mast cells and neutrophils. Nat Immunol. 2011 Nov;12(11):1035–44. </w:t>
      </w:r>
    </w:p>
    <w:p w14:paraId="4CAAFF1D" w14:textId="77777777" w:rsidR="004B6406" w:rsidRDefault="004B6406" w:rsidP="004B6406">
      <w:pPr>
        <w:pStyle w:val="Bibliography"/>
      </w:pPr>
      <w:r>
        <w:t xml:space="preserve">283. </w:t>
      </w:r>
      <w:r>
        <w:tab/>
        <w:t xml:space="preserve">Wong KL, Yeap WH, Tai JJY, Ong SM, Dang TM, Wong SC. The three human monocyte subsets: implications for health and disease. Immunol Res. 2012 Sep;53(1–3):41–57. </w:t>
      </w:r>
    </w:p>
    <w:p w14:paraId="5709DAFE" w14:textId="77777777" w:rsidR="004B6406" w:rsidRDefault="004B6406" w:rsidP="004B6406">
      <w:pPr>
        <w:pStyle w:val="Bibliography"/>
      </w:pPr>
      <w:r>
        <w:t xml:space="preserve">284. </w:t>
      </w:r>
      <w:r>
        <w:tab/>
        <w:t>Ziegler-Heitbrock L, Hofer TPJ. Toward a Refined Definition of Monocyte Subsets. Front Immunol [Internet]. 2013 Feb 4 [cited 2015 Sep 28];4. Available from: http://www.ncbi.nlm.nih.gov/pmc/articles/PMC3562996/</w:t>
      </w:r>
    </w:p>
    <w:p w14:paraId="30232BD9" w14:textId="77777777" w:rsidR="004B6406" w:rsidRDefault="004B6406" w:rsidP="004B6406">
      <w:pPr>
        <w:pStyle w:val="Bibliography"/>
      </w:pPr>
      <w:r>
        <w:t xml:space="preserve">285. </w:t>
      </w:r>
      <w:r>
        <w:tab/>
        <w:t xml:space="preserve">Yang J, Zhang L, Yu C, Yang X-F, Wang H. Monocyte and macrophage differentiation: circulation inflammatory monocyte as biomarker for inflammatory diseases. Biomark Res. 2014 Jan </w:t>
      </w:r>
      <w:proofErr w:type="gramStart"/>
      <w:r>
        <w:t>7;2:1</w:t>
      </w:r>
      <w:proofErr w:type="gramEnd"/>
      <w:r>
        <w:t xml:space="preserve">. </w:t>
      </w:r>
    </w:p>
    <w:p w14:paraId="5055FB0C" w14:textId="77777777" w:rsidR="004B6406" w:rsidRDefault="004B6406" w:rsidP="004B6406">
      <w:pPr>
        <w:pStyle w:val="Bibliography"/>
      </w:pPr>
      <w:r>
        <w:t xml:space="preserve">286. </w:t>
      </w:r>
      <w:r>
        <w:tab/>
        <w:t xml:space="preserve">Sagiv JY, Michaeli J, Assi S, Mishalian I, Kisos H, Levy L, et al. Phenotypic Diversity and Plasticity in Circulating Neutrophil Subpopulations in Cancer. Cell Reports. 2015 Mar 2;10(4):562–73. </w:t>
      </w:r>
    </w:p>
    <w:p w14:paraId="0D8CE5B0" w14:textId="77777777" w:rsidR="004B6406" w:rsidRDefault="004B6406" w:rsidP="004B6406">
      <w:pPr>
        <w:pStyle w:val="Bibliography"/>
      </w:pPr>
      <w:r>
        <w:lastRenderedPageBreak/>
        <w:t xml:space="preserve">287. </w:t>
      </w:r>
      <w:r>
        <w:tab/>
        <w:t xml:space="preserve">Joerink M, Ribeiro CMS, Stet RJM, Hermsen T, Savelkoul HFJ, Wiegertjes GF. Head kidney-derived macrophages of common carp (Cyprinus carpio L.) show plasticity and functional polarization upon differential stimulation. J Immunol. 2006 Jul 1;177(1):61–9. </w:t>
      </w:r>
    </w:p>
    <w:p w14:paraId="71543ABF" w14:textId="77777777" w:rsidR="004B6406" w:rsidRDefault="004B6406" w:rsidP="004B6406">
      <w:pPr>
        <w:pStyle w:val="Bibliography"/>
      </w:pPr>
      <w:r>
        <w:t xml:space="preserve">288. </w:t>
      </w:r>
      <w:r>
        <w:tab/>
        <w:t xml:space="preserve">Dzik JM. Evolutionary roots of arginase expression and regulation. Front Immunol. </w:t>
      </w:r>
      <w:proofErr w:type="gramStart"/>
      <w:r>
        <w:t>2014;5:544</w:t>
      </w:r>
      <w:proofErr w:type="gramEnd"/>
      <w:r>
        <w:t xml:space="preserve">. </w:t>
      </w:r>
    </w:p>
    <w:p w14:paraId="475E98DD" w14:textId="77777777" w:rsidR="004B6406" w:rsidRDefault="004B6406" w:rsidP="004B6406">
      <w:pPr>
        <w:pStyle w:val="Bibliography"/>
      </w:pPr>
      <w:r>
        <w:t xml:space="preserve">289. </w:t>
      </w:r>
      <w:r>
        <w:tab/>
        <w:t xml:space="preserve">Foley E, O’Farrell PH. Nitric oxide contributes to induction of innate immune responses to gram-negative bacteria in Drosophila. Genes Dev. 2003 Jan 1;17(1):115–25. </w:t>
      </w:r>
    </w:p>
    <w:p w14:paraId="131B2A48" w14:textId="77777777" w:rsidR="004B6406" w:rsidRDefault="004B6406" w:rsidP="004B6406">
      <w:pPr>
        <w:pStyle w:val="Bibliography"/>
      </w:pPr>
      <w:r>
        <w:t xml:space="preserve">290. </w:t>
      </w:r>
      <w:r>
        <w:tab/>
        <w:t xml:space="preserve">Goto A, Kadowaki T, Kitagawa Y. Drosophila hemolectin gene is expressed in embryonic and larval hemocytes and its knock down causes bleeding defects. Dev Biol. 2003 Dec 15;264(2):582–91. </w:t>
      </w:r>
    </w:p>
    <w:p w14:paraId="1431D763" w14:textId="77777777" w:rsidR="004B6406" w:rsidRDefault="004B6406" w:rsidP="004B6406">
      <w:pPr>
        <w:pStyle w:val="Bibliography"/>
      </w:pPr>
      <w:r>
        <w:t xml:space="preserve">291. </w:t>
      </w:r>
      <w:r>
        <w:tab/>
        <w:t xml:space="preserve">Clark RI, Woodcock KJ, Geissmann F, Trouillet C, Dionne MS. Multiple TGF-β Superfamily Signals Modulate the Adult Drosophila Immune Response. Current Biology. 2011 Oct 11;21(19):1672–7. </w:t>
      </w:r>
    </w:p>
    <w:p w14:paraId="5720B287" w14:textId="77777777" w:rsidR="004B6406" w:rsidRDefault="004B6406" w:rsidP="004B6406">
      <w:pPr>
        <w:pStyle w:val="Bibliography"/>
      </w:pPr>
      <w:r>
        <w:t xml:space="preserve">292. </w:t>
      </w:r>
      <w:r>
        <w:tab/>
        <w:t>Leitão ACB. Towards the characterization of plasmatocyte heterogeneity in Drosophila melanogaster [Internet]. Universidade de Lisboa; 2009 [cited 2015 Oct 13]. Available from: http://repositorio.ul.pt/handle/10451/1442</w:t>
      </w:r>
    </w:p>
    <w:p w14:paraId="1C6DBC69" w14:textId="77777777" w:rsidR="004B6406" w:rsidRDefault="004B6406" w:rsidP="004B6406">
      <w:pPr>
        <w:pStyle w:val="Bibliography"/>
      </w:pPr>
      <w:r>
        <w:t xml:space="preserve">293. </w:t>
      </w:r>
      <w:r>
        <w:tab/>
        <w:t xml:space="preserve">Stofanko M, Kwon SY, Badenhorst P. A misexpression screen to identify regulators of Drosophila larval hemocyte development. Genetics. 2008 Sep;180(1):253–67. </w:t>
      </w:r>
    </w:p>
    <w:p w14:paraId="38E1DA0B" w14:textId="77777777" w:rsidR="004B6406" w:rsidRDefault="004B6406" w:rsidP="004B6406">
      <w:pPr>
        <w:pStyle w:val="Bibliography"/>
      </w:pPr>
      <w:r>
        <w:t xml:space="preserve">294. </w:t>
      </w:r>
      <w:r>
        <w:tab/>
        <w:t xml:space="preserve">Zaidman-Rémy A, Regan JC, Brandão AS, Jacinto A. The Drosophila larva as a tool to study gut-associated macrophages: PI3K regulates a discrete hemocyte population at the proventriculus. Dev Comp Immunol. 2012 Apr;36(4):638–47. </w:t>
      </w:r>
    </w:p>
    <w:p w14:paraId="4B769FED" w14:textId="77777777" w:rsidR="004B6406" w:rsidRDefault="004B6406" w:rsidP="004B6406">
      <w:pPr>
        <w:pStyle w:val="Bibliography"/>
      </w:pPr>
      <w:r>
        <w:t xml:space="preserve">295. </w:t>
      </w:r>
      <w:r>
        <w:tab/>
        <w:t xml:space="preserve">Zanet J, Stramer B, Millard T, Martin P, Payre F, Plaza S. Fascin is required for blood cell migration during Drosophila embryogenesis. Development. 2009 Aug;136(15):2557–65. </w:t>
      </w:r>
    </w:p>
    <w:p w14:paraId="20E22F53" w14:textId="77777777" w:rsidR="004B6406" w:rsidRDefault="004B6406" w:rsidP="004B6406">
      <w:pPr>
        <w:pStyle w:val="Bibliography"/>
      </w:pPr>
      <w:r>
        <w:t xml:space="preserve">296. </w:t>
      </w:r>
      <w:r>
        <w:tab/>
        <w:t xml:space="preserve">Cordero JB, Macagno JP, Stefanatos RK, Strathdee KE, Cagan RL, Vidal M. Oncogenic Ras Diverts a Host TNF Tumor Suppressor Activity into Tumor Promoter. Dev Cell. 2010 Jun 15;18(6):999–1011. </w:t>
      </w:r>
    </w:p>
    <w:p w14:paraId="203E5008" w14:textId="77777777" w:rsidR="004B6406" w:rsidRDefault="004B6406" w:rsidP="004B6406">
      <w:pPr>
        <w:pStyle w:val="Bibliography"/>
      </w:pPr>
      <w:r>
        <w:t xml:space="preserve">297. </w:t>
      </w:r>
      <w:r>
        <w:tab/>
        <w:t xml:space="preserve">Diwanji N, Bergmann A. The beneficial role of extracellular reactive oxygen species in apoptosis-induced compensatory proliferation. Fly. 2017 Jan 2;11(1):46–52. </w:t>
      </w:r>
    </w:p>
    <w:p w14:paraId="11910452" w14:textId="77777777" w:rsidR="004B6406" w:rsidRDefault="004B6406" w:rsidP="004B6406">
      <w:pPr>
        <w:pStyle w:val="Bibliography"/>
      </w:pPr>
      <w:r>
        <w:t xml:space="preserve">298. </w:t>
      </w:r>
      <w:r>
        <w:tab/>
        <w:t xml:space="preserve">Fogarty CE, Diwanji N, Lindblad JL, Tare M, Amcheslavsky A, Makhijani K, et al. Extracellular Reactive Oxygen Species Drive Apoptosis-Induced Proliferation via Drosophila Macrophages. Curr Biol. 2016 Mar 7;26(5):575–84. </w:t>
      </w:r>
    </w:p>
    <w:p w14:paraId="035F8739" w14:textId="77777777" w:rsidR="004B6406" w:rsidRDefault="004B6406" w:rsidP="004B6406">
      <w:pPr>
        <w:pStyle w:val="Bibliography"/>
      </w:pPr>
      <w:r>
        <w:t xml:space="preserve">299. </w:t>
      </w:r>
      <w:r>
        <w:tab/>
        <w:t xml:space="preserve">Yeh E, Gustafson K, Boulianne GL. Green fluorescent protein as a vital marker and reporter of gene expression in Drosophila. Proc Natl Acad Sci U S A. 1995 Jul 18;92(15):7036–40. </w:t>
      </w:r>
    </w:p>
    <w:p w14:paraId="02D3497D" w14:textId="77777777" w:rsidR="004B6406" w:rsidRDefault="004B6406" w:rsidP="004B6406">
      <w:pPr>
        <w:pStyle w:val="Bibliography"/>
      </w:pPr>
      <w:r>
        <w:lastRenderedPageBreak/>
        <w:t xml:space="preserve">300. </w:t>
      </w:r>
      <w:r>
        <w:tab/>
        <w:t xml:space="preserve">Bloor JW, Kiehart DP. zipper Nonmuscle myosin-II functions downstream of PS2 integrin in Drosophila myogenesis and is necessary for myofibril formation. Dev Biol. 2001 Nov 15;239(2):215–28. </w:t>
      </w:r>
    </w:p>
    <w:p w14:paraId="7EB6E13A" w14:textId="77777777" w:rsidR="004B6406" w:rsidRDefault="004B6406" w:rsidP="004B6406">
      <w:pPr>
        <w:pStyle w:val="Bibliography"/>
      </w:pPr>
      <w:r>
        <w:t xml:space="preserve">301. </w:t>
      </w:r>
      <w:r>
        <w:tab/>
        <w:t xml:space="preserve">Barolo S, Carver LA, Posakony JW. GFP and beta-galactosidase transformation vectors for promoter/enhancer analysis in Drosophila. BioTechniques. 2000 Oct;29(4):726, 728, 730, 732. </w:t>
      </w:r>
    </w:p>
    <w:p w14:paraId="48EB5D57" w14:textId="77777777" w:rsidR="004B6406" w:rsidRDefault="004B6406" w:rsidP="004B6406">
      <w:pPr>
        <w:pStyle w:val="Bibliography"/>
      </w:pPr>
      <w:r>
        <w:t xml:space="preserve">302. </w:t>
      </w:r>
      <w:r>
        <w:tab/>
        <w:t xml:space="preserve">Ni J-Q, Liu L-P, Binari R, Hardy R, Shim H-S, Cavallaro A, et al. A Drosophila resource of transgenic RNAi lines for neurogenetics. Genetics. 2009 Aug;182(4):1089–100. </w:t>
      </w:r>
    </w:p>
    <w:p w14:paraId="0868B956" w14:textId="77777777" w:rsidR="004B6406" w:rsidRDefault="004B6406" w:rsidP="004B6406">
      <w:pPr>
        <w:pStyle w:val="Bibliography"/>
      </w:pPr>
      <w:r>
        <w:t xml:space="preserve">303. </w:t>
      </w:r>
      <w:r>
        <w:tab/>
        <w:t xml:space="preserve">Thibault ST, Singer MA, Miyazaki WY, Milash B, Dompe NA, Singh CM, et al. A complementary transposon tool kit for Drosophila melanogaster using P and piggyBac. Nat Genet. 2004 Mar;36(3):283–7. </w:t>
      </w:r>
    </w:p>
    <w:p w14:paraId="349ACCD8" w14:textId="77777777" w:rsidR="004B6406" w:rsidRDefault="004B6406" w:rsidP="004B6406">
      <w:pPr>
        <w:pStyle w:val="Bibliography"/>
      </w:pPr>
      <w:r>
        <w:t xml:space="preserve">304. </w:t>
      </w:r>
      <w:r>
        <w:tab/>
        <w:t xml:space="preserve">Kuzin B, Regulski M, Stasiv Y, Scheinker V, Tully T, Enikolopov G. Nitric oxide interacts with the retinoblastoma pathway to control eye development in Drosophila. Curr Biol. 2000 Apr 20;10(8):459–62. </w:t>
      </w:r>
    </w:p>
    <w:p w14:paraId="31B14194" w14:textId="77777777" w:rsidR="004B6406" w:rsidRDefault="004B6406" w:rsidP="004B6406">
      <w:pPr>
        <w:pStyle w:val="Bibliography"/>
      </w:pPr>
      <w:r>
        <w:t xml:space="preserve">305. </w:t>
      </w:r>
      <w:r>
        <w:tab/>
        <w:t xml:space="preserve">Missirlis F, Phillips JP, Jäckle H. Cooperative action of antioxidant defense systems in Drosophila. Current Biology. 2001 Aug 21;11(16):1272–7. </w:t>
      </w:r>
    </w:p>
    <w:p w14:paraId="782D8CB3" w14:textId="77777777" w:rsidR="004B6406" w:rsidRDefault="004B6406" w:rsidP="004B6406">
      <w:pPr>
        <w:pStyle w:val="Bibliography"/>
      </w:pPr>
      <w:r>
        <w:t xml:space="preserve">306. </w:t>
      </w:r>
      <w:r>
        <w:tab/>
        <w:t xml:space="preserve">Cruz C, Glavic A, Casado M, de Celis JF. A Gain-of-Function Screen Identifying Genes Required for Growth and Pattern Formation of the Drosophila melanogaster Wing. Genetics. 2009 Nov;183(3):1005–26. </w:t>
      </w:r>
    </w:p>
    <w:p w14:paraId="067BA93D" w14:textId="77777777" w:rsidR="004B6406" w:rsidRDefault="004B6406" w:rsidP="004B6406">
      <w:pPr>
        <w:pStyle w:val="Bibliography"/>
      </w:pPr>
      <w:r>
        <w:t xml:space="preserve">307. </w:t>
      </w:r>
      <w:r>
        <w:tab/>
        <w:t xml:space="preserve">Bellen HJ, Levis RW, Liao G, He Y, Carlson JW, Tsang G, et al. The BDGP gene disruption project: single transposon insertions associated with 40% of Drosophila genes. Genetics. 2004 Jun;167(2):761–81. </w:t>
      </w:r>
    </w:p>
    <w:p w14:paraId="51184687" w14:textId="77777777" w:rsidR="004B6406" w:rsidRDefault="004B6406" w:rsidP="004B6406">
      <w:pPr>
        <w:pStyle w:val="Bibliography"/>
      </w:pPr>
      <w:r>
        <w:t xml:space="preserve">308. </w:t>
      </w:r>
      <w:r>
        <w:tab/>
        <w:t xml:space="preserve">Ligoxygakis P, Pelte N, Hoffmann JA, Reichhart J-M. Activation of Drosophila Toll during fungal infection by a blood serine protease. Science. 2002 Jul 5;297(5578):114–6. </w:t>
      </w:r>
    </w:p>
    <w:p w14:paraId="2B5679D1" w14:textId="77777777" w:rsidR="004B6406" w:rsidRDefault="004B6406" w:rsidP="004B6406">
      <w:pPr>
        <w:pStyle w:val="Bibliography"/>
      </w:pPr>
      <w:r>
        <w:t xml:space="preserve">309. </w:t>
      </w:r>
      <w:r>
        <w:tab/>
        <w:t xml:space="preserve">Halter DA, Urban J, Rickert C, Ner SS, Ito K, Travers AA, et al. The homeobox gene repo is required for the differentiation and maintenance of glia function in the embryonic nervous system of Drosophila melanogaster. Development. 1995 Feb;121(2):317–32. </w:t>
      </w:r>
    </w:p>
    <w:p w14:paraId="2F8C196C" w14:textId="77777777" w:rsidR="004B6406" w:rsidRDefault="004B6406" w:rsidP="004B6406">
      <w:pPr>
        <w:pStyle w:val="Bibliography"/>
      </w:pPr>
      <w:r>
        <w:t xml:space="preserve">310. </w:t>
      </w:r>
      <w:r>
        <w:tab/>
        <w:t xml:space="preserve">Gergen JP, Wieschaus EF. Localized requirements for gene activity in segmentation of Drosophila embryos: analysis of armadillo, fused, giant and unpaired mutations in mosaic embryos. Rouxs Arch Dev Biol. 1986 Jan;195(1):49–62. </w:t>
      </w:r>
    </w:p>
    <w:p w14:paraId="2CB81D8D" w14:textId="77777777" w:rsidR="004B6406" w:rsidRDefault="004B6406" w:rsidP="004B6406">
      <w:pPr>
        <w:pStyle w:val="Bibliography"/>
      </w:pPr>
      <w:r>
        <w:t xml:space="preserve">311. </w:t>
      </w:r>
      <w:r>
        <w:tab/>
        <w:t xml:space="preserve">Eberl DF, Perkins LA, Engelstein M, Hilliker AJ, Perrimon N. Genetic and Developmental Analysis of Polytene Section 17 of the X Chromosome of Drosophila Melanogaster. Genetics. 1992 Mar;130(3):569–83. </w:t>
      </w:r>
    </w:p>
    <w:p w14:paraId="2E52717B" w14:textId="77777777" w:rsidR="004B6406" w:rsidRDefault="004B6406" w:rsidP="004B6406">
      <w:pPr>
        <w:pStyle w:val="Bibliography"/>
      </w:pPr>
      <w:r>
        <w:lastRenderedPageBreak/>
        <w:t xml:space="preserve">312. </w:t>
      </w:r>
      <w:r>
        <w:tab/>
        <w:t xml:space="preserve">Brown S, Hu N, Hombría JC. Identification of the first invertebrate interleukin JAK/STAT receptor, the Drosophila gene domeless. Curr Biol. 2001 Oct 30;11(21):1700–5. </w:t>
      </w:r>
    </w:p>
    <w:p w14:paraId="2BD84B8F" w14:textId="77777777" w:rsidR="004B6406" w:rsidRDefault="004B6406" w:rsidP="004B6406">
      <w:pPr>
        <w:pStyle w:val="Bibliography"/>
      </w:pPr>
      <w:r>
        <w:t xml:space="preserve">313. </w:t>
      </w:r>
      <w:r>
        <w:tab/>
        <w:t xml:space="preserve">Corwin HO, Hanratty WP. Characterization of a unique lethal tumorous mutation in Drosophila. Mol Gen Genet. 1976 Mar 30;144(3):345–7. </w:t>
      </w:r>
    </w:p>
    <w:p w14:paraId="23D7788E" w14:textId="77777777" w:rsidR="004B6406" w:rsidRDefault="004B6406" w:rsidP="004B6406">
      <w:pPr>
        <w:pStyle w:val="Bibliography"/>
      </w:pPr>
      <w:r>
        <w:t xml:space="preserve">314. </w:t>
      </w:r>
      <w:r>
        <w:tab/>
        <w:t xml:space="preserve">White K, Grether ME, Abrams JM, Young L, Farrell K, Steller H. Genetic control of programmed cell death in Drosophila. Science. 1994 Apr 29;264(5159):677–83. </w:t>
      </w:r>
    </w:p>
    <w:p w14:paraId="1C389DA1" w14:textId="77777777" w:rsidR="004B6406" w:rsidRDefault="004B6406" w:rsidP="004B6406">
      <w:pPr>
        <w:pStyle w:val="Bibliography"/>
      </w:pPr>
      <w:r>
        <w:t xml:space="preserve">315. </w:t>
      </w:r>
      <w:r>
        <w:tab/>
        <w:t xml:space="preserve">Kurkulos M, Weinberg JM, Pepling ME, Mount SM. Polyadenylylation in copia requires unusually distant upstream sequences. Proc Natl Acad Sci U S A. 1991 Apr 15;88(8):3038–42. </w:t>
      </w:r>
    </w:p>
    <w:p w14:paraId="4303EC40" w14:textId="77777777" w:rsidR="004B6406" w:rsidRDefault="004B6406" w:rsidP="004B6406">
      <w:pPr>
        <w:pStyle w:val="Bibliography"/>
      </w:pPr>
      <w:r>
        <w:t xml:space="preserve">316. </w:t>
      </w:r>
      <w:r>
        <w:tab/>
        <w:t xml:space="preserve">Hartenstein V. Atlas of Drosophila development. Cold Spring Harbor Laboratory Press; 1995. </w:t>
      </w:r>
    </w:p>
    <w:p w14:paraId="088B2706" w14:textId="77777777" w:rsidR="004B6406" w:rsidRDefault="004B6406" w:rsidP="004B6406">
      <w:pPr>
        <w:pStyle w:val="Bibliography"/>
      </w:pPr>
      <w:r>
        <w:t xml:space="preserve">317. </w:t>
      </w:r>
      <w:r>
        <w:tab/>
        <w:t xml:space="preserve">Evans IR, Zanet J, Wood W, Stramer BM. Live Imaging </w:t>
      </w:r>
      <w:proofErr w:type="gramStart"/>
      <w:r>
        <w:t>Of</w:t>
      </w:r>
      <w:proofErr w:type="gramEnd"/>
      <w:r>
        <w:t xml:space="preserve"> Drosophila melanogaster Embryonic Hemocyte Migrations. J Vis Exp [Internet]. 2010 Feb 12 [cited 2019 Feb </w:t>
      </w:r>
      <w:proofErr w:type="gramStart"/>
      <w:r>
        <w:t>18];(</w:t>
      </w:r>
      <w:proofErr w:type="gramEnd"/>
      <w:r>
        <w:t>36). Available from: https://www.ncbi.nlm.nih.gov/pmc/articles/PMC2830251/</w:t>
      </w:r>
    </w:p>
    <w:p w14:paraId="5D64C780" w14:textId="77777777" w:rsidR="004B6406" w:rsidRDefault="004B6406" w:rsidP="004B6406">
      <w:pPr>
        <w:pStyle w:val="Bibliography"/>
      </w:pPr>
      <w:r>
        <w:t xml:space="preserve">318. </w:t>
      </w:r>
      <w:r>
        <w:tab/>
        <w:t xml:space="preserve">Tan KL, Vlisidou I, Wood W. Ecdysone mediates the development of immunity in the Drosophila embryo. Curr Biol. 2014 May 19;24(10):1145–52. </w:t>
      </w:r>
    </w:p>
    <w:p w14:paraId="7E466DC9" w14:textId="77777777" w:rsidR="004B6406" w:rsidRDefault="004B6406" w:rsidP="004B6406">
      <w:pPr>
        <w:pStyle w:val="Bibliography"/>
      </w:pPr>
      <w:r>
        <w:t xml:space="preserve">319. </w:t>
      </w:r>
      <w:r>
        <w:tab/>
        <w:t xml:space="preserve">Mabery EM, Schneider DS. The Drosophila TNF Ortholog Eiger Is Required in the Fat Body for a Robust Immune Response. J Innate Immun. 2010 Jun;2(4):371–8. </w:t>
      </w:r>
    </w:p>
    <w:p w14:paraId="6EEEB49F" w14:textId="77777777" w:rsidR="004B6406" w:rsidRDefault="004B6406" w:rsidP="004B6406">
      <w:pPr>
        <w:pStyle w:val="Bibliography"/>
      </w:pPr>
      <w:r>
        <w:t xml:space="preserve">320. </w:t>
      </w:r>
      <w:r>
        <w:tab/>
        <w:t xml:space="preserve">Petersen AJ, Katzenberger RJ, Wassarman DA. The Innate Immune Response Transcription Factor Relish Is Necessary for Neurodegeneration in a Drosophila Model of Ataxia-Telangiectasia. Genetics. 2013 May;194(1):133–42. </w:t>
      </w:r>
    </w:p>
    <w:p w14:paraId="56943AA9" w14:textId="77777777" w:rsidR="004B6406" w:rsidRDefault="004B6406" w:rsidP="004B6406">
      <w:pPr>
        <w:pStyle w:val="Bibliography"/>
      </w:pPr>
      <w:r>
        <w:t xml:space="preserve">321. </w:t>
      </w:r>
      <w:r>
        <w:tab/>
        <w:t xml:space="preserve">Kiri, -, Kiri-Louise Tan. </w:t>
      </w:r>
      <w:proofErr w:type="gramStart"/>
      <w:r>
        <w:t>Drosophila  embryos</w:t>
      </w:r>
      <w:proofErr w:type="gramEnd"/>
      <w:r>
        <w:t xml:space="preserve"> as a Model System to  Study Bacterial Infection  In Vivo [Internet]. University of Bath; 2013 [cited 2017 Aug 10]. Available from: http://opus.bath.ac.uk/43318/1/Thesis_final.pdf</w:t>
      </w:r>
    </w:p>
    <w:p w14:paraId="0F9B4BD3" w14:textId="77777777" w:rsidR="004B6406" w:rsidRDefault="004B6406" w:rsidP="004B6406">
      <w:pPr>
        <w:pStyle w:val="Bibliography"/>
      </w:pPr>
      <w:r>
        <w:t xml:space="preserve">322. </w:t>
      </w:r>
      <w:r>
        <w:tab/>
        <w:t xml:space="preserve">Jiang H, Patel PH, Kohlmaier A, Grenley MO, McEwen DG, Edgar BA. Cytokine/Jak/Stat signaling mediates regeneration and homeostasis in the Drosophila midgut. Cell. 2009 Jun 26;137(7):1343–55. </w:t>
      </w:r>
    </w:p>
    <w:p w14:paraId="53B89CBE" w14:textId="77777777" w:rsidR="004B6406" w:rsidRDefault="004B6406" w:rsidP="004B6406">
      <w:pPr>
        <w:pStyle w:val="Bibliography"/>
      </w:pPr>
      <w:r>
        <w:t xml:space="preserve">323. </w:t>
      </w:r>
      <w:r>
        <w:tab/>
        <w:t xml:space="preserve">Le T, Liang Z, Patel H, Yu MH, Sivasubramaniam G, Slovitt M, et al. A New Family of Drosophila Balancer Chromosomes With a w− dfd-GMR Yellow Fluorescent Protein Marker. Genetics. 2006 Dec;174(4):2255–7. </w:t>
      </w:r>
    </w:p>
    <w:p w14:paraId="6C61FC9D" w14:textId="77777777" w:rsidR="004B6406" w:rsidRDefault="004B6406" w:rsidP="004B6406">
      <w:pPr>
        <w:pStyle w:val="Bibliography"/>
      </w:pPr>
      <w:r>
        <w:t xml:space="preserve">324. </w:t>
      </w:r>
      <w:r>
        <w:tab/>
        <w:t xml:space="preserve">Bulger M, Groudine M. Functional and mechanistic diversity of distal transcription enhancers. Cell. 2011 Feb 4;144(3):327–39. </w:t>
      </w:r>
    </w:p>
    <w:p w14:paraId="0624F9D7" w14:textId="77777777" w:rsidR="004B6406" w:rsidRDefault="004B6406" w:rsidP="004B6406">
      <w:pPr>
        <w:pStyle w:val="Bibliography"/>
      </w:pPr>
      <w:r>
        <w:t xml:space="preserve">325. </w:t>
      </w:r>
      <w:r>
        <w:tab/>
        <w:t xml:space="preserve">Riethoven J-JM. Regulatory regions in DNA: promoters, enhancers, silencers, and insulators. Methods Mol Biol. </w:t>
      </w:r>
      <w:proofErr w:type="gramStart"/>
      <w:r>
        <w:t>2010;674:33</w:t>
      </w:r>
      <w:proofErr w:type="gramEnd"/>
      <w:r>
        <w:t xml:space="preserve">–42. </w:t>
      </w:r>
    </w:p>
    <w:p w14:paraId="539168AC" w14:textId="77777777" w:rsidR="004B6406" w:rsidRDefault="004B6406" w:rsidP="004B6406">
      <w:pPr>
        <w:pStyle w:val="Bibliography"/>
      </w:pPr>
      <w:r>
        <w:lastRenderedPageBreak/>
        <w:t xml:space="preserve">326. </w:t>
      </w:r>
      <w:r>
        <w:tab/>
        <w:t xml:space="preserve">Pennacchio LA, Bickmore W, Dean A, Nobrega MA, Bejerano G. Enhancers: five essential questions. Nat Rev Genet. 2013 Apr;14(4):288–95. </w:t>
      </w:r>
    </w:p>
    <w:p w14:paraId="0C6977D6" w14:textId="77777777" w:rsidR="004B6406" w:rsidRDefault="004B6406" w:rsidP="004B6406">
      <w:pPr>
        <w:pStyle w:val="Bibliography"/>
      </w:pPr>
      <w:r>
        <w:t xml:space="preserve">327. </w:t>
      </w:r>
      <w:r>
        <w:tab/>
        <w:t xml:space="preserve">Schaffner W. Enhancers, enhancers - from their discovery to today’s universe of transcription enhancers. Biol Chem. 2015 Apr;396(4):311–27. </w:t>
      </w:r>
    </w:p>
    <w:p w14:paraId="45270F0E" w14:textId="77777777" w:rsidR="004B6406" w:rsidRDefault="004B6406" w:rsidP="004B6406">
      <w:pPr>
        <w:pStyle w:val="Bibliography"/>
      </w:pPr>
      <w:r>
        <w:t xml:space="preserve">328. </w:t>
      </w:r>
      <w:r>
        <w:tab/>
        <w:t xml:space="preserve">Tippens ND, Vihervaara A, Lis JT. Enhancer transcription: what, where, when, and why? Genes Dev. 2018 Jan 1;32(1):1–3. </w:t>
      </w:r>
    </w:p>
    <w:p w14:paraId="06795C6A" w14:textId="77777777" w:rsidR="004B6406" w:rsidRDefault="004B6406" w:rsidP="004B6406">
      <w:pPr>
        <w:pStyle w:val="Bibliography"/>
      </w:pPr>
      <w:r>
        <w:t xml:space="preserve">329. </w:t>
      </w:r>
      <w:r>
        <w:tab/>
        <w:t xml:space="preserve">Ong C-T, Corces VG. Enhancer function: new insights into the regulation of tissue-specific gene expression. Nat Rev Genet. 2011 Apr;12(4):283–93. </w:t>
      </w:r>
    </w:p>
    <w:p w14:paraId="78DAF731" w14:textId="77777777" w:rsidR="004B6406" w:rsidRDefault="004B6406" w:rsidP="004B6406">
      <w:pPr>
        <w:pStyle w:val="Bibliography"/>
      </w:pPr>
      <w:r>
        <w:t xml:space="preserve">330. </w:t>
      </w:r>
      <w:r>
        <w:tab/>
        <w:t xml:space="preserve">Shlyueva D, Stampfel G, Stark A. Transcriptional enhancers: from properties to genome-wide predictions. Nat Rev Genet. 2014 Apr;15(4):272–86. </w:t>
      </w:r>
    </w:p>
    <w:p w14:paraId="034A04D8" w14:textId="77777777" w:rsidR="004B6406" w:rsidRDefault="004B6406" w:rsidP="004B6406">
      <w:pPr>
        <w:pStyle w:val="Bibliography"/>
      </w:pPr>
      <w:r>
        <w:t xml:space="preserve">331. </w:t>
      </w:r>
      <w:r>
        <w:tab/>
        <w:t xml:space="preserve">Li W, Notani D, Rosenfeld MG. Enhancers as non-coding RNA transcription units: recent insights and future perspectives. Nature Reviews Genetics. 2016 Apr;17(4):207–23. </w:t>
      </w:r>
    </w:p>
    <w:p w14:paraId="49A897A1" w14:textId="77777777" w:rsidR="004B6406" w:rsidRDefault="004B6406" w:rsidP="004B6406">
      <w:pPr>
        <w:pStyle w:val="Bibliography"/>
      </w:pPr>
      <w:r>
        <w:t xml:space="preserve">332. </w:t>
      </w:r>
      <w:r>
        <w:tab/>
        <w:t>Kim T-K, Hemberg M, Gray JM. Enhancer RNAs: A Class of Long Noncoding RNAs Synthesized at Enhancers. Cold Spring Harb Perspect Biol [Internet]. 2015 Jan [cited 2018 Apr 17];7(1). Available from: https://www.ncbi.nlm.nih.gov/pmc/articles/PMC4292161/</w:t>
      </w:r>
    </w:p>
    <w:p w14:paraId="63CDC811" w14:textId="77777777" w:rsidR="004B6406" w:rsidRDefault="004B6406" w:rsidP="004B6406">
      <w:pPr>
        <w:pStyle w:val="Bibliography"/>
      </w:pPr>
      <w:r>
        <w:t xml:space="preserve">333. </w:t>
      </w:r>
      <w:r>
        <w:tab/>
        <w:t xml:space="preserve">Fukaya T, Lim B, Levine M. Enhancer Control of Transcriptional Bursting. Cell. 2016 Jul 14;166(2):358–68. </w:t>
      </w:r>
    </w:p>
    <w:p w14:paraId="68811714" w14:textId="77777777" w:rsidR="004B6406" w:rsidRDefault="004B6406" w:rsidP="004B6406">
      <w:pPr>
        <w:pStyle w:val="Bibliography"/>
      </w:pPr>
      <w:r>
        <w:t xml:space="preserve">334. </w:t>
      </w:r>
      <w:r>
        <w:tab/>
        <w:t>Denisenko E, Guler R, Mhlanga MM, Suzuki H, Brombacher F, Schmeier S. Genome-wide profiling of transcribed enhancers during macrophage activation. Epigenetics Chromatin [Internet]. 2017 Oct 23;10. Available from: https://www.ncbi.nlm.nih.gov/pmc/articles/PMC5654053/</w:t>
      </w:r>
    </w:p>
    <w:p w14:paraId="3B5F517A" w14:textId="77777777" w:rsidR="004B6406" w:rsidRDefault="004B6406" w:rsidP="004B6406">
      <w:pPr>
        <w:pStyle w:val="Bibliography"/>
      </w:pPr>
      <w:r>
        <w:t xml:space="preserve">335. </w:t>
      </w:r>
      <w:r>
        <w:tab/>
        <w:t xml:space="preserve">Glass CK, Natoli G. Molecular control of activation and priming in macrophages. Nat Immunol. 2016 Jan;17(1):26–33. </w:t>
      </w:r>
    </w:p>
    <w:p w14:paraId="52C58EC9" w14:textId="77777777" w:rsidR="004B6406" w:rsidRDefault="004B6406" w:rsidP="004B6406">
      <w:pPr>
        <w:pStyle w:val="Bibliography"/>
      </w:pPr>
      <w:r>
        <w:t xml:space="preserve">336. </w:t>
      </w:r>
      <w:r>
        <w:tab/>
        <w:t xml:space="preserve">Flood TF, Gorczyca M, White BH, Ito K, Yoshihara M. A Large-Scale Behavioral Screen to Identify Neurons Controlling Motor Programs in the Drosophila Brain. G3: Genes, Genomes, Genetics. 2013 Oct 1;3(10):1629–37. </w:t>
      </w:r>
    </w:p>
    <w:p w14:paraId="00038A38" w14:textId="77777777" w:rsidR="004B6406" w:rsidRDefault="004B6406" w:rsidP="004B6406">
      <w:pPr>
        <w:pStyle w:val="Bibliography"/>
      </w:pPr>
      <w:r>
        <w:t xml:space="preserve">337. </w:t>
      </w:r>
      <w:r>
        <w:tab/>
        <w:t xml:space="preserve">Heigwer F, Port F, Boutros M. RNA Interference (RNAi) Screening in Drosophila. Genetics. 2018 Mar 1;208(3):853–74. </w:t>
      </w:r>
    </w:p>
    <w:p w14:paraId="22DA279D" w14:textId="77777777" w:rsidR="004B6406" w:rsidRDefault="004B6406" w:rsidP="004B6406">
      <w:pPr>
        <w:pStyle w:val="Bibliography"/>
      </w:pPr>
      <w:r>
        <w:t xml:space="preserve">338. </w:t>
      </w:r>
      <w:r>
        <w:tab/>
        <w:t xml:space="preserve">Willoughby LF, Schlosser T, Manning SA, Parisot JP, Street IP, Richardson HE, et al. An in vivo large-scale chemical screening platform using Drosophila for anti-cancer drug discovery. Dis Model Mech. 2013 Mar;6(2):521–9. </w:t>
      </w:r>
    </w:p>
    <w:p w14:paraId="262E7E64" w14:textId="77777777" w:rsidR="004B6406" w:rsidRDefault="004B6406" w:rsidP="004B6406">
      <w:pPr>
        <w:pStyle w:val="Bibliography"/>
      </w:pPr>
      <w:r>
        <w:t xml:space="preserve">339. </w:t>
      </w:r>
      <w:r>
        <w:tab/>
        <w:t xml:space="preserve">Han Z, Olson EN. Hand is a direct target of Tinman and GATA factors during Drosophila cardiogenesis and hematopoiesis. Development. 2005 Aug 1;132(15):3525–36. </w:t>
      </w:r>
    </w:p>
    <w:p w14:paraId="60B38726" w14:textId="77777777" w:rsidR="004B6406" w:rsidRDefault="004B6406" w:rsidP="004B6406">
      <w:pPr>
        <w:pStyle w:val="Bibliography"/>
      </w:pPr>
      <w:r>
        <w:lastRenderedPageBreak/>
        <w:t xml:space="preserve">340. </w:t>
      </w:r>
      <w:r>
        <w:tab/>
        <w:t xml:space="preserve">Klein SL, Flanagan KL. Sex differences in immune responses. Nature Reviews Immunology. 2016 Oct;16(10):626–38. </w:t>
      </w:r>
    </w:p>
    <w:p w14:paraId="6254A391" w14:textId="77777777" w:rsidR="004B6406" w:rsidRDefault="004B6406" w:rsidP="004B6406">
      <w:pPr>
        <w:pStyle w:val="Bibliography"/>
      </w:pPr>
      <w:r>
        <w:t xml:space="preserve">341. </w:t>
      </w:r>
      <w:r>
        <w:tab/>
        <w:t xml:space="preserve">Rostam HM, Reynolds PM, Alexander MR, Gadegaard N, Ghaemmaghami AM. Image based Machine Learning for identification of macrophage subsets. Scientific Reports. 2017 Jun 14;7(1):3521. </w:t>
      </w:r>
    </w:p>
    <w:p w14:paraId="6413E344" w14:textId="77777777" w:rsidR="004B6406" w:rsidRDefault="004B6406" w:rsidP="004B6406">
      <w:pPr>
        <w:pStyle w:val="Bibliography"/>
      </w:pPr>
      <w:r>
        <w:t xml:space="preserve">342. </w:t>
      </w:r>
      <w:r>
        <w:tab/>
        <w:t xml:space="preserve">Ploeger DT, Hosper NA, Schipper M, Koerts JA, de Rond S, Bank RA. Cell plasticity in wound healing: paracrine factors of M1/ M2 polarized macrophages influence the phenotypical state of dermal fibroblasts. Cell Communication and Signaling. 2013 Apr </w:t>
      </w:r>
      <w:proofErr w:type="gramStart"/>
      <w:r>
        <w:t>19;11:29</w:t>
      </w:r>
      <w:proofErr w:type="gramEnd"/>
      <w:r>
        <w:t xml:space="preserve">. </w:t>
      </w:r>
    </w:p>
    <w:p w14:paraId="6A028FA0" w14:textId="77777777" w:rsidR="004B6406" w:rsidRDefault="004B6406" w:rsidP="004B6406">
      <w:pPr>
        <w:pStyle w:val="Bibliography"/>
      </w:pPr>
      <w:r>
        <w:t xml:space="preserve">343. </w:t>
      </w:r>
      <w:r>
        <w:tab/>
        <w:t xml:space="preserve">McWhorter FY, Wang T, Nguyen P, Chung T, Liu WF. Modulation of macrophage phenotype by cell shape. Proc Natl Acad Sci U S A. 2013 Oct 22;110(43):17253–8. </w:t>
      </w:r>
    </w:p>
    <w:p w14:paraId="7F4CEADA" w14:textId="77777777" w:rsidR="004B6406" w:rsidRDefault="004B6406" w:rsidP="004B6406">
      <w:pPr>
        <w:pStyle w:val="Bibliography"/>
      </w:pPr>
      <w:r>
        <w:t xml:space="preserve">344. </w:t>
      </w:r>
      <w:r>
        <w:tab/>
        <w:t xml:space="preserve">Akbar MA, Tracy C, Kahr WHA, Krämer H. The full-of-bacteria gene is required for phagosome maturation during immune defense in Drosophila. The Journal of Cell Biology. 2011 Feb 7;192(3):383–90. </w:t>
      </w:r>
    </w:p>
    <w:p w14:paraId="44DAA575" w14:textId="77777777" w:rsidR="004B6406" w:rsidRDefault="004B6406" w:rsidP="004B6406">
      <w:pPr>
        <w:pStyle w:val="Bibliography"/>
      </w:pPr>
      <w:r>
        <w:t xml:space="preserve">345. </w:t>
      </w:r>
      <w:r>
        <w:tab/>
        <w:t>Tan H-Y, Wang N, Li S, Hong M, Wang X, Feng Y. The Reactive Oxygen Species in Macrophage Polarization: Reflecting Its Dual Role in Progression and Treatment of Human Diseases [Internet]. Oxidative Medicine and Cellular Longevity. 2016 [cited 2018 Sep 21]. Available from: https://www.hindawi.com/journals/omcl/2016/2795090/</w:t>
      </w:r>
    </w:p>
    <w:p w14:paraId="130A4183" w14:textId="77777777" w:rsidR="004B6406" w:rsidRDefault="004B6406" w:rsidP="004B6406">
      <w:pPr>
        <w:pStyle w:val="Bibliography"/>
      </w:pPr>
      <w:r>
        <w:t xml:space="preserve">346. </w:t>
      </w:r>
      <w:r>
        <w:tab/>
        <w:t xml:space="preserve">Canton J, Khezri R, Glogauer M, Grinstein S. Contrasting phagosome pH regulation and maturation in human M1 and M2 macrophages. Mol Biol Cell. 2014 Nov 1;25(21):3330–41. </w:t>
      </w:r>
    </w:p>
    <w:p w14:paraId="0B80076C" w14:textId="77777777" w:rsidR="004B6406" w:rsidRDefault="004B6406" w:rsidP="004B6406">
      <w:pPr>
        <w:pStyle w:val="Bibliography"/>
      </w:pPr>
      <w:r>
        <w:t xml:space="preserve">347. </w:t>
      </w:r>
      <w:r>
        <w:tab/>
        <w:t xml:space="preserve">Pelegrin P, Surprenant A. Dynamics of macrophage polarization reveal new mechanism to inhibit IL-1β release through pyrophosphates. EMBO J. 2009 Jul 22;28(14):2114–27. </w:t>
      </w:r>
    </w:p>
    <w:p w14:paraId="49A982FD" w14:textId="77777777" w:rsidR="004B6406" w:rsidRDefault="004B6406" w:rsidP="004B6406">
      <w:pPr>
        <w:pStyle w:val="Bibliography"/>
      </w:pPr>
      <w:r>
        <w:t xml:space="preserve">348. </w:t>
      </w:r>
      <w:r>
        <w:tab/>
        <w:t xml:space="preserve">Kotwal GJ, Chien S. Macrophage Differentiation in Normal and Accelerated Wound Healing. Results Probl Cell Differ. </w:t>
      </w:r>
      <w:proofErr w:type="gramStart"/>
      <w:r>
        <w:t>2017;62:353</w:t>
      </w:r>
      <w:proofErr w:type="gramEnd"/>
      <w:r>
        <w:t xml:space="preserve">–64. </w:t>
      </w:r>
    </w:p>
    <w:p w14:paraId="07130C10" w14:textId="77777777" w:rsidR="004B6406" w:rsidRDefault="004B6406" w:rsidP="004B6406">
      <w:pPr>
        <w:pStyle w:val="Bibliography"/>
      </w:pPr>
      <w:r>
        <w:t xml:space="preserve">349. </w:t>
      </w:r>
      <w:r>
        <w:tab/>
        <w:t xml:space="preserve">Wood W, Jacinto A, Grose R, Woolner S, Gale J, Wilson C, et al. Wound healing recapitulates morphogenesis in Drosophila embryos. Nat Cell Biol. 2002 Nov;4(11):907–12. </w:t>
      </w:r>
    </w:p>
    <w:p w14:paraId="00C287BA" w14:textId="77777777" w:rsidR="004B6406" w:rsidRDefault="004B6406" w:rsidP="004B6406">
      <w:pPr>
        <w:pStyle w:val="Bibliography"/>
      </w:pPr>
      <w:r>
        <w:t xml:space="preserve">350. </w:t>
      </w:r>
      <w:r>
        <w:tab/>
        <w:t xml:space="preserve">Li X, Liu L, Li R, Wu A, Lu J, Wu Q, et al. Hepatic loss of Lissencephaly 1 (Lis1) induces fatty liver and accelerates liver tumorigenesis in mice. J Biol Chem. 2018 Apr 6;293(14):5160–71. </w:t>
      </w:r>
    </w:p>
    <w:p w14:paraId="41DD89BE" w14:textId="77777777" w:rsidR="004B6406" w:rsidRDefault="004B6406" w:rsidP="004B6406">
      <w:pPr>
        <w:pStyle w:val="Bibliography"/>
      </w:pPr>
      <w:r>
        <w:t xml:space="preserve">351. </w:t>
      </w:r>
      <w:r>
        <w:tab/>
        <w:t xml:space="preserve">Du Y, Yang M, Wei W, Huynh HD, Herz J, Saghatelian A, et al. Macrophage VLDL receptor promotes PAFAH secretion in mother’s milk and suppresses systemic inflammation in nursing neonates. Nature Communications. 2012 Aug </w:t>
      </w:r>
      <w:proofErr w:type="gramStart"/>
      <w:r>
        <w:t>21;3:1008</w:t>
      </w:r>
      <w:proofErr w:type="gramEnd"/>
      <w:r>
        <w:t xml:space="preserve">. </w:t>
      </w:r>
    </w:p>
    <w:p w14:paraId="6AFA0714" w14:textId="77777777" w:rsidR="004B6406" w:rsidRDefault="004B6406" w:rsidP="004B6406">
      <w:pPr>
        <w:pStyle w:val="Bibliography"/>
      </w:pPr>
      <w:r>
        <w:lastRenderedPageBreak/>
        <w:t xml:space="preserve">352. </w:t>
      </w:r>
      <w:r>
        <w:tab/>
        <w:t xml:space="preserve">Borges AF, Morato CI, Gomes RS, Dorta ML, de Oliveira MAP, Ribeiro-Dias F. Platelet-activating factor increases reactive oxygen species-mediated microbicidal activity of human macrophages infected with Leishmania (Viannia) braziliensis. Pathog Dis. 2017 29;75(7). </w:t>
      </w:r>
    </w:p>
    <w:p w14:paraId="14EE7365" w14:textId="77777777" w:rsidR="004B6406" w:rsidRDefault="004B6406" w:rsidP="004B6406">
      <w:pPr>
        <w:pStyle w:val="Bibliography"/>
      </w:pPr>
      <w:r>
        <w:t xml:space="preserve">353. </w:t>
      </w:r>
      <w:r>
        <w:tab/>
        <w:t>Meng F, Lin Y, Yang M, Li M, Yang G, Hao P, et al. JAZF1 Inhibits Adipose Tissue Macrophages and Adipose Tissue Inflammation in Diet-Induced Diabetic Mice. Biomed Res Int [Internet]. 2018 Mar 22 [cited 2019 Feb 19];2018. Available from: https://www.ncbi.nlm.nih.gov/pmc/articles/PMC5885486/</w:t>
      </w:r>
    </w:p>
    <w:p w14:paraId="1ACD972D" w14:textId="77777777" w:rsidR="004B6406" w:rsidRDefault="004B6406" w:rsidP="004B6406">
      <w:pPr>
        <w:pStyle w:val="Bibliography"/>
      </w:pPr>
      <w:r>
        <w:t xml:space="preserve">354. </w:t>
      </w:r>
      <w:r>
        <w:tab/>
        <w:t>Fang W, Zheng Q. Downregulation of USP22 promotes activation of microglia and subsequent neuronal inflammation in rat spinal cord after injury. 2017 [cited 2019 Feb 19]; Available from: http://www.biomedres.info/abstract/downregulation-of-usp22-promotes-activation-of-microglia-and-subsequent-neuronal-inflammation-in-rat-spinal-cord-after-injury-9237.html</w:t>
      </w:r>
    </w:p>
    <w:p w14:paraId="5C2D56A3" w14:textId="77777777" w:rsidR="004B6406" w:rsidRDefault="004B6406" w:rsidP="004B6406">
      <w:pPr>
        <w:pStyle w:val="Bibliography"/>
      </w:pPr>
      <w:r>
        <w:t xml:space="preserve">355. </w:t>
      </w:r>
      <w:r>
        <w:tab/>
        <w:t xml:space="preserve">Wada I, Rindress D, Cameron PH, Ou WJ, Doherty JJ, Louvard D, et al. SSR alpha and associated calnexin are major calcium binding proteins of the endoplasmic reticulum membrane. J Biol Chem. 1991 Oct 15;266(29):19599–610. </w:t>
      </w:r>
    </w:p>
    <w:p w14:paraId="52619B62" w14:textId="77777777" w:rsidR="004B6406" w:rsidRDefault="004B6406" w:rsidP="004B6406">
      <w:pPr>
        <w:pStyle w:val="Bibliography"/>
      </w:pPr>
      <w:r>
        <w:t xml:space="preserve">356. </w:t>
      </w:r>
      <w:r>
        <w:tab/>
        <w:t xml:space="preserve">Roderick HL, Lechleiter JD, Camacho P. Cytosolic phosphorylation of calnexin controls intracellular </w:t>
      </w:r>
      <w:proofErr w:type="gramStart"/>
      <w:r>
        <w:t>Ca(</w:t>
      </w:r>
      <w:proofErr w:type="gramEnd"/>
      <w:r>
        <w:t xml:space="preserve">2+) oscillations via an interaction with SERCA2b. J Cell Biol. 2000 Jun 12;149(6):1235–48. </w:t>
      </w:r>
    </w:p>
    <w:p w14:paraId="0592D539" w14:textId="77777777" w:rsidR="004B6406" w:rsidRDefault="004B6406" w:rsidP="004B6406">
      <w:pPr>
        <w:pStyle w:val="Bibliography"/>
      </w:pPr>
      <w:r>
        <w:t xml:space="preserve">357. </w:t>
      </w:r>
      <w:r>
        <w:tab/>
        <w:t xml:space="preserve">Corish P, Tyler-Smith C. Attenuation of green fluorescent protein half-life in mammalian cells. Protein Eng. 1999 Dec;12(12):1035–40. </w:t>
      </w:r>
    </w:p>
    <w:p w14:paraId="6D0A9E48" w14:textId="77777777" w:rsidR="004B6406" w:rsidRDefault="004B6406" w:rsidP="004B6406">
      <w:pPr>
        <w:pStyle w:val="Bibliography"/>
      </w:pPr>
      <w:r>
        <w:t xml:space="preserve">358. </w:t>
      </w:r>
      <w:r>
        <w:tab/>
        <w:t xml:space="preserve">Iyer EPR, Cox DN. Laser Capture Microdissection of Drosophila Peripheral Neurons. J Vis Exp [Internet]. 2010 May 24 [cited 2019 Feb </w:t>
      </w:r>
      <w:proofErr w:type="gramStart"/>
      <w:r>
        <w:t>19];(</w:t>
      </w:r>
      <w:proofErr w:type="gramEnd"/>
      <w:r>
        <w:t>39). Available from: https://www.ncbi.nlm.nih.gov/pmc/articles/PMC3152851/</w:t>
      </w:r>
    </w:p>
    <w:p w14:paraId="4B67214C" w14:textId="77777777" w:rsidR="004B6406" w:rsidRDefault="004B6406" w:rsidP="004B6406">
      <w:pPr>
        <w:pStyle w:val="Bibliography"/>
      </w:pPr>
      <w:r>
        <w:t xml:space="preserve">359. </w:t>
      </w:r>
      <w:r>
        <w:tab/>
        <w:t>Nguyen A, Khoo WH, Moran I, Croucher PI, Phan TG. Single Cell RNA Sequencing of Rare Immune Cell Populations. Front Immunol [Internet]. 2018 Jul 4 [cited 2019 Feb 19];9. Available from: https://www.ncbi.nlm.nih.gov/pmc/articles/PMC6039576/</w:t>
      </w:r>
    </w:p>
    <w:p w14:paraId="4E75453D" w14:textId="77777777" w:rsidR="004B6406" w:rsidRDefault="004B6406" w:rsidP="004B6406">
      <w:pPr>
        <w:pStyle w:val="Bibliography"/>
      </w:pPr>
      <w:r>
        <w:t xml:space="preserve">360. </w:t>
      </w:r>
      <w:r>
        <w:tab/>
        <w:t>Wu F, Olson BG, Yao J. DamID-seq: Genome-wide Mapping of Protein-DNA Interactions by High Throughput Sequencing of Adenine-methylated DNA Fragments. J Vis Exp. 2016 Jan 27;(107</w:t>
      </w:r>
      <w:proofErr w:type="gramStart"/>
      <w:r>
        <w:t>):e</w:t>
      </w:r>
      <w:proofErr w:type="gramEnd"/>
      <w:r>
        <w:t xml:space="preserve">53620. </w:t>
      </w:r>
    </w:p>
    <w:p w14:paraId="03EE0CD5" w14:textId="77777777" w:rsidR="004B6406" w:rsidRDefault="004B6406" w:rsidP="004B6406">
      <w:pPr>
        <w:pStyle w:val="Bibliography"/>
      </w:pPr>
      <w:r>
        <w:t xml:space="preserve">361. </w:t>
      </w:r>
      <w:r>
        <w:tab/>
        <w:t xml:space="preserve">Marshall OJ, Southall TD, Cheetham SW, Brand AH. Cell-type-specific profiling of protein-DNA interactions without cell isolation using targeted DamID with next-generation sequencing. Nat Protoc. 2016;11(9):1586–98. </w:t>
      </w:r>
    </w:p>
    <w:p w14:paraId="5E6EE86C" w14:textId="77777777" w:rsidR="004B6406" w:rsidRDefault="004B6406" w:rsidP="004B6406">
      <w:pPr>
        <w:pStyle w:val="Bibliography"/>
      </w:pPr>
      <w:r>
        <w:t xml:space="preserve">362. </w:t>
      </w:r>
      <w:r>
        <w:tab/>
        <w:t xml:space="preserve">Triggiani M, Granata F, Giannattasio G, Marone G. Secretory phospholipases A2 in inflammatory and allergic diseases: not just enzymes. J Allergy Clin Immunol. 2005 Nov;116(5):1000–6. </w:t>
      </w:r>
    </w:p>
    <w:p w14:paraId="5FD7550B" w14:textId="77777777" w:rsidR="004B6406" w:rsidRDefault="004B6406" w:rsidP="004B6406">
      <w:pPr>
        <w:pStyle w:val="Bibliography"/>
      </w:pPr>
      <w:r>
        <w:lastRenderedPageBreak/>
        <w:t xml:space="preserve">363. </w:t>
      </w:r>
      <w:r>
        <w:tab/>
        <w:t xml:space="preserve">Stanley-Samuelson DW, Jensen E, Nickerson KW, Tiebel K, Ogg CL, Howard RW. Insect immune response to bacterial infection is mediated by eicosanoids. PNAS. 1991 Feb 1;88(3):1064–8. </w:t>
      </w:r>
    </w:p>
    <w:p w14:paraId="62E670B8" w14:textId="77777777" w:rsidR="004B6406" w:rsidRDefault="004B6406" w:rsidP="004B6406">
      <w:pPr>
        <w:pStyle w:val="Bibliography"/>
      </w:pPr>
      <w:r>
        <w:t xml:space="preserve">364. </w:t>
      </w:r>
      <w:r>
        <w:tab/>
        <w:t xml:space="preserve">Carton Y, Frey F, Stanley DW, Vass E, Nappi AJ. Dexamethasone inhibition of the cellular immune response of Drosophila melanogaster against a parasitoid. J Parasitol. 2002 Apr;88(2):405–7. </w:t>
      </w:r>
    </w:p>
    <w:p w14:paraId="3D7F27FF" w14:textId="77777777" w:rsidR="004B6406" w:rsidRDefault="004B6406" w:rsidP="004B6406">
      <w:pPr>
        <w:pStyle w:val="Bibliography"/>
      </w:pPr>
      <w:r>
        <w:t xml:space="preserve">365. </w:t>
      </w:r>
      <w:r>
        <w:tab/>
        <w:t>Ahmed S, Stanley D, Kim Y. An Insect Prostaglandin E2 Synthase Acts in Immunity and Reproduction. Front Physiol [Internet]. 2018 [cited 2019 Feb 20];9. Available from: http://www.frontiersin.org/articles/10.3389/fphys.2018.01231/full</w:t>
      </w:r>
    </w:p>
    <w:p w14:paraId="522E43B8" w14:textId="77777777" w:rsidR="004B6406" w:rsidRDefault="004B6406" w:rsidP="004B6406">
      <w:pPr>
        <w:pStyle w:val="Bibliography"/>
      </w:pPr>
      <w:r>
        <w:t xml:space="preserve">366. </w:t>
      </w:r>
      <w:r>
        <w:tab/>
        <w:t xml:space="preserve">Zhang L, Wang C-C. Inflammatory response of macrophages in infection. HBPD INT. 2014 Apr;13(2):138–52. </w:t>
      </w:r>
    </w:p>
    <w:p w14:paraId="53E8BAC4" w14:textId="77777777" w:rsidR="004B6406" w:rsidRDefault="004B6406" w:rsidP="004B6406">
      <w:pPr>
        <w:pStyle w:val="Bibliography"/>
      </w:pPr>
      <w:r>
        <w:t xml:space="preserve">367. </w:t>
      </w:r>
      <w:r>
        <w:tab/>
        <w:t xml:space="preserve">Schulz D, Severin Y, Zanotelli VRT, Bodenmiller B. In-Depth Characterization of Monocyte-Derived Macrophages using a Mass Cytometry-Based Phagocytosis Assay. Scientific Reports. 2019 Feb 13;9(1):1925. </w:t>
      </w:r>
    </w:p>
    <w:p w14:paraId="2251D1A3" w14:textId="77777777" w:rsidR="004B6406" w:rsidRDefault="004B6406" w:rsidP="004B6406">
      <w:pPr>
        <w:pStyle w:val="Bibliography"/>
      </w:pPr>
      <w:r>
        <w:t xml:space="preserve">368. </w:t>
      </w:r>
      <w:r>
        <w:tab/>
        <w:t xml:space="preserve">Lingnau M, Höflich C, Volk H-D, Sabat R, Döcke W-D. Interleukin-10 enhances the CD14-dependent phagocytosis of bacteria and apoptotic cells by human monocytes. Human Immunology. 2007 Sep 1;68(9):730–8. </w:t>
      </w:r>
    </w:p>
    <w:p w14:paraId="37E42B4A" w14:textId="77777777" w:rsidR="004B6406" w:rsidRDefault="004B6406" w:rsidP="004B6406">
      <w:pPr>
        <w:pStyle w:val="Bibliography"/>
      </w:pPr>
      <w:r>
        <w:t xml:space="preserve">369. </w:t>
      </w:r>
      <w:r>
        <w:tab/>
        <w:t xml:space="preserve">Gratchev A, Kzhyshkowska J, Utikal J, Goerdt S. Interleukin-4 and Dexamethasone Counterregulate Extracellular Matrix Remodelling and Phagocytosis in Type-2 Macrophages. Scandinavian Journal of Immunology. 2005;61(1):10–7. </w:t>
      </w:r>
    </w:p>
    <w:p w14:paraId="475D7DE4" w14:textId="77777777" w:rsidR="004B6406" w:rsidRDefault="004B6406" w:rsidP="004B6406">
      <w:pPr>
        <w:pStyle w:val="Bibliography"/>
      </w:pPr>
      <w:r>
        <w:t xml:space="preserve">370. </w:t>
      </w:r>
      <w:r>
        <w:tab/>
        <w:t xml:space="preserve">Teles RMB, Krutzik SR, Ochoa MT, Oliveira RB, Sarno EN, Modlin RL. Interleukin-4 Regulates the Expression of CD209 and Subsequent Uptake of Mycobacterium leprae by Schwann Cells in Human Leprosy. Infection and Immunity. 2010 Nov 1;78(11):4634–43. </w:t>
      </w:r>
    </w:p>
    <w:p w14:paraId="68B35CA8" w14:textId="77777777" w:rsidR="004B6406" w:rsidRDefault="004B6406" w:rsidP="004B6406">
      <w:pPr>
        <w:pStyle w:val="Bibliography"/>
      </w:pPr>
      <w:r>
        <w:t xml:space="preserve">371. </w:t>
      </w:r>
      <w:r>
        <w:tab/>
        <w:t>Lam RS, O’Brien-Simpson NM, Holden JA, Lenzo JC, Fong SB, Reynolds EC. Unprimed, M1 and M2 Macrophages Differentially Interact with Porphyromonas gingivalis. PLoS One [Internet]. 2016 Jul 6 [cited 2019 Feb 19];11(7). Available from: https://www.ncbi.nlm.nih.gov/pmc/articles/PMC4934774/</w:t>
      </w:r>
    </w:p>
    <w:p w14:paraId="43F68826" w14:textId="77777777" w:rsidR="004B6406" w:rsidRDefault="004B6406" w:rsidP="004B6406">
      <w:pPr>
        <w:pStyle w:val="Bibliography"/>
      </w:pPr>
      <w:r>
        <w:t xml:space="preserve">372. </w:t>
      </w:r>
      <w:r>
        <w:tab/>
        <w:t xml:space="preserve">Johansson KC, Metzendorf C, Söderhäll K. Microarray analysis of immune challenged Drosophila hemocytes. Exp Cell Res. 2005 Apr 15;305(1):145–55. </w:t>
      </w:r>
    </w:p>
    <w:p w14:paraId="63D201F4" w14:textId="77777777" w:rsidR="004B6406" w:rsidRDefault="004B6406" w:rsidP="004B6406">
      <w:pPr>
        <w:pStyle w:val="Bibliography"/>
      </w:pPr>
      <w:r>
        <w:t xml:space="preserve">373. </w:t>
      </w:r>
      <w:r>
        <w:tab/>
        <w:t>Schlenke TA, Morales J, Govind S, Clark AG. Contrasting Infection Strategies in Generalist and Specialist Wasp Parasitoids of Drosophila melanogaster. PLOS Pathogens. 2007 Oct 26;3(10</w:t>
      </w:r>
      <w:proofErr w:type="gramStart"/>
      <w:r>
        <w:t>):e</w:t>
      </w:r>
      <w:proofErr w:type="gramEnd"/>
      <w:r>
        <w:t xml:space="preserve">158. </w:t>
      </w:r>
    </w:p>
    <w:p w14:paraId="0AA1D9EA" w14:textId="77777777" w:rsidR="004B6406" w:rsidRDefault="004B6406" w:rsidP="004B6406">
      <w:pPr>
        <w:pStyle w:val="Bibliography"/>
      </w:pPr>
      <w:r>
        <w:t xml:space="preserve">374. </w:t>
      </w:r>
      <w:r>
        <w:tab/>
        <w:t>Regan JC, Brandão AS, Leitão AB, Mantas Dias ÂR, Sucena É, Jacinto A, et al. Steroid Hormone Signaling Is Essential to Regulate Innate Immune Cells and Fight Bacterial Infection in Drosophila. PLoS Pathog [Internet]. 2013 Oct [cited 2016 Nov 17];9(10). Available from: http://www.ncbi.nlm.nih.gov/pmc/articles/PMC3812043/</w:t>
      </w:r>
    </w:p>
    <w:p w14:paraId="7E31AB8A" w14:textId="77777777" w:rsidR="004B6406" w:rsidRDefault="004B6406" w:rsidP="004B6406">
      <w:pPr>
        <w:pStyle w:val="Bibliography"/>
      </w:pPr>
      <w:r>
        <w:lastRenderedPageBreak/>
        <w:t xml:space="preserve">375. </w:t>
      </w:r>
      <w:r>
        <w:tab/>
        <w:t xml:space="preserve">Morioka S, Perry JSA, Raymond MH, Medina CB, Zhu Y, Zhao L, et al. Efferocytosis induces a novel SLC program to promote glucose uptake and lactate release. Nature. 2018;563(7733):714–8. </w:t>
      </w:r>
    </w:p>
    <w:p w14:paraId="528EBC8D" w14:textId="77777777" w:rsidR="004B6406" w:rsidRDefault="004B6406" w:rsidP="004B6406">
      <w:pPr>
        <w:pStyle w:val="Bibliography"/>
      </w:pPr>
      <w:r>
        <w:t xml:space="preserve">376. </w:t>
      </w:r>
      <w:r>
        <w:tab/>
        <w:t xml:space="preserve">Zitvogel L, Tesniere A, Kroemer G. Cancer despite immunosurveillance: immunoselection and immunosubversion. Nat Rev Immunol. 2006 Oct;6(10):715–27. </w:t>
      </w:r>
    </w:p>
    <w:p w14:paraId="48E44AF5" w14:textId="77777777" w:rsidR="004B6406" w:rsidRDefault="004B6406" w:rsidP="004B6406">
      <w:pPr>
        <w:pStyle w:val="Bibliography"/>
      </w:pPr>
      <w:r>
        <w:t xml:space="preserve">377. </w:t>
      </w:r>
      <w:r>
        <w:tab/>
        <w:t xml:space="preserve">Hanahan D, Weinberg RA. Hallmarks of cancer: the next generation. Cell. 2011 Mar 4;144(5):646–74. </w:t>
      </w:r>
    </w:p>
    <w:p w14:paraId="791C7BC2" w14:textId="77777777" w:rsidR="004B6406" w:rsidRDefault="004B6406" w:rsidP="004B6406">
      <w:pPr>
        <w:pStyle w:val="Bibliography"/>
      </w:pPr>
      <w:r>
        <w:t xml:space="preserve">378. </w:t>
      </w:r>
      <w:r>
        <w:tab/>
        <w:t xml:space="preserve">Scemes E, Giaume C. Astrocyte Calcium Waves. Glia. 2006 Nov 15;54(7):716–25. </w:t>
      </w:r>
    </w:p>
    <w:p w14:paraId="54C4AAC0" w14:textId="77777777" w:rsidR="004B6406" w:rsidRDefault="004B6406" w:rsidP="004B6406">
      <w:pPr>
        <w:pStyle w:val="Bibliography"/>
      </w:pPr>
      <w:r>
        <w:t xml:space="preserve">379. </w:t>
      </w:r>
      <w:r>
        <w:tab/>
        <w:t xml:space="preserve">Nonaka S, Ando Y, Kanetani T, Hoshi C, Nakai Y, Nainu F, et al. Signaling pathway for phagocyte priming upon encounter with apoptotic cells. J Biol Chem. 2017 12;292(19):8059–72. </w:t>
      </w:r>
    </w:p>
    <w:p w14:paraId="17D76989" w14:textId="77777777" w:rsidR="004B6406" w:rsidRDefault="004B6406" w:rsidP="004B6406">
      <w:pPr>
        <w:pStyle w:val="Bibliography"/>
      </w:pPr>
      <w:r>
        <w:t xml:space="preserve">380. </w:t>
      </w:r>
      <w:r>
        <w:tab/>
        <w:t xml:space="preserve">Provost KA, Smith M, Arold SP, Hava DL, Sethi S. Calcium restores the macrophage response to nontypeable haemophilus influenzae in chronic obstructive pulmonary disease. Am J Respir Cell Mol Biol. 2015 Jun;52(6):728–37. </w:t>
      </w:r>
    </w:p>
    <w:p w14:paraId="3DF861D2" w14:textId="77777777" w:rsidR="004B6406" w:rsidRDefault="004B6406" w:rsidP="004B6406">
      <w:pPr>
        <w:pStyle w:val="Bibliography"/>
      </w:pPr>
      <w:r>
        <w:t xml:space="preserve">381. </w:t>
      </w:r>
      <w:r>
        <w:tab/>
        <w:t xml:space="preserve">Tugal D, Liao X, Jain MK. Transcriptional Control of Macrophage Polarization. Arterioscler Thromb Vasc Biol. 2013 Jun 1;33(6):1135–44. </w:t>
      </w:r>
    </w:p>
    <w:p w14:paraId="7CCD7FD7" w14:textId="77777777" w:rsidR="004B6406" w:rsidRDefault="004B6406" w:rsidP="004B6406">
      <w:pPr>
        <w:pStyle w:val="Bibliography"/>
      </w:pPr>
      <w:r>
        <w:t xml:space="preserve">382. </w:t>
      </w:r>
      <w:r>
        <w:tab/>
        <w:t xml:space="preserve">Rutschman R, Lang R, Hesse M, Ihle JN, Wynn TA, Murray PJ. Cutting edge: Stat6-dependent substrate depletion regulates nitric oxide production. J Immunol. 2001 Feb 15;166(4):2173–7. </w:t>
      </w:r>
    </w:p>
    <w:p w14:paraId="72AE510A" w14:textId="77777777" w:rsidR="004B6406" w:rsidRDefault="004B6406" w:rsidP="004B6406">
      <w:pPr>
        <w:pStyle w:val="Bibliography"/>
      </w:pPr>
      <w:r>
        <w:t xml:space="preserve">383. </w:t>
      </w:r>
      <w:r>
        <w:tab/>
        <w:t xml:space="preserve">Satoh T, Takeuchi O, Vandenbon A, Yasuda K, Tanaka Y, Kumagai Y, et al. The Jmjd3-Irf4 axis regulates M2 macrophage polarization and host responses against helminth infection. Nat Immunol. 2010 Oct;11(10):936–44. </w:t>
      </w:r>
    </w:p>
    <w:p w14:paraId="2467E93E" w14:textId="77777777" w:rsidR="004B6406" w:rsidRDefault="004B6406" w:rsidP="004B6406">
      <w:pPr>
        <w:pStyle w:val="Bibliography"/>
      </w:pPr>
      <w:r>
        <w:t xml:space="preserve">384. </w:t>
      </w:r>
      <w:r>
        <w:tab/>
        <w:t xml:space="preserve">Krausgruber T, Blazek K, Smallie T, Alzabin S, Lockstone H, Sahgal N, et al. IRF5 promotes inflammatory macrophage polarization and TH1-TH17 responses. Nat Immunol. 2011 Mar;12(3):231–8. </w:t>
      </w:r>
    </w:p>
    <w:p w14:paraId="416BA5B2" w14:textId="77777777" w:rsidR="004B6406" w:rsidRDefault="004B6406" w:rsidP="004B6406">
      <w:pPr>
        <w:pStyle w:val="Bibliography"/>
      </w:pPr>
      <w:r>
        <w:t xml:space="preserve">385. </w:t>
      </w:r>
      <w:r>
        <w:tab/>
        <w:t xml:space="preserve">Vanha-Aho L-M, Valanne S, Rämet M. Cytokines in Drosophila immunity. Immunol Lett. 2015 Dec 27; </w:t>
      </w:r>
    </w:p>
    <w:p w14:paraId="59C08404" w14:textId="77777777" w:rsidR="004B6406" w:rsidRDefault="004B6406" w:rsidP="004B6406">
      <w:pPr>
        <w:pStyle w:val="Bibliography"/>
      </w:pPr>
      <w:r>
        <w:t xml:space="preserve">386. </w:t>
      </w:r>
      <w:r>
        <w:tab/>
        <w:t xml:space="preserve">Vannella KM, Barron L, Borthwick LA, Kindrachuk KN, Narasimhan PB, Hart KM, et al. Incomplete deletion of IL-4Rα by </w:t>
      </w:r>
      <w:proofErr w:type="gramStart"/>
      <w:r>
        <w:t>LysM(</w:t>
      </w:r>
      <w:proofErr w:type="gramEnd"/>
      <w:r>
        <w:t>Cre) reveals distinct subsets of M2 macrophages controlling inflammation and fibrosis in chronic schistosomiasis. PLoS Pathog. 2014 Sep;10(9</w:t>
      </w:r>
      <w:proofErr w:type="gramStart"/>
      <w:r>
        <w:t>):e</w:t>
      </w:r>
      <w:proofErr w:type="gramEnd"/>
      <w:r>
        <w:t xml:space="preserve">1004372. </w:t>
      </w:r>
    </w:p>
    <w:p w14:paraId="49956BF0" w14:textId="77777777" w:rsidR="004B6406" w:rsidRDefault="004B6406" w:rsidP="004B6406">
      <w:pPr>
        <w:pStyle w:val="Bibliography"/>
      </w:pPr>
      <w:r>
        <w:t xml:space="preserve">387. </w:t>
      </w:r>
      <w:r>
        <w:tab/>
        <w:t xml:space="preserve">Zhou Y, Zhang T, Wang X, Wei X, Chen Y, Guo L, et al. Curcumin Modulates Macrophage Polarization Through the Inhibition of the Toll-Like Receptor 4 Expression and its Signaling Pathways. CPB. 2015;36(2):631–41. </w:t>
      </w:r>
    </w:p>
    <w:p w14:paraId="045AB1E7" w14:textId="77777777" w:rsidR="004B6406" w:rsidRDefault="004B6406" w:rsidP="004B6406">
      <w:pPr>
        <w:pStyle w:val="Bibliography"/>
      </w:pPr>
      <w:r>
        <w:lastRenderedPageBreak/>
        <w:t xml:space="preserve">388. </w:t>
      </w:r>
      <w:r>
        <w:tab/>
        <w:t xml:space="preserve">Anders H-J, Schaefer L. Beyond tissue injury-damage-associated molecular patterns, toll-like receptors, and inflammasomes also drive regeneration and fibrosis. J Am Soc Nephrol. 2014 Jul;25(7):1387–400. </w:t>
      </w:r>
    </w:p>
    <w:p w14:paraId="2667AAFC" w14:textId="77777777" w:rsidR="004B6406" w:rsidRDefault="004B6406" w:rsidP="004B6406">
      <w:pPr>
        <w:pStyle w:val="Bibliography"/>
      </w:pPr>
      <w:r>
        <w:t xml:space="preserve">389. </w:t>
      </w:r>
      <w:r>
        <w:tab/>
        <w:t xml:space="preserve">Kratochvill F, Neale G, Haverkamp JM, Van de Velde L-A, Smith AM, Kawauchi D, et al. TNF Counterbalances the Emergence of M2 Tumor Macrophages. Cell Rep. 2015 Sep 22;12(11):1902–14. </w:t>
      </w:r>
    </w:p>
    <w:p w14:paraId="721744A2" w14:textId="77777777" w:rsidR="004B6406" w:rsidRDefault="004B6406" w:rsidP="004B6406">
      <w:pPr>
        <w:pStyle w:val="Bibliography"/>
      </w:pPr>
      <w:r>
        <w:t xml:space="preserve">390. </w:t>
      </w:r>
      <w:r>
        <w:tab/>
        <w:t xml:space="preserve">Schleicher U, Paduch K, Debus A, Obermeyer S, König T, Kling JC, et al. TNF-Mediated Restriction of Arginase 1 Expression in Myeloid Cells Triggers Type 2 NO Synthase Activity at the Site of Infection. Cell Rep. 2016 03;15(5):1062–75. </w:t>
      </w:r>
    </w:p>
    <w:p w14:paraId="01B0F8CF" w14:textId="77777777" w:rsidR="004B6406" w:rsidRDefault="004B6406" w:rsidP="004B6406">
      <w:pPr>
        <w:pStyle w:val="Bibliography"/>
      </w:pPr>
      <w:r>
        <w:t xml:space="preserve">391. </w:t>
      </w:r>
      <w:r>
        <w:tab/>
        <w:t xml:space="preserve">O’Neill LAJ, Pearce EJ. Immunometabolism governs dendritic cell and macrophage function. J Exp Med. 2016 Jan 11;213(1):15–23. </w:t>
      </w:r>
    </w:p>
    <w:p w14:paraId="7D45DDB6" w14:textId="77777777" w:rsidR="004B6406" w:rsidRDefault="004B6406" w:rsidP="004B6406">
      <w:pPr>
        <w:pStyle w:val="Bibliography"/>
      </w:pPr>
      <w:r>
        <w:t xml:space="preserve">392. </w:t>
      </w:r>
      <w:r>
        <w:tab/>
        <w:t xml:space="preserve">Ray PD, Huang B-W, Tsuji Y. Reactive oxygen species (ROS) homeostasis and redox regulation in cellular signaling. Cell Signal. 2012 May;24(5):981–90. </w:t>
      </w:r>
    </w:p>
    <w:p w14:paraId="7C577804" w14:textId="77777777" w:rsidR="004B6406" w:rsidRDefault="004B6406" w:rsidP="004B6406">
      <w:pPr>
        <w:pStyle w:val="Bibliography"/>
      </w:pPr>
      <w:r>
        <w:t xml:space="preserve">393. </w:t>
      </w:r>
      <w:r>
        <w:tab/>
        <w:t xml:space="preserve">Sharma P, Jha AB, Dubey RS, Pessarakli M. Reactive Oxygen Species, Oxidative Damage, and Antioxidative Defense Mechanism in Plants under Stressful Conditions. Journal of Botany. </w:t>
      </w:r>
      <w:proofErr w:type="gramStart"/>
      <w:r>
        <w:t>2012;2012:1</w:t>
      </w:r>
      <w:proofErr w:type="gramEnd"/>
      <w:r>
        <w:t xml:space="preserve">–26. </w:t>
      </w:r>
    </w:p>
    <w:p w14:paraId="42A42DC2" w14:textId="77777777" w:rsidR="004B6406" w:rsidRDefault="004B6406" w:rsidP="004B6406">
      <w:pPr>
        <w:pStyle w:val="Bibliography"/>
      </w:pPr>
      <w:r>
        <w:t xml:space="preserve">394. </w:t>
      </w:r>
      <w:r>
        <w:tab/>
        <w:t xml:space="preserve">Slauch JM. How does the oxidative burst of macrophages kill bacteria? Still an open question. Mol Microbiol. 2011 May;80(3):580–3. </w:t>
      </w:r>
    </w:p>
    <w:p w14:paraId="2F7C5281" w14:textId="77777777" w:rsidR="004B6406" w:rsidRDefault="004B6406" w:rsidP="004B6406">
      <w:pPr>
        <w:pStyle w:val="Bibliography"/>
      </w:pPr>
      <w:r>
        <w:t xml:space="preserve">395. </w:t>
      </w:r>
      <w:r>
        <w:tab/>
        <w:t>Forman HJ, Torres M. Reactive oxygen species and cell signaling: respiratory burst in macrophage signaling. Am J Respir Crit Care Med. 2002 Dec 15;166(12 Pt 2</w:t>
      </w:r>
      <w:proofErr w:type="gramStart"/>
      <w:r>
        <w:t>):S</w:t>
      </w:r>
      <w:proofErr w:type="gramEnd"/>
      <w:r>
        <w:t xml:space="preserve">4-8. </w:t>
      </w:r>
    </w:p>
    <w:p w14:paraId="4F75EF56" w14:textId="77777777" w:rsidR="004B6406" w:rsidRDefault="004B6406" w:rsidP="004B6406">
      <w:pPr>
        <w:pStyle w:val="Bibliography"/>
      </w:pPr>
      <w:r>
        <w:t xml:space="preserve">396. </w:t>
      </w:r>
      <w:r>
        <w:tab/>
        <w:t xml:space="preserve">Tan H-Y, Wang N, Li S, Hong M, Wang X, Feng Y. The Reactive Oxygen Species in Macrophage Polarization: Reflecting Its Dual Role in Progression and Treatment of Human Diseases. Oxid Med Cell Longev. </w:t>
      </w:r>
      <w:proofErr w:type="gramStart"/>
      <w:r>
        <w:t>2016;2016:2795090</w:t>
      </w:r>
      <w:proofErr w:type="gramEnd"/>
      <w:r>
        <w:t xml:space="preserve">. </w:t>
      </w:r>
    </w:p>
    <w:p w14:paraId="7A6B933A" w14:textId="77777777" w:rsidR="004B6406" w:rsidRDefault="004B6406" w:rsidP="004B6406">
      <w:pPr>
        <w:pStyle w:val="Bibliography"/>
      </w:pPr>
      <w:r>
        <w:t xml:space="preserve">397. </w:t>
      </w:r>
      <w:r>
        <w:tab/>
        <w:t xml:space="preserve">Hucke S, Eschborn M, Liebmann M, Herold M, Freise N, Engbers A, et al. Sodium chloride promotes pro-inflammatory macrophage polarization thereby aggravating CNS autoimmunity. Journal of Autoimmunity. 2016 Feb </w:t>
      </w:r>
      <w:proofErr w:type="gramStart"/>
      <w:r>
        <w:t>1;67:90</w:t>
      </w:r>
      <w:proofErr w:type="gramEnd"/>
      <w:r>
        <w:t xml:space="preserve">–101. </w:t>
      </w:r>
    </w:p>
    <w:p w14:paraId="0BFC01DF" w14:textId="77777777" w:rsidR="004B6406" w:rsidRDefault="004B6406" w:rsidP="004B6406">
      <w:pPr>
        <w:pStyle w:val="Bibliography"/>
      </w:pPr>
      <w:r>
        <w:t xml:space="preserve">398. </w:t>
      </w:r>
      <w:r>
        <w:tab/>
        <w:t xml:space="preserve">Bossche JV den, O’Neill LA, Menon D. Macrophage Immunometabolism: Where Are We (Going)? Trends in Immunology. 2017 Jun 1;38(6):395–406. </w:t>
      </w:r>
    </w:p>
    <w:p w14:paraId="5DE08DC5" w14:textId="77777777" w:rsidR="004B6406" w:rsidRDefault="004B6406" w:rsidP="004B6406">
      <w:pPr>
        <w:pStyle w:val="Bibliography"/>
      </w:pPr>
      <w:r>
        <w:t xml:space="preserve">399. </w:t>
      </w:r>
      <w:r>
        <w:tab/>
        <w:t xml:space="preserve">Dashty M. A quick look at biochemistry: Carbohydrate metabolism. Clinical Biochemistry. 2013 Oct 1;46(15):1339–52. </w:t>
      </w:r>
    </w:p>
    <w:p w14:paraId="0AAB9C88" w14:textId="77777777" w:rsidR="004B6406" w:rsidRDefault="004B6406" w:rsidP="004B6406">
      <w:pPr>
        <w:pStyle w:val="Bibliography"/>
      </w:pPr>
      <w:r>
        <w:t xml:space="preserve">400. </w:t>
      </w:r>
      <w:r>
        <w:tab/>
        <w:t xml:space="preserve">Mills EL, Ryan DG, Prag HA, Dikovskaya D, Menon D, Zaslona Z, et al. Itaconate is an anti-inflammatory metabolite that activates Nrf2 via alkylation of KEAP1. Nature. 2018 Apr;556(7699):113–7. </w:t>
      </w:r>
    </w:p>
    <w:p w14:paraId="74A0B856" w14:textId="77777777" w:rsidR="004B6406" w:rsidRDefault="004B6406" w:rsidP="004B6406">
      <w:pPr>
        <w:pStyle w:val="Bibliography"/>
      </w:pPr>
      <w:r>
        <w:t xml:space="preserve">401. </w:t>
      </w:r>
      <w:r>
        <w:tab/>
        <w:t>Bajgar A, Kucerova K, Jonatova L, Tomcala A, Schneedorferova I, Okrouhlik J, et al. Extracellular adenosine mediates a systemic metabolic switch during immune response. PLoS Biol. 2015 Apr;13(4</w:t>
      </w:r>
      <w:proofErr w:type="gramStart"/>
      <w:r>
        <w:t>):e</w:t>
      </w:r>
      <w:proofErr w:type="gramEnd"/>
      <w:r>
        <w:t xml:space="preserve">1002135. </w:t>
      </w:r>
    </w:p>
    <w:p w14:paraId="54CCBE84" w14:textId="77777777" w:rsidR="004B6406" w:rsidRDefault="004B6406" w:rsidP="004B6406">
      <w:pPr>
        <w:pStyle w:val="Bibliography"/>
      </w:pPr>
      <w:r>
        <w:lastRenderedPageBreak/>
        <w:t xml:space="preserve">402. </w:t>
      </w:r>
      <w:r>
        <w:tab/>
        <w:t xml:space="preserve">MacMicking J, Xie QW, Nathan C. Nitric oxide and macrophage function. Annu Rev Immunol. </w:t>
      </w:r>
      <w:proofErr w:type="gramStart"/>
      <w:r>
        <w:t>1997;15:323</w:t>
      </w:r>
      <w:proofErr w:type="gramEnd"/>
      <w:r>
        <w:t xml:space="preserve">–50. </w:t>
      </w:r>
    </w:p>
    <w:p w14:paraId="4DB5B0C8" w14:textId="77777777" w:rsidR="004B6406" w:rsidRDefault="004B6406" w:rsidP="004B6406">
      <w:pPr>
        <w:pStyle w:val="Bibliography"/>
      </w:pPr>
      <w:r>
        <w:t xml:space="preserve">403. </w:t>
      </w:r>
      <w:r>
        <w:tab/>
        <w:t xml:space="preserve">Satriano J. Arginine pathways and the inflammatory response: interregulation of nitric oxide and polyamines: review article. Amino Acids. 2004 Jul;26(4):321–9. </w:t>
      </w:r>
    </w:p>
    <w:p w14:paraId="4E4BD8E6" w14:textId="77777777" w:rsidR="004B6406" w:rsidRDefault="004B6406" w:rsidP="004B6406">
      <w:pPr>
        <w:pStyle w:val="Bibliography"/>
      </w:pPr>
      <w:r>
        <w:t xml:space="preserve">404. </w:t>
      </w:r>
      <w:r>
        <w:tab/>
        <w:t xml:space="preserve">Wang Y, Branicky R, Noë A, Hekimi S. Superoxide dismutases: Dual roles in controlling ROS damage and regulating ROS signaling. J Cell Biol. 2018 Jun 4;217(6):1915–28. </w:t>
      </w:r>
    </w:p>
    <w:p w14:paraId="4ECCCD24" w14:textId="77777777" w:rsidR="004B6406" w:rsidRDefault="004B6406" w:rsidP="004B6406">
      <w:pPr>
        <w:pStyle w:val="Bibliography"/>
      </w:pPr>
      <w:r>
        <w:t xml:space="preserve">405. </w:t>
      </w:r>
      <w:r>
        <w:tab/>
        <w:t xml:space="preserve">Bae YS, Oh H, Rhee SG, Yoo YD. Regulation of Reactive Oxygen Species Generation in Cell Signaling. Mol Cells. 2011 Dec 31;32(6):491–509. </w:t>
      </w:r>
    </w:p>
    <w:p w14:paraId="21E6B2E6" w14:textId="77777777" w:rsidR="004B6406" w:rsidRDefault="004B6406" w:rsidP="004B6406">
      <w:pPr>
        <w:pStyle w:val="Bibliography"/>
      </w:pPr>
      <w:r>
        <w:t xml:space="preserve">406. </w:t>
      </w:r>
      <w:r>
        <w:tab/>
        <w:t xml:space="preserve">Pospíšil P. Molecular mechanisms of production and scavenging of reactive oxygen species by photosystem II. Biochimica et Biophysica Acta (BBA) - Bioenergetics. 2012 Jan 1;1817(1):218–31. </w:t>
      </w:r>
    </w:p>
    <w:p w14:paraId="2A69ECB6" w14:textId="77777777" w:rsidR="004B6406" w:rsidRDefault="004B6406" w:rsidP="004B6406">
      <w:pPr>
        <w:pStyle w:val="Bibliography"/>
      </w:pPr>
      <w:r>
        <w:t xml:space="preserve">407. </w:t>
      </w:r>
      <w:r>
        <w:tab/>
        <w:t>Khan SJ, Abidi SNF, Skinner A, Tian Y, Smith-Bolton RK. The Drosophila Duox maturation factor is a key component of a positive feedback loop that sustains regeneration signaling. PLoS Genet [Internet]. 2017 Jul 28 [cited 2019 Feb 11];13(7). Available from: https://www.ncbi.nlm.nih.gov/pmc/articles/PMC5550008/</w:t>
      </w:r>
    </w:p>
    <w:p w14:paraId="3CAABCB6" w14:textId="77777777" w:rsidR="004B6406" w:rsidRDefault="004B6406" w:rsidP="004B6406">
      <w:pPr>
        <w:pStyle w:val="Bibliography"/>
      </w:pPr>
      <w:r>
        <w:t xml:space="preserve">408. </w:t>
      </w:r>
      <w:r>
        <w:tab/>
        <w:t xml:space="preserve">Peterson JD, Herzenberg LA, Vasquez K, Waltenbaugh C. Glutathione levels in antigen-presenting cells modulate Th1 versus Th2 response patterns. Proc Natl Acad Sci USA. 1998 Mar 17;95(6):3071–6. </w:t>
      </w:r>
    </w:p>
    <w:p w14:paraId="7D166D9A" w14:textId="77777777" w:rsidR="004B6406" w:rsidRDefault="004B6406" w:rsidP="004B6406">
      <w:pPr>
        <w:pStyle w:val="Bibliography"/>
      </w:pPr>
      <w:r>
        <w:t xml:space="preserve">409. </w:t>
      </w:r>
      <w:r>
        <w:tab/>
        <w:t xml:space="preserve">Dobashi K, Aihara M, Araki T, Shimizu Y, Utsugi M, Iizuka K, et al. Regulation of LPS induced IL-12 production by IFN-γ and IL-4 through intracellular glutathione status in human alveolar macrophages. Clin Exp Immunol. 2001 May;124(2):290–6. </w:t>
      </w:r>
    </w:p>
    <w:p w14:paraId="6077A4D4" w14:textId="77777777" w:rsidR="004B6406" w:rsidRDefault="004B6406" w:rsidP="004B6406">
      <w:pPr>
        <w:pStyle w:val="Bibliography"/>
      </w:pPr>
      <w:r>
        <w:t xml:space="preserve">410. </w:t>
      </w:r>
      <w:r>
        <w:tab/>
        <w:t xml:space="preserve">Kadl A, Meher AK, Sharma PR, Lee MY, Doran AC, Johnstone SR, et al. Identification of a novel macrophage phenotype that develops in response to atherogenic phospholipids via Nrf2. Circ Res. 2010 Sep 17;107(6):737–46. </w:t>
      </w:r>
    </w:p>
    <w:p w14:paraId="68FB4AD4" w14:textId="77777777" w:rsidR="004B6406" w:rsidRDefault="004B6406" w:rsidP="004B6406">
      <w:pPr>
        <w:pStyle w:val="Bibliography"/>
      </w:pPr>
      <w:r>
        <w:t xml:space="preserve">411. </w:t>
      </w:r>
      <w:r>
        <w:tab/>
        <w:t xml:space="preserve">Lu SC. GLUTATHIONE SYNTHESIS. Biochim Biophys Acta. 2013 May;1830(5):3143–53. </w:t>
      </w:r>
    </w:p>
    <w:p w14:paraId="0B72A3DA" w14:textId="77777777" w:rsidR="004B6406" w:rsidRDefault="004B6406" w:rsidP="004B6406">
      <w:pPr>
        <w:pStyle w:val="Bibliography"/>
      </w:pPr>
      <w:r>
        <w:t xml:space="preserve">412. </w:t>
      </w:r>
      <w:r>
        <w:tab/>
        <w:t xml:space="preserve">Ma Q. Role of Nrf2 in Oxidative Stress and Toxicity. Annu Rev Pharmacol Toxicol. </w:t>
      </w:r>
      <w:proofErr w:type="gramStart"/>
      <w:r>
        <w:t>2013;53:401</w:t>
      </w:r>
      <w:proofErr w:type="gramEnd"/>
      <w:r>
        <w:t xml:space="preserve">–26. </w:t>
      </w:r>
    </w:p>
    <w:p w14:paraId="480486D6" w14:textId="77777777" w:rsidR="004B6406" w:rsidRDefault="004B6406" w:rsidP="004B6406">
      <w:pPr>
        <w:pStyle w:val="Bibliography"/>
      </w:pPr>
      <w:r>
        <w:t xml:space="preserve">413. </w:t>
      </w:r>
      <w:r>
        <w:tab/>
        <w:t xml:space="preserve">Motohashi H, Yamamoto M. Nrf2-Keap1 defines a physiologically important stress response mechanism. Trends Mol Med. 2004 Nov;10(11):549–57. </w:t>
      </w:r>
    </w:p>
    <w:p w14:paraId="70B592C3" w14:textId="77777777" w:rsidR="004B6406" w:rsidRDefault="004B6406" w:rsidP="004B6406">
      <w:pPr>
        <w:pStyle w:val="Bibliography"/>
      </w:pPr>
      <w:r>
        <w:t xml:space="preserve">414. </w:t>
      </w:r>
      <w:r>
        <w:tab/>
        <w:t xml:space="preserve">Kobayashi EH, Suzuki T, Funayama R, Nagashima T, Hayashi M, Sekine H, et al. Nrf2 suppresses macrophage inflammatory response by blocking proinflammatory cytokine transcription. Nature Communications. 2016 May </w:t>
      </w:r>
      <w:proofErr w:type="gramStart"/>
      <w:r>
        <w:t>23;7:11624</w:t>
      </w:r>
      <w:proofErr w:type="gramEnd"/>
      <w:r>
        <w:t xml:space="preserve">. </w:t>
      </w:r>
    </w:p>
    <w:p w14:paraId="00CC2693" w14:textId="77777777" w:rsidR="004B6406" w:rsidRDefault="004B6406" w:rsidP="004B6406">
      <w:pPr>
        <w:pStyle w:val="Bibliography"/>
      </w:pPr>
      <w:r>
        <w:t xml:space="preserve">415. </w:t>
      </w:r>
      <w:r>
        <w:tab/>
        <w:t xml:space="preserve">Pitoniak A, Bohmann D. Mechanisms and Functions of Nrf2 Signaling in Drosophila. Free Radic Biol Med. 2015 Nov;88(Pt B):302–13. </w:t>
      </w:r>
    </w:p>
    <w:p w14:paraId="32F07FE3" w14:textId="77777777" w:rsidR="004B6406" w:rsidRDefault="004B6406" w:rsidP="004B6406">
      <w:pPr>
        <w:pStyle w:val="Bibliography"/>
      </w:pPr>
      <w:r>
        <w:t xml:space="preserve">416. </w:t>
      </w:r>
      <w:r>
        <w:tab/>
        <w:t xml:space="preserve">Hegde VR, Vogel R, Feany MB. Glia are critical for the neuropathology of complex I deficiency in Drosophila. Hum Mol Genet. 2014 Sep 1;23(17):4686–92. </w:t>
      </w:r>
    </w:p>
    <w:p w14:paraId="4F6700EE" w14:textId="77777777" w:rsidR="004B6406" w:rsidRDefault="004B6406" w:rsidP="004B6406">
      <w:pPr>
        <w:pStyle w:val="Bibliography"/>
      </w:pPr>
      <w:r>
        <w:lastRenderedPageBreak/>
        <w:t xml:space="preserve">417. </w:t>
      </w:r>
      <w:r>
        <w:tab/>
        <w:t xml:space="preserve">Owusu-Ansah E, Banerjee U. Reactive oxygen species prime Drosophila haematopoietic progenitors for differentiation. Nature. 2009 Sep 24;461(7263):537–41. </w:t>
      </w:r>
    </w:p>
    <w:p w14:paraId="3D9B8B28" w14:textId="77777777" w:rsidR="004B6406" w:rsidRDefault="004B6406" w:rsidP="004B6406">
      <w:pPr>
        <w:pStyle w:val="Bibliography"/>
      </w:pPr>
      <w:r>
        <w:t xml:space="preserve">418. </w:t>
      </w:r>
      <w:r>
        <w:tab/>
        <w:t xml:space="preserve">Mimaki M, Wang X, McKenzie M, Thorburn DR, Ryan MT. Understanding mitochondrial complex I assembly in health and disease. Biochimica et Biophysica Acta (BBA) - Bioenergetics. 2012 Jun 1;1817(6):851–62. </w:t>
      </w:r>
    </w:p>
    <w:p w14:paraId="133653DA" w14:textId="77777777" w:rsidR="004B6406" w:rsidRDefault="004B6406" w:rsidP="004B6406">
      <w:pPr>
        <w:pStyle w:val="Bibliography"/>
      </w:pPr>
      <w:r>
        <w:t xml:space="preserve">419. </w:t>
      </w:r>
      <w:r>
        <w:tab/>
        <w:t xml:space="preserve">Sharma LK, Lu J, Bai Y. Mitochondrial Respiratory Complex I: Structure, Function and Implication in Human Diseases. Curr Med Chem. 2009;16(10):1266–77. </w:t>
      </w:r>
    </w:p>
    <w:p w14:paraId="263B8F44" w14:textId="77777777" w:rsidR="004B6406" w:rsidRDefault="004B6406" w:rsidP="004B6406">
      <w:pPr>
        <w:pStyle w:val="Bibliography"/>
      </w:pPr>
      <w:r>
        <w:t xml:space="preserve">420. </w:t>
      </w:r>
      <w:r>
        <w:tab/>
        <w:t xml:space="preserve">Zhang S, Hulver MW, McMillan RP, Cline MA, Gilbert ER. The pivotal role of pyruvate dehydrogenase kinases in metabolic flexibility. Nutr Metab (Lond). 2014 Feb </w:t>
      </w:r>
      <w:proofErr w:type="gramStart"/>
      <w:r>
        <w:t>12;11:10</w:t>
      </w:r>
      <w:proofErr w:type="gramEnd"/>
      <w:r>
        <w:t xml:space="preserve">. </w:t>
      </w:r>
    </w:p>
    <w:p w14:paraId="55F3D89A" w14:textId="77777777" w:rsidR="004B6406" w:rsidRDefault="004B6406" w:rsidP="004B6406">
      <w:pPr>
        <w:pStyle w:val="Bibliography"/>
      </w:pPr>
      <w:r>
        <w:t xml:space="preserve">421. </w:t>
      </w:r>
      <w:r>
        <w:tab/>
        <w:t xml:space="preserve">Hunt NC, Goldin RD. Nitric oxide production by monocytes in alcoholic liver disease. J Hepatol. 1992 Mar;14(2–3):146–50. </w:t>
      </w:r>
    </w:p>
    <w:p w14:paraId="06C96EEE" w14:textId="77777777" w:rsidR="004B6406" w:rsidRDefault="004B6406" w:rsidP="004B6406">
      <w:pPr>
        <w:pStyle w:val="Bibliography"/>
      </w:pPr>
      <w:r>
        <w:t xml:space="preserve">422. </w:t>
      </w:r>
      <w:r>
        <w:tab/>
        <w:t>Thomas AC, Mattila JT. “Of Mice and Men”: Arginine Metabolism in Macrophages. Front Immunol [Internet]. 2014 Oct 7 [cited 2018 Dec 7];5. Available from: https://www.ncbi.nlm.nih.gov/pmc/articles/PMC4188127/</w:t>
      </w:r>
    </w:p>
    <w:p w14:paraId="78B151E9" w14:textId="77777777" w:rsidR="004B6406" w:rsidRDefault="004B6406" w:rsidP="004B6406">
      <w:pPr>
        <w:pStyle w:val="Bibliography"/>
      </w:pPr>
      <w:r>
        <w:t xml:space="preserve">423. </w:t>
      </w:r>
      <w:r>
        <w:tab/>
        <w:t xml:space="preserve">Modolell M, Corraliza IM, Link F, Soler G, Eichmann K. Reciprocal regulation of the nitric oxide synthase/arginase balance in mouse bone marrow-derived macrophages by TH1 and TH2 cytokines. Eur J Immunol. 1995 Apr;25(4):1101–4. </w:t>
      </w:r>
    </w:p>
    <w:p w14:paraId="45A0535A" w14:textId="77777777" w:rsidR="004B6406" w:rsidRDefault="004B6406" w:rsidP="004B6406">
      <w:pPr>
        <w:pStyle w:val="Bibliography"/>
      </w:pPr>
      <w:r>
        <w:t xml:space="preserve">424. </w:t>
      </w:r>
      <w:r>
        <w:tab/>
        <w:t>Rath M, Müller I, Kropf P, Closs EI, Munder M. Metabolism via Arginase or Nitric Oxide Synthase: Two Competing Arginine Pathways in Macrophages. Front Immunol [Internet]. 2014 Oct 27 [cited 2018 Dec 7];5. Available from: https://www.ncbi.nlm.nih.gov/pmc/articles/PMC4209874/</w:t>
      </w:r>
    </w:p>
    <w:p w14:paraId="32AA7957" w14:textId="77777777" w:rsidR="004B6406" w:rsidRDefault="004B6406" w:rsidP="004B6406">
      <w:pPr>
        <w:pStyle w:val="Bibliography"/>
      </w:pPr>
      <w:r>
        <w:t xml:space="preserve">425. </w:t>
      </w:r>
      <w:r>
        <w:tab/>
        <w:t xml:space="preserve">Stasiv Y, Regulski M, Kuzin B, Tully T, Enikolopov G. The Drosophila Nitric-oxide Synthase Gene (dNOS) Encodes a Family of Proteins That Can Modulate NOS Activity by Acting as Dominant Negative Regulators. J Biol Chem. 2001 Nov 9;276(45):42241–51. </w:t>
      </w:r>
    </w:p>
    <w:p w14:paraId="50FDC9AF" w14:textId="77777777" w:rsidR="004B6406" w:rsidRDefault="004B6406" w:rsidP="004B6406">
      <w:pPr>
        <w:pStyle w:val="Bibliography"/>
      </w:pPr>
      <w:r>
        <w:t xml:space="preserve">426. </w:t>
      </w:r>
      <w:r>
        <w:tab/>
        <w:t xml:space="preserve">Förstermann U, Sessa WC. Nitric oxide synthases: regulation and function. Eur Heart J. 2012 Apr;33(7):829–37. </w:t>
      </w:r>
    </w:p>
    <w:p w14:paraId="332F1890" w14:textId="77777777" w:rsidR="004B6406" w:rsidRDefault="004B6406" w:rsidP="004B6406">
      <w:pPr>
        <w:pStyle w:val="Bibliography"/>
      </w:pPr>
      <w:r>
        <w:t xml:space="preserve">427. </w:t>
      </w:r>
      <w:r>
        <w:tab/>
        <w:t xml:space="preserve">Enikolopov G, Banerji J, Kuzin B. Nitric oxide and Drosophila development. Cell Death and Differentiation. 1999 Oct;6(10):956–63. </w:t>
      </w:r>
    </w:p>
    <w:p w14:paraId="30CE2BEC" w14:textId="77777777" w:rsidR="004B6406" w:rsidRDefault="004B6406" w:rsidP="004B6406">
      <w:pPr>
        <w:pStyle w:val="Bibliography"/>
      </w:pPr>
      <w:r>
        <w:t xml:space="preserve">428. </w:t>
      </w:r>
      <w:r>
        <w:tab/>
        <w:t xml:space="preserve">Pongsomboon S, Tang S, Boonda S, Aoki T, Hirono I, Yasuike M, et al. Differentially expressed genes in Penaeus monodon hemocytes following infection with yellow head virus. BMB Rep. 2008 Sep 30;41(9):670–7. </w:t>
      </w:r>
    </w:p>
    <w:p w14:paraId="7077CDE1" w14:textId="77777777" w:rsidR="004B6406" w:rsidRDefault="004B6406" w:rsidP="004B6406">
      <w:pPr>
        <w:pStyle w:val="Bibliography"/>
      </w:pPr>
      <w:r>
        <w:t xml:space="preserve">429. </w:t>
      </w:r>
      <w:r>
        <w:tab/>
        <w:t xml:space="preserve">Carrillo C, Borca MV, Afonso CL, Onisk DV, Rock DL. Long-term persistent infection of swine monocytes/macrophages with African swine fever virus. J Virol. 1994 Jan;68(1):580–3. </w:t>
      </w:r>
    </w:p>
    <w:p w14:paraId="3F222614" w14:textId="77777777" w:rsidR="004B6406" w:rsidRDefault="004B6406" w:rsidP="004B6406">
      <w:pPr>
        <w:pStyle w:val="Bibliography"/>
      </w:pPr>
      <w:r>
        <w:lastRenderedPageBreak/>
        <w:t xml:space="preserve">430. </w:t>
      </w:r>
      <w:r>
        <w:tab/>
        <w:t>Sang Y, Brichalli W, Rowland RRR, Blecha F. Genome-wide analysis of antiviral signature genes in porcine macrophages at different activation statuses. PLoS ONE. 2014;9(2</w:t>
      </w:r>
      <w:proofErr w:type="gramStart"/>
      <w:r>
        <w:t>):e</w:t>
      </w:r>
      <w:proofErr w:type="gramEnd"/>
      <w:r>
        <w:t xml:space="preserve">87613. </w:t>
      </w:r>
    </w:p>
    <w:p w14:paraId="1C1B9221" w14:textId="77777777" w:rsidR="004B6406" w:rsidRDefault="004B6406" w:rsidP="004B6406">
      <w:pPr>
        <w:pStyle w:val="Bibliography"/>
      </w:pPr>
      <w:r>
        <w:t xml:space="preserve">431. </w:t>
      </w:r>
      <w:r>
        <w:tab/>
        <w:t xml:space="preserve">Sang Y, Rowland RRR, Blecha F. Antiviral regulation in porcine monocytic cells at different activation states. J Virol. 2014 Oct;88(19):11395–410. </w:t>
      </w:r>
    </w:p>
    <w:p w14:paraId="68C1ACB1" w14:textId="77777777" w:rsidR="004B6406" w:rsidRDefault="004B6406" w:rsidP="004B6406">
      <w:pPr>
        <w:pStyle w:val="Bibliography"/>
      </w:pPr>
      <w:r>
        <w:t xml:space="preserve">432. </w:t>
      </w:r>
      <w:r>
        <w:tab/>
        <w:t xml:space="preserve">Zhang Y, Choksi S, Chen K, Pobezinskaya Y, Linnoila I, Liu Z-G. ROS play a critical role in the differentiation of alternatively activated macrophages and the occurrence of tumor-associated macrophages. Cell Res. 2013 Jul;23(7):898–914. </w:t>
      </w:r>
    </w:p>
    <w:p w14:paraId="690ADEAF" w14:textId="77777777" w:rsidR="004B6406" w:rsidRDefault="004B6406" w:rsidP="004B6406">
      <w:pPr>
        <w:pStyle w:val="Bibliography"/>
      </w:pPr>
      <w:r>
        <w:t xml:space="preserve">433. </w:t>
      </w:r>
      <w:r>
        <w:tab/>
        <w:t xml:space="preserve">Barbieri SS, Eligini S, Brambilla M, Tremoli E, Colli S. Reactive oxygen species mediate cyclooxygenase-2 induction during monocyte to macrophage differentiation: critical role of NADPH oxidase. Cardiovasc Res. 2003 Oct 15;60(1):187–97. </w:t>
      </w:r>
    </w:p>
    <w:p w14:paraId="610DDE5A" w14:textId="77777777" w:rsidR="004B6406" w:rsidRDefault="004B6406" w:rsidP="004B6406">
      <w:pPr>
        <w:pStyle w:val="Bibliography"/>
      </w:pPr>
      <w:r>
        <w:t xml:space="preserve">434. </w:t>
      </w:r>
      <w:r>
        <w:tab/>
        <w:t xml:space="preserve">Yamamoto T, Sakaguchi N, Hachiya M, Nakayama F, Yamakawa M, Akashi M. Role of catalase in monocytic differentiation of U937 cells by TPA: hydrogen peroxide as a second messenger. Leukemia. 2009 Apr;23(4):761–9. </w:t>
      </w:r>
    </w:p>
    <w:p w14:paraId="6C18096B" w14:textId="77777777" w:rsidR="004B6406" w:rsidRDefault="004B6406" w:rsidP="004B6406">
      <w:pPr>
        <w:pStyle w:val="Bibliography"/>
      </w:pPr>
      <w:r>
        <w:t xml:space="preserve">435. </w:t>
      </w:r>
      <w:r>
        <w:tab/>
        <w:t xml:space="preserve">Myers AL, Harris CM, Choe K-M, Brennan CA. Inflammatory production of reactive oxygen species by Drosophila hemocytes activates cellular immune defenses. Biochem Biophys Res Commun. 2018 Nov 2;505(3):726–32. </w:t>
      </w:r>
    </w:p>
    <w:p w14:paraId="712E4F32" w14:textId="77777777" w:rsidR="004B6406" w:rsidRDefault="004B6406" w:rsidP="004B6406">
      <w:pPr>
        <w:pStyle w:val="Bibliography"/>
      </w:pPr>
      <w:r>
        <w:t xml:space="preserve">436. </w:t>
      </w:r>
      <w:r>
        <w:tab/>
        <w:t xml:space="preserve">Sykiotis GP, Bohmann D. Keap1/Nrf2 signaling regulates oxidative stress tolerance and lifespan in Drosophila. Dev Cell. 2008 Jan;14(1):76–85. </w:t>
      </w:r>
    </w:p>
    <w:p w14:paraId="18A11EC9" w14:textId="77777777" w:rsidR="004B6406" w:rsidRDefault="004B6406" w:rsidP="004B6406">
      <w:pPr>
        <w:pStyle w:val="Bibliography"/>
      </w:pPr>
      <w:r>
        <w:t xml:space="preserve">437. </w:t>
      </w:r>
      <w:r>
        <w:tab/>
        <w:t xml:space="preserve">Iuso A, Scacco S, Piccoli C, Bellomo F, Petruzzella V, Trentadue R, et al. Dysfunctions of cellular oxidative metabolism in patients with mutations in the NDUFS1 and NDUFS4 genes of complex I. J Biol Chem. 2006 Apr;281(15):10374–80. </w:t>
      </w:r>
    </w:p>
    <w:p w14:paraId="7826D4F7" w14:textId="77777777" w:rsidR="004B6406" w:rsidRDefault="004B6406" w:rsidP="004B6406">
      <w:pPr>
        <w:pStyle w:val="Bibliography"/>
      </w:pPr>
      <w:r>
        <w:t xml:space="preserve">438. </w:t>
      </w:r>
      <w:r>
        <w:tab/>
        <w:t xml:space="preserve">Lopez-Fabuel I, Le JD, Logan A, James AM, Bonvento G, Murphy MP, et al. Complex I assembly into supercomplexes determines differential mitochondrial ROS production in neurons and astrocytes. Proc Natl Acad Sci U S A. 2016 Nov;113(46):13063–8. </w:t>
      </w:r>
    </w:p>
    <w:p w14:paraId="04C500AB" w14:textId="77777777" w:rsidR="004B6406" w:rsidRDefault="004B6406" w:rsidP="004B6406">
      <w:pPr>
        <w:pStyle w:val="Bibliography"/>
      </w:pPr>
      <w:r>
        <w:t xml:space="preserve">439. </w:t>
      </w:r>
      <w:r>
        <w:tab/>
        <w:t xml:space="preserve">Tyurin VA, Balasubramanian K, Winnica D, Tyurina YY, Vikulina AS, He RR, et al. Oxidatively modified phosphatidylserines on the surface of apoptotic cells are essential phagocytic “eat-me” signals: cleavage and inhibition of phagocytosis by Lp-PLA2. Cell Death Differ. 2014 May;21(5):825–35. </w:t>
      </w:r>
    </w:p>
    <w:p w14:paraId="14B75A32" w14:textId="77777777" w:rsidR="004B6406" w:rsidRDefault="004B6406" w:rsidP="004B6406">
      <w:pPr>
        <w:pStyle w:val="Bibliography"/>
      </w:pPr>
      <w:r>
        <w:t xml:space="preserve">440. </w:t>
      </w:r>
      <w:r>
        <w:tab/>
        <w:t xml:space="preserve">Nishi K, Oda T, Takabuchi S, Oda S, Fukuda K, Adachi T, et al. LPS induces hypoxia-inducible factor 1 activation in macrophage-differentiated cells in a reactive oxygen species-dependent manner. Antioxid Redox Signal. 2008 May;10(5):983–95. </w:t>
      </w:r>
    </w:p>
    <w:p w14:paraId="590BDADF" w14:textId="77777777" w:rsidR="004B6406" w:rsidRDefault="004B6406" w:rsidP="004B6406">
      <w:pPr>
        <w:pStyle w:val="Bibliography"/>
      </w:pPr>
      <w:r>
        <w:t xml:space="preserve">441. </w:t>
      </w:r>
      <w:r>
        <w:tab/>
        <w:t xml:space="preserve">Canton J. Phagosome maturation in polarized macrophages. J Leukoc Biol. 2014 Nov;96(5):729–38. </w:t>
      </w:r>
    </w:p>
    <w:p w14:paraId="36D88B62" w14:textId="77777777" w:rsidR="004B6406" w:rsidRDefault="004B6406" w:rsidP="004B6406">
      <w:pPr>
        <w:pStyle w:val="Bibliography"/>
      </w:pPr>
      <w:r>
        <w:t xml:space="preserve">442. </w:t>
      </w:r>
      <w:r>
        <w:tab/>
        <w:t xml:space="preserve">Schott S, Ambrosini A, Barbaste A, Benassayag C, Gracia M, Proag A, et al. A fluorescent toolkit for spatiotemporal tracking of apoptotic cells in living Drosophila tissues. Development. 2017 Jan </w:t>
      </w:r>
      <w:proofErr w:type="gramStart"/>
      <w:r>
        <w:t>1;dev.</w:t>
      </w:r>
      <w:proofErr w:type="gramEnd"/>
      <w:r>
        <w:t xml:space="preserve">149807. </w:t>
      </w:r>
    </w:p>
    <w:p w14:paraId="2C67F76F" w14:textId="77777777" w:rsidR="004B6406" w:rsidRDefault="004B6406" w:rsidP="004B6406">
      <w:pPr>
        <w:pStyle w:val="Bibliography"/>
      </w:pPr>
      <w:r>
        <w:lastRenderedPageBreak/>
        <w:t xml:space="preserve">443. </w:t>
      </w:r>
      <w:r>
        <w:tab/>
        <w:t>Piedra-Quintero ZL, Serrano C, Villegas-Sepúlveda N, Maravillas-Montero JL, Romero-Ramírez S, Shibayama M, et al. Myosin 1F Regulates M1-Polarization by Stimulating Intercellular Adhesion in Macrophages. Front Immunol [Internet]. 2019 Jan 10 [cited 2019 Apr 2];9. Available from: https://www.ncbi.nlm.nih.gov/pmc/articles/PMC6335276/</w:t>
      </w:r>
    </w:p>
    <w:p w14:paraId="2B8C2615" w14:textId="77777777" w:rsidR="004B6406" w:rsidRDefault="004B6406" w:rsidP="004B6406">
      <w:pPr>
        <w:pStyle w:val="Bibliography"/>
      </w:pPr>
      <w:r>
        <w:t xml:space="preserve">444. </w:t>
      </w:r>
      <w:r>
        <w:tab/>
        <w:t>Cui K, Ardell CL, Podolnikova NP, Yakubenko VP. Distinct Migratory Properties of M1, M2, and Resident Macrophages Are Regulated by αDβ2 and αMβ2 Integrin-Mediated Adhesion. Front Immunol [Internet]. 2018 [cited 2019 Apr 2];9. Available from: http://www.frontiersin.org/articles/10.3389/fimmu.2018.02650/full</w:t>
      </w:r>
    </w:p>
    <w:p w14:paraId="3A9DB56B" w14:textId="77777777" w:rsidR="004B6406" w:rsidRDefault="004B6406" w:rsidP="004B6406">
      <w:pPr>
        <w:pStyle w:val="Bibliography"/>
      </w:pPr>
      <w:r>
        <w:t xml:space="preserve">445. </w:t>
      </w:r>
      <w:r>
        <w:tab/>
        <w:t xml:space="preserve">Wang N, Liang H, Zen K. Molecular mechanisms that influence the macrophage m1-m2 polarization balance. Front Immunol. </w:t>
      </w:r>
      <w:proofErr w:type="gramStart"/>
      <w:r>
        <w:t>2014;5:614</w:t>
      </w:r>
      <w:proofErr w:type="gramEnd"/>
      <w:r>
        <w:t xml:space="preserve">. </w:t>
      </w:r>
    </w:p>
    <w:p w14:paraId="4F458FC7" w14:textId="77777777" w:rsidR="004B6406" w:rsidRDefault="004B6406" w:rsidP="004B6406">
      <w:pPr>
        <w:pStyle w:val="Bibliography"/>
      </w:pPr>
      <w:r>
        <w:t xml:space="preserve">446. </w:t>
      </w:r>
      <w:r>
        <w:tab/>
        <w:t xml:space="preserve">Mukherjee T, Kim WS, Mandal L, Banerjee U. Interaction Between Notch and Hif-α in Development and Survival of Drosophila Blood Cells. Science. 2011 Jun 3;332(6034):1210–3. </w:t>
      </w:r>
    </w:p>
    <w:p w14:paraId="3AA9B131" w14:textId="77777777" w:rsidR="004B6406" w:rsidRDefault="004B6406" w:rsidP="004B6406">
      <w:pPr>
        <w:pStyle w:val="Bibliography"/>
      </w:pPr>
      <w:r>
        <w:t xml:space="preserve">447. </w:t>
      </w:r>
      <w:r>
        <w:tab/>
        <w:t>Schneider DS, Ayres JS, Brandt SM, Costa A, Dionne MS, Gordon MD, et al. Drosophila eiger Mutants Are Sensitive to Extracellular Pathogens. PLOS Pathogens. 2007 Mar 23;3(3</w:t>
      </w:r>
      <w:proofErr w:type="gramStart"/>
      <w:r>
        <w:t>):e</w:t>
      </w:r>
      <w:proofErr w:type="gramEnd"/>
      <w:r>
        <w:t xml:space="preserve">41. </w:t>
      </w:r>
    </w:p>
    <w:p w14:paraId="1AFF6DDC" w14:textId="77777777" w:rsidR="004B6406" w:rsidRDefault="004B6406" w:rsidP="004B6406">
      <w:pPr>
        <w:pStyle w:val="Bibliography"/>
      </w:pPr>
      <w:r>
        <w:t xml:space="preserve">448. </w:t>
      </w:r>
      <w:r>
        <w:tab/>
        <w:t xml:space="preserve">Shklyar B, Sellman Y, Shklover J, Mishnaevski K, Levy-Adam F, Kurant E. Developmental regulation of glial cell phagocytic function during Drosophila embryogenesis. Developmental Biology. 2014 Sep 15;393(2):255–69. </w:t>
      </w:r>
    </w:p>
    <w:p w14:paraId="54264838" w14:textId="77777777" w:rsidR="004B6406" w:rsidRDefault="004B6406" w:rsidP="004B6406">
      <w:pPr>
        <w:pStyle w:val="Bibliography"/>
      </w:pPr>
      <w:r>
        <w:t xml:space="preserve">449. </w:t>
      </w:r>
      <w:r>
        <w:tab/>
        <w:t xml:space="preserve">Harrison DA, McCoon PE, Binari R, Gilman M, Perrimon N. Drosophila unpaired encodes a secreted protein that activates the JAK signaling pathway. Genes Dev. 1998 Oct 15;12(20):3252–63. </w:t>
      </w:r>
    </w:p>
    <w:p w14:paraId="5BAD6821" w14:textId="77777777" w:rsidR="004B6406" w:rsidRDefault="004B6406" w:rsidP="004B6406">
      <w:pPr>
        <w:pStyle w:val="Bibliography"/>
      </w:pPr>
      <w:r>
        <w:t xml:space="preserve">450. </w:t>
      </w:r>
      <w:r>
        <w:tab/>
        <w:t xml:space="preserve">Hombría JC-G, Brown S, Häder S, Zeidler MP. Characterisation of Upd2, a Drosophila JAK/STAT pathway ligand. Dev Biol. 2005 Dec 15;288(2):420–33. </w:t>
      </w:r>
    </w:p>
    <w:p w14:paraId="2680A763" w14:textId="77777777" w:rsidR="004B6406" w:rsidRDefault="004B6406" w:rsidP="004B6406">
      <w:pPr>
        <w:pStyle w:val="Bibliography"/>
      </w:pPr>
      <w:r>
        <w:t xml:space="preserve">451. </w:t>
      </w:r>
      <w:r>
        <w:tab/>
        <w:t xml:space="preserve">Binari R, Perrimon N. Stripe-specific regulation of pair-rule genes by hopscotch, a putative Jak family tyrosine kinase in Drosophila. Genes Dev. 1994 Feb 1;8(3):300–12. </w:t>
      </w:r>
    </w:p>
    <w:p w14:paraId="30A23BEF" w14:textId="77777777" w:rsidR="004B6406" w:rsidRDefault="004B6406" w:rsidP="004B6406">
      <w:pPr>
        <w:pStyle w:val="Bibliography"/>
      </w:pPr>
      <w:r>
        <w:t xml:space="preserve">452. </w:t>
      </w:r>
      <w:r>
        <w:tab/>
        <w:t xml:space="preserve">Yan R, Small S, Desplan C, Dearolf CR, Darnell JE. Identification of a Stat gene that functions in Drosophila development. Cell. 1996 Feb 9;84(3):421–30. </w:t>
      </w:r>
    </w:p>
    <w:p w14:paraId="5AE217CA" w14:textId="77777777" w:rsidR="004B6406" w:rsidRDefault="004B6406" w:rsidP="004B6406">
      <w:pPr>
        <w:pStyle w:val="Bibliography"/>
      </w:pPr>
      <w:r>
        <w:t xml:space="preserve">453. </w:t>
      </w:r>
      <w:r>
        <w:tab/>
        <w:t xml:space="preserve">Hou XS, Melnick MB, Perrimon N. Marelle acts downstream of the Drosophila HOP/JAK kinase and encodes a protein </w:t>
      </w:r>
      <w:proofErr w:type="gramStart"/>
      <w:r>
        <w:t>similar to</w:t>
      </w:r>
      <w:proofErr w:type="gramEnd"/>
      <w:r>
        <w:t xml:space="preserve"> the mammalian STATs. Cell. 1996 Feb 9;84(3):411–9. </w:t>
      </w:r>
    </w:p>
    <w:p w14:paraId="2EB783AA" w14:textId="77777777" w:rsidR="004B6406" w:rsidRDefault="004B6406" w:rsidP="004B6406">
      <w:pPr>
        <w:pStyle w:val="Bibliography"/>
      </w:pPr>
      <w:r>
        <w:t xml:space="preserve">454. </w:t>
      </w:r>
      <w:r>
        <w:tab/>
        <w:t xml:space="preserve">Stec WJ, Zeidler MP. Drosophila SOCS Proteins. J Signal Transduct. </w:t>
      </w:r>
      <w:proofErr w:type="gramStart"/>
      <w:r>
        <w:t>2011;2011:894510</w:t>
      </w:r>
      <w:proofErr w:type="gramEnd"/>
      <w:r>
        <w:t xml:space="preserve">. </w:t>
      </w:r>
    </w:p>
    <w:p w14:paraId="5142DE15" w14:textId="77777777" w:rsidR="004B6406" w:rsidRDefault="004B6406" w:rsidP="004B6406">
      <w:pPr>
        <w:pStyle w:val="Bibliography"/>
      </w:pPr>
      <w:r>
        <w:t xml:space="preserve">455. </w:t>
      </w:r>
      <w:r>
        <w:tab/>
        <w:t>Zeidler MP, Bausek N. The Drosophila JAK-STAT pathway. JAKSTAT. 2013 Jul 1;2(3</w:t>
      </w:r>
      <w:proofErr w:type="gramStart"/>
      <w:r>
        <w:t>):e</w:t>
      </w:r>
      <w:proofErr w:type="gramEnd"/>
      <w:r>
        <w:t xml:space="preserve">25353. </w:t>
      </w:r>
    </w:p>
    <w:p w14:paraId="0D4EB6DB" w14:textId="77777777" w:rsidR="004B6406" w:rsidRDefault="004B6406" w:rsidP="004B6406">
      <w:pPr>
        <w:pStyle w:val="Bibliography"/>
      </w:pPr>
      <w:r>
        <w:lastRenderedPageBreak/>
        <w:t xml:space="preserve">456. </w:t>
      </w:r>
      <w:r>
        <w:tab/>
        <w:t xml:space="preserve">Arbouzova NI, Zeidler MP. JAK/STAT signalling in Drosophila: insights into conserved regulatory and cellular functions. Development. 2006 Jul;133(14):2605–16. </w:t>
      </w:r>
    </w:p>
    <w:p w14:paraId="1FC9A044" w14:textId="77777777" w:rsidR="004B6406" w:rsidRDefault="004B6406" w:rsidP="004B6406">
      <w:pPr>
        <w:pStyle w:val="Bibliography"/>
      </w:pPr>
      <w:r>
        <w:t xml:space="preserve">457. </w:t>
      </w:r>
      <w:r>
        <w:tab/>
        <w:t xml:space="preserve">Stec W, Vidal O, Zeidler MP. Drosophila SOCS36E negatively regulates JAK/STAT pathway signaling via two separable mechanisms. Mol Biol Cell. 2013 Sep;24(18):3000–9. </w:t>
      </w:r>
    </w:p>
    <w:p w14:paraId="151606BB" w14:textId="77777777" w:rsidR="004B6406" w:rsidRDefault="004B6406" w:rsidP="004B6406">
      <w:pPr>
        <w:pStyle w:val="Bibliography"/>
      </w:pPr>
      <w:r>
        <w:t xml:space="preserve">458. </w:t>
      </w:r>
      <w:r>
        <w:tab/>
        <w:t xml:space="preserve">Callus BA, Mathey-Prevot B. SOCS36E, a novel Drosophila SOCS protein, suppresses JAK/STAT and EGF-R signalling in the imaginal wing disc. Oncogene. 2002 Jul 18;21(31):4812–21. </w:t>
      </w:r>
    </w:p>
    <w:p w14:paraId="090CE5FD" w14:textId="77777777" w:rsidR="004B6406" w:rsidRDefault="004B6406" w:rsidP="004B6406">
      <w:pPr>
        <w:pStyle w:val="Bibliography"/>
      </w:pPr>
      <w:r>
        <w:t xml:space="preserve">459. </w:t>
      </w:r>
      <w:r>
        <w:tab/>
        <w:t xml:space="preserve">Rawlings JS, Rosler KM, Harrison DA. The JAK/STAT signaling pathway. J Cell Sci. 2004 Mar 15;117(8):1281–3. </w:t>
      </w:r>
    </w:p>
    <w:p w14:paraId="4EDFDB46" w14:textId="77777777" w:rsidR="004B6406" w:rsidRDefault="004B6406" w:rsidP="004B6406">
      <w:pPr>
        <w:pStyle w:val="Bibliography"/>
      </w:pPr>
      <w:r>
        <w:t xml:space="preserve">460. </w:t>
      </w:r>
      <w:r>
        <w:tab/>
        <w:t xml:space="preserve">Rawlings JS, Rennebeck G, Harrison SMW, Xi R, Harrison DA. Two Drosophila suppressors of cytokine signaling (SOCS) differentially regulate JAK and EGFR pathway activities. BMC Cell Biol. 2004 Oct 15;5(1):38. </w:t>
      </w:r>
    </w:p>
    <w:p w14:paraId="7CEBE764" w14:textId="77777777" w:rsidR="004B6406" w:rsidRDefault="004B6406" w:rsidP="004B6406">
      <w:pPr>
        <w:pStyle w:val="Bibliography"/>
      </w:pPr>
      <w:r>
        <w:t xml:space="preserve">461. </w:t>
      </w:r>
      <w:r>
        <w:tab/>
        <w:t xml:space="preserve">Kotaja N, Karvonen U, Jänne OA, Palvimo JJ. PIAS proteins modulate transcription factors by functioning as SUMO-1 ligases. Mol Cell Biol. 2002 Jul;22(14):5222–34. </w:t>
      </w:r>
    </w:p>
    <w:p w14:paraId="0118D4CD" w14:textId="77777777" w:rsidR="004B6406" w:rsidRDefault="004B6406" w:rsidP="004B6406">
      <w:pPr>
        <w:pStyle w:val="Bibliography"/>
      </w:pPr>
      <w:r>
        <w:t xml:space="preserve">462. </w:t>
      </w:r>
      <w:r>
        <w:tab/>
        <w:t xml:space="preserve">Ungureanu D, Vanhatupa S, Kotaja N, Yang J, Aittomäki S, Jänne OA, et al. PIAS proteins promote SUMO-1 conjugation to STAT1. Blood. 2003 Nov 1;102(9):3311–3. </w:t>
      </w:r>
    </w:p>
    <w:p w14:paraId="30A87E7C" w14:textId="77777777" w:rsidR="004B6406" w:rsidRDefault="004B6406" w:rsidP="004B6406">
      <w:pPr>
        <w:pStyle w:val="Bibliography"/>
      </w:pPr>
      <w:r>
        <w:t xml:space="preserve">463. </w:t>
      </w:r>
      <w:r>
        <w:tab/>
        <w:t xml:space="preserve">Betz A, Lampen N, Martinek S, Young MW, Darnell JE. A Drosophila PIAS homologue </w:t>
      </w:r>
      <w:proofErr w:type="gramStart"/>
      <w:r>
        <w:t>negatively  regulates</w:t>
      </w:r>
      <w:proofErr w:type="gramEnd"/>
      <w:r>
        <w:t xml:space="preserve"> stat92E. Proc Natl Acad Sci U S A. 2001 Aug 14;98(17):9563–8. </w:t>
      </w:r>
    </w:p>
    <w:p w14:paraId="4B0935DC" w14:textId="77777777" w:rsidR="004B6406" w:rsidRDefault="004B6406" w:rsidP="004B6406">
      <w:pPr>
        <w:pStyle w:val="Bibliography"/>
      </w:pPr>
      <w:r>
        <w:t xml:space="preserve">464. </w:t>
      </w:r>
      <w:r>
        <w:tab/>
        <w:t xml:space="preserve">Myllymäki H, Rämet M. JAK/STAT Pathway in Drosophila Immunity. Scand J Immunol. 2014 Jun 1;79(6):377–85. </w:t>
      </w:r>
    </w:p>
    <w:p w14:paraId="3B6423F5" w14:textId="77777777" w:rsidR="004B6406" w:rsidRDefault="004B6406" w:rsidP="004B6406">
      <w:pPr>
        <w:pStyle w:val="Bibliography"/>
      </w:pPr>
      <w:r>
        <w:t xml:space="preserve">465. </w:t>
      </w:r>
      <w:r>
        <w:tab/>
        <w:t>Morin-Poulard I, Vincent A, Crozatier M. The Drosophila JAK-STAT pathway in blood cell formation and immunity. JAK-STAT. 2013 Jul 15;2(3</w:t>
      </w:r>
      <w:proofErr w:type="gramStart"/>
      <w:r>
        <w:t>):e</w:t>
      </w:r>
      <w:proofErr w:type="gramEnd"/>
      <w:r>
        <w:t xml:space="preserve">25700. </w:t>
      </w:r>
    </w:p>
    <w:p w14:paraId="0BC446DF" w14:textId="77777777" w:rsidR="004B6406" w:rsidRDefault="004B6406" w:rsidP="004B6406">
      <w:pPr>
        <w:pStyle w:val="Bibliography"/>
      </w:pPr>
      <w:r>
        <w:t xml:space="preserve">466. </w:t>
      </w:r>
      <w:r>
        <w:tab/>
        <w:t xml:space="preserve">Ekas LA, Cardozo TJ, Flaherty MS, McMillan EA, Gonsalves FC, Bach EA. Characterization of a dominant-active STAT that promotes tumorigenesis in Drosophila. Dev Biol. 2010 Aug 15;344(2):621–36. </w:t>
      </w:r>
    </w:p>
    <w:p w14:paraId="03DF9CD3" w14:textId="77777777" w:rsidR="004B6406" w:rsidRDefault="004B6406" w:rsidP="004B6406">
      <w:pPr>
        <w:pStyle w:val="Bibliography"/>
      </w:pPr>
      <w:r>
        <w:t xml:space="preserve">467. </w:t>
      </w:r>
      <w:r>
        <w:tab/>
        <w:t xml:space="preserve">Yang H, Kronhamn J, Ekström J-O, Korkut GG, Hultmark D. JAK/STAT signaling in Drosophila muscles controls the cellular immune response against parasitoid infection. EMBO Rep. 2015 Dec;16(12):1664–72. </w:t>
      </w:r>
    </w:p>
    <w:p w14:paraId="34900CE4" w14:textId="77777777" w:rsidR="004B6406" w:rsidRDefault="004B6406" w:rsidP="004B6406">
      <w:pPr>
        <w:pStyle w:val="Bibliography"/>
      </w:pPr>
      <w:r>
        <w:t xml:space="preserve">468. </w:t>
      </w:r>
      <w:r>
        <w:tab/>
        <w:t xml:space="preserve">Yang H, Hultmark D. Drosophila muscles regulate the immune response against wasp infection via carbohydrate metabolism. Sci Rep. 2017 Nov 16;7(1):15713. </w:t>
      </w:r>
    </w:p>
    <w:p w14:paraId="154B5030" w14:textId="77777777" w:rsidR="004B6406" w:rsidRDefault="004B6406" w:rsidP="004B6406">
      <w:pPr>
        <w:pStyle w:val="Bibliography"/>
      </w:pPr>
      <w:r>
        <w:t xml:space="preserve">469. </w:t>
      </w:r>
      <w:r>
        <w:tab/>
        <w:t xml:space="preserve">Zhou D, Huang C, Lin Z, Zhan S, Kong L, Fang C, et al. Macrophage polarization and function with emphasis on the evolving roles of coordinated regulation of cellular signaling pathways. Cell Signal. 2014 Feb;26(2):192–7. </w:t>
      </w:r>
    </w:p>
    <w:p w14:paraId="054FEE40" w14:textId="77777777" w:rsidR="004B6406" w:rsidRDefault="004B6406" w:rsidP="004B6406">
      <w:pPr>
        <w:pStyle w:val="Bibliography"/>
      </w:pPr>
      <w:r>
        <w:lastRenderedPageBreak/>
        <w:t xml:space="preserve">470. </w:t>
      </w:r>
      <w:r>
        <w:tab/>
        <w:t xml:space="preserve">Shuai K, Stark GR, Kerr IM, Darnell JE. A single phosphotyrosine residue of Stat91 required for gene activation by interferon-gamma. Science. 1993 Sep 24;261(5129):1744–6. </w:t>
      </w:r>
    </w:p>
    <w:p w14:paraId="6673B230" w14:textId="77777777" w:rsidR="004B6406" w:rsidRDefault="004B6406" w:rsidP="004B6406">
      <w:pPr>
        <w:pStyle w:val="Bibliography"/>
      </w:pPr>
      <w:r>
        <w:t xml:space="preserve">471. </w:t>
      </w:r>
      <w:r>
        <w:tab/>
        <w:t xml:space="preserve">Lehtonen A, Matikainen S, Julkunen I. Interferons up-regulate STAT1, STAT2, and IRF family transcription factor gene expression in human peripheral blood mononuclear cells and macrophages. J Immunol. 1997 Jul 15;159(2):794–803. </w:t>
      </w:r>
    </w:p>
    <w:p w14:paraId="7F87CA54" w14:textId="77777777" w:rsidR="004B6406" w:rsidRDefault="004B6406" w:rsidP="004B6406">
      <w:pPr>
        <w:pStyle w:val="Bibliography"/>
      </w:pPr>
      <w:r>
        <w:t xml:space="preserve">472. </w:t>
      </w:r>
      <w:r>
        <w:tab/>
        <w:t xml:space="preserve">Darnell JE, Kerr IM, Stark GR. Jak-STAT pathways and transcriptional activation in response to IFNs and other extracellular signaling proteins. Science. 1994 Jun 3;264(5164):1415–21. </w:t>
      </w:r>
    </w:p>
    <w:p w14:paraId="1769F221" w14:textId="77777777" w:rsidR="004B6406" w:rsidRDefault="004B6406" w:rsidP="004B6406">
      <w:pPr>
        <w:pStyle w:val="Bibliography"/>
      </w:pPr>
      <w:r>
        <w:t xml:space="preserve">473. </w:t>
      </w:r>
      <w:r>
        <w:tab/>
        <w:t xml:space="preserve">Wei B, Baker S, Wieckiewicz J, Wood KJ. IFN-gamma triggered STAT1-PKB/AKT signalling pathway influences the function of alloantigen reactive regulatory T cells. Am J Transplant. 2010 Jan;10(1):69–80. </w:t>
      </w:r>
    </w:p>
    <w:p w14:paraId="567A87F8" w14:textId="77777777" w:rsidR="004B6406" w:rsidRDefault="004B6406" w:rsidP="004B6406">
      <w:pPr>
        <w:pStyle w:val="Bibliography"/>
      </w:pPr>
      <w:r>
        <w:t xml:space="preserve">474. </w:t>
      </w:r>
      <w:r>
        <w:tab/>
        <w:t xml:space="preserve">Sikorski K, Chmielewski S, Przybyl L, Heemann U, Wesoly J, Baumann M, et al. STAT1-mediated signal integration between IFNγ and LPS leads to increased EC and SMC activation and monocyte adhesion. Am J Physiol, Cell Physiol. 2011 Jun;300(6):C1337-1344. </w:t>
      </w:r>
    </w:p>
    <w:p w14:paraId="35BF26D6" w14:textId="77777777" w:rsidR="004B6406" w:rsidRDefault="004B6406" w:rsidP="004B6406">
      <w:pPr>
        <w:pStyle w:val="Bibliography"/>
      </w:pPr>
      <w:r>
        <w:t xml:space="preserve">475. </w:t>
      </w:r>
      <w:r>
        <w:tab/>
        <w:t xml:space="preserve">Stark GR. How cells respond to interferons revisited: From early history to current complexity. Cytokine Growth Factor Rev. 2007;18(5–6):419–23. </w:t>
      </w:r>
    </w:p>
    <w:p w14:paraId="0141AF3F" w14:textId="77777777" w:rsidR="004B6406" w:rsidRDefault="004B6406" w:rsidP="004B6406">
      <w:pPr>
        <w:pStyle w:val="Bibliography"/>
      </w:pPr>
      <w:r>
        <w:t xml:space="preserve">476. </w:t>
      </w:r>
      <w:r>
        <w:tab/>
        <w:t xml:space="preserve">Varinou L, Ramsauer K, Karaghiosoff M, Kolbe T, Pfeffer K, Müller M, et al. Phosphorylation of the Stat1 transactivation domain is required for full-fledged IFN-gamma-dependent innate immunity. Immunity. 2003 Dec;19(6):793–802. </w:t>
      </w:r>
    </w:p>
    <w:p w14:paraId="4FECACA6" w14:textId="77777777" w:rsidR="004B6406" w:rsidRDefault="004B6406" w:rsidP="004B6406">
      <w:pPr>
        <w:pStyle w:val="Bibliography"/>
      </w:pPr>
      <w:r>
        <w:t xml:space="preserve">477. </w:t>
      </w:r>
      <w:r>
        <w:tab/>
        <w:t xml:space="preserve">Park C, Li S, Cha E, Schindler C. Immune response in Stat2 knockout mice. Immunity. 2000 Dec;13(6):795–804. </w:t>
      </w:r>
    </w:p>
    <w:p w14:paraId="45A82EF4" w14:textId="77777777" w:rsidR="004B6406" w:rsidRDefault="004B6406" w:rsidP="004B6406">
      <w:pPr>
        <w:pStyle w:val="Bibliography"/>
      </w:pPr>
      <w:r>
        <w:t xml:space="preserve">478. </w:t>
      </w:r>
      <w:r>
        <w:tab/>
        <w:t xml:space="preserve">Bode JG, Ehlting C, Häussinger D. The macrophage response towards LPS and its control through the p38(MAPK)-STAT3 axis. Cell Signal. 2012 Jun;24(6):1185–94. </w:t>
      </w:r>
    </w:p>
    <w:p w14:paraId="601E12FE" w14:textId="77777777" w:rsidR="004B6406" w:rsidRDefault="004B6406" w:rsidP="004B6406">
      <w:pPr>
        <w:pStyle w:val="Bibliography"/>
      </w:pPr>
      <w:r>
        <w:t xml:space="preserve">479. </w:t>
      </w:r>
      <w:r>
        <w:tab/>
        <w:t xml:space="preserve">Takeda K, Clausen BE, Kaisho T, Tsujimura T, Terada N, Förster I, et al. Enhanced Th1 Activity and Development of Chronic Enterocolitis in Mice Devoid of Stat3 in Macrophages and Neutrophils. Immunity. 1999 Jan 1;10(1):39–49. </w:t>
      </w:r>
    </w:p>
    <w:p w14:paraId="7CCB77A1" w14:textId="77777777" w:rsidR="004B6406" w:rsidRDefault="004B6406" w:rsidP="004B6406">
      <w:pPr>
        <w:pStyle w:val="Bibliography"/>
      </w:pPr>
      <w:r>
        <w:t xml:space="preserve">480. </w:t>
      </w:r>
      <w:r>
        <w:tab/>
        <w:t xml:space="preserve">Matsukawa A, Kudo S, Maeda T, Numata K, Watanabe H, Takeda K, et al. Stat3 in Resident Macrophages as a Repressor Protein of Inflammatory Response. The Journal of Immunology. 2005 Sep 1;175(5):3354–9. </w:t>
      </w:r>
    </w:p>
    <w:p w14:paraId="24B96821" w14:textId="77777777" w:rsidR="004B6406" w:rsidRDefault="004B6406" w:rsidP="004B6406">
      <w:pPr>
        <w:pStyle w:val="Bibliography"/>
      </w:pPr>
      <w:r>
        <w:t xml:space="preserve">481. </w:t>
      </w:r>
      <w:r>
        <w:tab/>
        <w:t xml:space="preserve">Williams L, Bradley L, Smith A, Foxwell B. Signal Transducer and Activator of Transcription 3 Is the Dominant Mediator of the Anti-Inflammatory Effects of IL-10 in Human Macrophages. The Journal of Immunology. 2004 Jan 1;172(1):567–76. </w:t>
      </w:r>
    </w:p>
    <w:p w14:paraId="77DC9194" w14:textId="77777777" w:rsidR="004B6406" w:rsidRDefault="004B6406" w:rsidP="004B6406">
      <w:pPr>
        <w:pStyle w:val="Bibliography"/>
      </w:pPr>
      <w:r>
        <w:t xml:space="preserve">482. </w:t>
      </w:r>
      <w:r>
        <w:tab/>
        <w:t xml:space="preserve">Cortes JR, Perez-G M, Rivas MD, Zamorano J. Kaempferol Inhibits IL-4-Induced STAT6 Activation by Specifically Targeting JAK3. The Journal of Immunology. 2007 Sep 15;179(6):3881–7. </w:t>
      </w:r>
    </w:p>
    <w:p w14:paraId="63C9C191" w14:textId="77777777" w:rsidR="004B6406" w:rsidRDefault="004B6406" w:rsidP="004B6406">
      <w:pPr>
        <w:pStyle w:val="Bibliography"/>
      </w:pPr>
      <w:r>
        <w:lastRenderedPageBreak/>
        <w:t xml:space="preserve">483. </w:t>
      </w:r>
      <w:r>
        <w:tab/>
        <w:t xml:space="preserve">Takeda K, Tanaka T, Shi W, Matsumoto M, Minami M, Kashiwamura S, et al. Essential role of Stat6 in IL-4 signalling. Nature. 1996 Apr 18;380(6575):627–30. </w:t>
      </w:r>
    </w:p>
    <w:p w14:paraId="4E13B99B" w14:textId="77777777" w:rsidR="004B6406" w:rsidRDefault="004B6406" w:rsidP="004B6406">
      <w:pPr>
        <w:pStyle w:val="Bibliography"/>
      </w:pPr>
      <w:r>
        <w:t xml:space="preserve">484. </w:t>
      </w:r>
      <w:r>
        <w:tab/>
        <w:t xml:space="preserve">Ohmori Y, Hamilton TA. STAT6 is required for the anti-inflammatory activity of interleukin-4 in mouse peritoneal macrophages. J Biol Chem. 1998 Oct 30;273(44):29202–9. </w:t>
      </w:r>
    </w:p>
    <w:p w14:paraId="65C458A8" w14:textId="77777777" w:rsidR="004B6406" w:rsidRDefault="004B6406" w:rsidP="004B6406">
      <w:pPr>
        <w:pStyle w:val="Bibliography"/>
      </w:pPr>
      <w:r>
        <w:t xml:space="preserve">485. </w:t>
      </w:r>
      <w:r>
        <w:tab/>
        <w:t>Wilson HM. SOCS Proteins in Macrophage Polarization and Function. Front Immunol [Internet]. 2014 Jul 28 [cited 2015 Nov 22];5. Available from: http://www.ncbi.nlm.nih.gov/pmc/articles/PMC4112788/</w:t>
      </w:r>
    </w:p>
    <w:p w14:paraId="388A0DB5" w14:textId="77777777" w:rsidR="004B6406" w:rsidRDefault="004B6406" w:rsidP="004B6406">
      <w:pPr>
        <w:pStyle w:val="Bibliography"/>
      </w:pPr>
      <w:r>
        <w:t xml:space="preserve">486. </w:t>
      </w:r>
      <w:r>
        <w:tab/>
        <w:t xml:space="preserve">Zadjali F, Santana-Farre R, Vesterlund M, Carow B, Mirecki-Garrido M, Hernandez-Hernandez I, et al. SOCS2 deletion protects against hepatic steatosis but worsens insulin resistance in high-fat-diet-fed mice. FASEB J. 2012 Aug;26(8):3282–91. </w:t>
      </w:r>
    </w:p>
    <w:p w14:paraId="233CA914" w14:textId="77777777" w:rsidR="004B6406" w:rsidRDefault="004B6406" w:rsidP="004B6406">
      <w:pPr>
        <w:pStyle w:val="Bibliography"/>
      </w:pPr>
      <w:r>
        <w:t xml:space="preserve">487. </w:t>
      </w:r>
      <w:r>
        <w:tab/>
        <w:t xml:space="preserve">Liu Y, Stewart KN, Bishop E, Marek CJ, Kluth DC, Rees AJ, et al. Unique expression of suppressor of cytokine signaling 3 is essential for classical macrophage activation in rodents in vitro and in vivo. J Immunol. 2008 May 1;180(9):6270–8. </w:t>
      </w:r>
    </w:p>
    <w:p w14:paraId="692F3350" w14:textId="77777777" w:rsidR="004B6406" w:rsidRDefault="004B6406" w:rsidP="004B6406">
      <w:pPr>
        <w:pStyle w:val="Bibliography"/>
      </w:pPr>
      <w:r>
        <w:t xml:space="preserve">488. </w:t>
      </w:r>
      <w:r>
        <w:tab/>
        <w:t xml:space="preserve">Arnold CE, Whyte CS, Gordon P, Barker RN, Rees AJ, Wilson HM. A critical role for suppressor of cytokine signalling 3 in promoting M1 macrophage activation and function in vitro and in vivo. Immunology. 2014 Jan;141(1):96–110. </w:t>
      </w:r>
    </w:p>
    <w:p w14:paraId="52D0761A" w14:textId="77777777" w:rsidR="004B6406" w:rsidRDefault="004B6406" w:rsidP="004B6406">
      <w:pPr>
        <w:pStyle w:val="Bibliography"/>
      </w:pPr>
      <w:r>
        <w:t xml:space="preserve">489. </w:t>
      </w:r>
      <w:r>
        <w:tab/>
        <w:t xml:space="preserve">Lang R, Pauleau A-L, Parganas E, Takahashi Y, Mages J, Ihle JN, et al. SOCS3 regulates the plasticity of gp130 signaling. Nature Immunology. 2003 Jun;4(6):546–50. </w:t>
      </w:r>
    </w:p>
    <w:p w14:paraId="224FAED2" w14:textId="77777777" w:rsidR="004B6406" w:rsidRDefault="004B6406" w:rsidP="004B6406">
      <w:pPr>
        <w:pStyle w:val="Bibliography"/>
      </w:pPr>
      <w:r>
        <w:t xml:space="preserve">490. </w:t>
      </w:r>
      <w:r>
        <w:tab/>
        <w:t xml:space="preserve">Oldefest M, Nowinski J, Hung C-W, Neelsen D, Trad A, Tholey A, et al. Upd3 – An ancestor of the four-helix bundle cytokines. Biochemical and Biophysical Research Communications. 2013 Jun;436(1):66–72. </w:t>
      </w:r>
    </w:p>
    <w:p w14:paraId="65F26CED" w14:textId="77777777" w:rsidR="004B6406" w:rsidRDefault="004B6406" w:rsidP="004B6406">
      <w:pPr>
        <w:pStyle w:val="Bibliography"/>
      </w:pPr>
      <w:r>
        <w:t xml:space="preserve">491. </w:t>
      </w:r>
      <w:r>
        <w:tab/>
        <w:t xml:space="preserve">Wang L, Sexton TR, Venard C, Giedt M, Guo Q, Chen Q, et al. Pleiotropy of the Drosophila JAK pathway cytokine Unpaired 3 in development and aging. Dev Biol. 2014 Nov 15;395(2):218–31. </w:t>
      </w:r>
    </w:p>
    <w:p w14:paraId="2049BA9C" w14:textId="77777777" w:rsidR="004B6406" w:rsidRDefault="004B6406" w:rsidP="004B6406">
      <w:pPr>
        <w:pStyle w:val="Bibliography"/>
      </w:pPr>
      <w:r>
        <w:t xml:space="preserve">492. </w:t>
      </w:r>
      <w:r>
        <w:tab/>
        <w:t xml:space="preserve">Wright VM, Vogt KL, Smythe E, Zeidler MP. Differential activities of the Drosophila JAK/STAT pathway ligands Upd, Upd2 and Upd3. Cell Signal. 2011 May;23(5):920–7. </w:t>
      </w:r>
    </w:p>
    <w:p w14:paraId="4788A579" w14:textId="77777777" w:rsidR="004B6406" w:rsidRDefault="004B6406" w:rsidP="004B6406">
      <w:pPr>
        <w:pStyle w:val="Bibliography"/>
      </w:pPr>
      <w:r>
        <w:t xml:space="preserve">493. </w:t>
      </w:r>
      <w:r>
        <w:tab/>
        <w:t xml:space="preserve">Li WX. Canonical and non-canonical JAK–STAT signaling. Trends Cell Biol. 2008 Nov;18(11):545–51. </w:t>
      </w:r>
    </w:p>
    <w:p w14:paraId="6040F2A4" w14:textId="77777777" w:rsidR="004B6406" w:rsidRDefault="004B6406" w:rsidP="004B6406">
      <w:pPr>
        <w:pStyle w:val="Bibliography"/>
      </w:pPr>
      <w:r>
        <w:t xml:space="preserve">494. </w:t>
      </w:r>
      <w:r>
        <w:tab/>
        <w:t xml:space="preserve">Abrams JM, White K, Fessler LI, Steller H. Programmed cell death during Drosophila embryogenesis. Development. 1993 Jan;117(1):29–43. </w:t>
      </w:r>
    </w:p>
    <w:p w14:paraId="36A955B2" w14:textId="77777777" w:rsidR="004B6406" w:rsidRDefault="004B6406" w:rsidP="004B6406">
      <w:pPr>
        <w:pStyle w:val="Bibliography"/>
      </w:pPr>
      <w:r>
        <w:t xml:space="preserve">495. </w:t>
      </w:r>
      <w:r>
        <w:tab/>
        <w:t xml:space="preserve">Petraki S, Alexander B, Brückner K. Assaying Blood Cell Populations of the Drosophila melanogaster Larva. J Vis Exp. 2015;(105). </w:t>
      </w:r>
    </w:p>
    <w:p w14:paraId="19495885" w14:textId="77777777" w:rsidR="004B6406" w:rsidRDefault="004B6406" w:rsidP="004B6406">
      <w:pPr>
        <w:pStyle w:val="Bibliography"/>
      </w:pPr>
      <w:r>
        <w:t xml:space="preserve">496. </w:t>
      </w:r>
      <w:r>
        <w:tab/>
        <w:t xml:space="preserve">Zeng MY, Pham D, Bagaitkar J, Liu J, Otero K, Shan M, et al. An efferocytosis-induced, IL-4–dependent macrophage-iNKT cell circuit suppresses sterile inflammation and is defective in murine CGD. Blood. 2013 Apr 25;121(17):3473–83. </w:t>
      </w:r>
    </w:p>
    <w:p w14:paraId="2DD5AB67" w14:textId="77777777" w:rsidR="004B6406" w:rsidRDefault="004B6406" w:rsidP="004B6406">
      <w:pPr>
        <w:pStyle w:val="Bibliography"/>
      </w:pPr>
      <w:r>
        <w:lastRenderedPageBreak/>
        <w:t xml:space="preserve">497. </w:t>
      </w:r>
      <w:r>
        <w:tab/>
        <w:t xml:space="preserve">Bosurgi L, Cao YG, Cabeza-Cabrerizo M, Tucci A, Hughes LD, Kong Y, et al. Macrophage function in tissue repair and remodeling requires IL-4 or IL-13 with apoptotic cells. Science. 2017 09;356(6342):1072–6. </w:t>
      </w:r>
    </w:p>
    <w:p w14:paraId="791D5406" w14:textId="77777777" w:rsidR="004B6406" w:rsidRDefault="004B6406" w:rsidP="004B6406">
      <w:pPr>
        <w:pStyle w:val="Bibliography"/>
      </w:pPr>
      <w:r>
        <w:t xml:space="preserve">498. </w:t>
      </w:r>
      <w:r>
        <w:tab/>
        <w:t xml:space="preserve">Nelms K, Keegan AD, Zamorano J, Ryan JJ, Paul WE. The IL-4 receptor: signaling mechanisms and biologic functions. Annu Rev Immunol. </w:t>
      </w:r>
      <w:proofErr w:type="gramStart"/>
      <w:r>
        <w:t>1999;17:701</w:t>
      </w:r>
      <w:proofErr w:type="gramEnd"/>
      <w:r>
        <w:t xml:space="preserve">–38. </w:t>
      </w:r>
    </w:p>
    <w:p w14:paraId="752D6090" w14:textId="77777777" w:rsidR="004B6406" w:rsidRDefault="004B6406" w:rsidP="004B6406">
      <w:pPr>
        <w:pStyle w:val="Bibliography"/>
      </w:pPr>
      <w:r>
        <w:t xml:space="preserve">499. </w:t>
      </w:r>
      <w:r>
        <w:tab/>
        <w:t xml:space="preserve">Heller NM, Qi X, Junttila IS, Shirey KA, Vogel SN, Paul WE, et al. Type I IL-4Rs selectively activate IRS-2 to induce target gene expression in macrophages. Sci Signal. 2008 Dec 23;1(51):ra17. </w:t>
      </w:r>
    </w:p>
    <w:p w14:paraId="68DE7437" w14:textId="77777777" w:rsidR="004B6406" w:rsidRDefault="004B6406" w:rsidP="004B6406">
      <w:pPr>
        <w:pStyle w:val="Bibliography"/>
      </w:pPr>
      <w:r>
        <w:t xml:space="preserve">500. </w:t>
      </w:r>
      <w:r>
        <w:tab/>
        <w:t>Langston PK, Shibata M, Horng T. Metabolism Supports Macrophage Activation. Front Immunol [Internet]. 2017 [cited 2019 Apr 5];8. Available from: https://www.frontiersin.org/articles/10.3389/fimmu.2017.00061/full#B1</w:t>
      </w:r>
    </w:p>
    <w:p w14:paraId="391D3E38" w14:textId="77777777" w:rsidR="004B6406" w:rsidRDefault="004B6406" w:rsidP="004B6406">
      <w:pPr>
        <w:pStyle w:val="Bibliography"/>
      </w:pPr>
      <w:r>
        <w:t xml:space="preserve">501. </w:t>
      </w:r>
      <w:r>
        <w:tab/>
        <w:t xml:space="preserve">Van Dyken SJ, Locksley RM. Interleukin-4- and interleukin-13-mediated alternatively activated macrophages: roles in homeostasis and disease. Annu Rev Immunol. </w:t>
      </w:r>
      <w:proofErr w:type="gramStart"/>
      <w:r>
        <w:t>2013;31:317</w:t>
      </w:r>
      <w:proofErr w:type="gramEnd"/>
      <w:r>
        <w:t xml:space="preserve">–43. </w:t>
      </w:r>
    </w:p>
    <w:p w14:paraId="31E8B4D3" w14:textId="77777777" w:rsidR="004B6406" w:rsidRDefault="004B6406" w:rsidP="004B6406">
      <w:pPr>
        <w:pStyle w:val="Bibliography"/>
      </w:pPr>
      <w:r>
        <w:t xml:space="preserve">502. </w:t>
      </w:r>
      <w:r>
        <w:tab/>
        <w:t xml:space="preserve">Michalski MN, Koh AJ, Weidner S, Roca H, McCauley LK. Modulation of Osteoblastic Cell Efferocytosis by Bone Marrow Macrophages. J Cell Biochem. 2016 Dec;117(12):2697–706. </w:t>
      </w:r>
    </w:p>
    <w:p w14:paraId="476DCB42" w14:textId="77777777" w:rsidR="004B6406" w:rsidRDefault="004B6406" w:rsidP="004B6406">
      <w:pPr>
        <w:pStyle w:val="Bibliography"/>
      </w:pPr>
      <w:r>
        <w:t xml:space="preserve">503. </w:t>
      </w:r>
      <w:r>
        <w:tab/>
        <w:t>McIntyre TM, Prescott SM, Stafforini DM. The emerging roles of PAF acetylhydrolase. J Lipid Res. 2009 Apr;50(Suppl</w:t>
      </w:r>
      <w:proofErr w:type="gramStart"/>
      <w:r>
        <w:t>):S</w:t>
      </w:r>
      <w:proofErr w:type="gramEnd"/>
      <w:r>
        <w:t xml:space="preserve">255–9. </w:t>
      </w:r>
    </w:p>
    <w:p w14:paraId="5A1B7D30" w14:textId="77777777" w:rsidR="004B6406" w:rsidRDefault="004B6406" w:rsidP="004B6406">
      <w:pPr>
        <w:pStyle w:val="Bibliography"/>
      </w:pPr>
      <w:r>
        <w:t xml:space="preserve">504. </w:t>
      </w:r>
      <w:r>
        <w:tab/>
        <w:t xml:space="preserve">Sheffield PJ, Garrard S, Caspi M, Aoki J, Arai H, Derewenda U, et al. Homologs of the alpha- and beta-subunits of mammalian brain platelet-activating factor acetylhydrolase Ib in the Drosophila melanogaster genome. Proteins. 2000 Apr 1;39(1):1–8. </w:t>
      </w:r>
    </w:p>
    <w:p w14:paraId="6B9E8EF3" w14:textId="77777777" w:rsidR="004B6406" w:rsidRDefault="004B6406" w:rsidP="004B6406">
      <w:pPr>
        <w:pStyle w:val="Bibliography"/>
      </w:pPr>
      <w:r>
        <w:t xml:space="preserve">505. </w:t>
      </w:r>
      <w:r>
        <w:tab/>
        <w:t xml:space="preserve">Williams MJ. The Drosophila cell adhesion molecule Neuroglian regulates Lissencephaly-1 localisation in circulating immunosurveillance cells. BMC Immunol. 2009 Mar </w:t>
      </w:r>
      <w:proofErr w:type="gramStart"/>
      <w:r>
        <w:t>25;10:17</w:t>
      </w:r>
      <w:proofErr w:type="gramEnd"/>
      <w:r>
        <w:t xml:space="preserve">. </w:t>
      </w:r>
    </w:p>
    <w:p w14:paraId="3CDEEB6D" w14:textId="77777777" w:rsidR="004B6406" w:rsidRDefault="004B6406" w:rsidP="004B6406">
      <w:pPr>
        <w:pStyle w:val="Bibliography"/>
      </w:pPr>
      <w:r>
        <w:t xml:space="preserve">506. </w:t>
      </w:r>
      <w:r>
        <w:tab/>
        <w:t xml:space="preserve">Dix CI, Soundararajan HC, Dzhindzhev NS, Begum F, Suter B, Ohkura H, et al. Lissencephaly-1 promotes the recruitment of dynein and dynactin to transported mRNAs. J Cell Biol. 2013 Aug 5;202(3):479–94. </w:t>
      </w:r>
    </w:p>
    <w:p w14:paraId="4EFA84D8" w14:textId="77777777" w:rsidR="004B6406" w:rsidRDefault="004B6406" w:rsidP="004B6406">
      <w:pPr>
        <w:pStyle w:val="Bibliography"/>
      </w:pPr>
      <w:r>
        <w:t xml:space="preserve">507. </w:t>
      </w:r>
      <w:r>
        <w:tab/>
        <w:t xml:space="preserve">Vijayan V, Pradhan P, Braud L, Fuchs HR, Gueler F, Motterlini R, et al. Human and murine macrophages exhibit differential metabolic responses to lipopolysaccharide - A divergent role for glycolysis. Redox Biology. 2019 Feb 20;101147. </w:t>
      </w:r>
    </w:p>
    <w:p w14:paraId="7BC740E9" w14:textId="77777777" w:rsidR="004B6406" w:rsidRDefault="004B6406" w:rsidP="004B6406">
      <w:pPr>
        <w:pStyle w:val="Bibliography"/>
      </w:pPr>
      <w:r>
        <w:t xml:space="preserve">508. </w:t>
      </w:r>
      <w:r>
        <w:tab/>
        <w:t>Pike Winer LS, Wu M. Rapid Analysis of Glycolytic and Oxidative Substrate Flux of Cancer Cells in a Microplate. PLoS One [Internet]. 2014 Oct 31 [cited 2019 Apr 2];9(10). Available from: https://www.ncbi.nlm.nih.gov/pmc/articles/PMC4215881/</w:t>
      </w:r>
    </w:p>
    <w:p w14:paraId="261220CF" w14:textId="77777777" w:rsidR="004B6406" w:rsidRDefault="004B6406" w:rsidP="004B6406">
      <w:pPr>
        <w:pStyle w:val="Bibliography"/>
      </w:pPr>
      <w:r>
        <w:t xml:space="preserve">509. </w:t>
      </w:r>
      <w:r>
        <w:tab/>
        <w:t xml:space="preserve">Dodington DW, Desai HR, Woo M. JAK/STAT - Emerging Players in Metabolism. Trends Endocrinol Metab. 2018;29(1):55–65. </w:t>
      </w:r>
    </w:p>
    <w:p w14:paraId="208169E9" w14:textId="77777777" w:rsidR="004B6406" w:rsidRDefault="004B6406" w:rsidP="004B6406">
      <w:pPr>
        <w:pStyle w:val="Bibliography"/>
      </w:pPr>
      <w:r>
        <w:lastRenderedPageBreak/>
        <w:t xml:space="preserve">510. </w:t>
      </w:r>
      <w:r>
        <w:tab/>
        <w:t xml:space="preserve">Theurich S, Tsaousidou E, Hanssen R, Lempradl AM, Mauer J, Timper K, et al. IL-6/Stat3-Dependent Induction of a Distinct, Obesity-Associated NK Cell Subpopulation Deteriorates Energy and Glucose Homeostasis. Cell Metab. 2017 Jul 5;26(1):171-184.e6. </w:t>
      </w:r>
    </w:p>
    <w:p w14:paraId="1FC8D8C7" w14:textId="77777777" w:rsidR="004B6406" w:rsidRDefault="004B6406" w:rsidP="004B6406">
      <w:pPr>
        <w:pStyle w:val="Bibliography"/>
      </w:pPr>
      <w:r>
        <w:t xml:space="preserve">511. </w:t>
      </w:r>
      <w:r>
        <w:tab/>
        <w:t xml:space="preserve">Mauer J, Chaurasia B, Goldau J, Vogt MC, Ruud J, Nguyen KD, et al. Interleukin-6 signaling promotes alternative macrophage activation to limit obesity-associated insulin resistance and endotoxemia. Nat Immunol. 2014 May;15(5):423–30. </w:t>
      </w:r>
    </w:p>
    <w:p w14:paraId="26B46FD0" w14:textId="7731088E" w:rsidR="006D2DCE" w:rsidRDefault="009C2B02" w:rsidP="001D1AB8">
      <w:r>
        <w:fldChar w:fldCharType="end"/>
      </w:r>
    </w:p>
    <w:p w14:paraId="686797CE" w14:textId="77777777" w:rsidR="009C2B02" w:rsidRDefault="009C2B02" w:rsidP="001D1AB8"/>
    <w:p w14:paraId="69379924" w14:textId="3D968976" w:rsidR="00375DE2" w:rsidRDefault="00375DE2">
      <w:r>
        <w:br w:type="page"/>
      </w:r>
    </w:p>
    <w:p w14:paraId="12ADDE03" w14:textId="77777777" w:rsidR="00A4197E" w:rsidRPr="004D1B90" w:rsidRDefault="00A4197E" w:rsidP="00A4197E">
      <w:pPr>
        <w:pStyle w:val="Heading1"/>
      </w:pPr>
      <w:bookmarkStart w:id="259" w:name="_Toc4589402"/>
      <w:r>
        <w:lastRenderedPageBreak/>
        <w:t xml:space="preserve">Appendix 1. Standard </w:t>
      </w:r>
      <w:r>
        <w:rPr>
          <w:i/>
        </w:rPr>
        <w:t>Drosophila</w:t>
      </w:r>
      <w:r>
        <w:t xml:space="preserve"> medium and other recipes</w:t>
      </w:r>
      <w:bookmarkEnd w:id="259"/>
    </w:p>
    <w:p w14:paraId="332AD5DC" w14:textId="77777777" w:rsidR="00A4197E" w:rsidRDefault="00A4197E" w:rsidP="00A4197E">
      <w:pPr>
        <w:pStyle w:val="Thesisnormal"/>
      </w:pPr>
    </w:p>
    <w:p w14:paraId="0D5B1851" w14:textId="77777777" w:rsidR="00A4197E" w:rsidRPr="00A4197E" w:rsidRDefault="00A4197E" w:rsidP="00A4197E">
      <w:pPr>
        <w:pStyle w:val="Thesisnormal"/>
        <w:rPr>
          <w:rStyle w:val="fontstyle01"/>
          <w:rFonts w:asciiTheme="minorHAnsi" w:hAnsiTheme="minorHAnsi"/>
        </w:rPr>
      </w:pPr>
      <w:r w:rsidRPr="00A4197E">
        <w:rPr>
          <w:rStyle w:val="fontstyle01"/>
          <w:rFonts w:asciiTheme="minorHAnsi" w:hAnsiTheme="minorHAnsi"/>
        </w:rPr>
        <w:t xml:space="preserve">Standard </w:t>
      </w:r>
      <w:r w:rsidRPr="00480424">
        <w:rPr>
          <w:rStyle w:val="fontstyle01"/>
          <w:rFonts w:asciiTheme="minorHAnsi" w:hAnsiTheme="minorHAnsi"/>
          <w:i/>
        </w:rPr>
        <w:t>Drosophila</w:t>
      </w:r>
      <w:r w:rsidRPr="00A4197E">
        <w:rPr>
          <w:rStyle w:val="fontstyle01"/>
          <w:rFonts w:asciiTheme="minorHAnsi" w:hAnsiTheme="minorHAnsi"/>
        </w:rPr>
        <w:t xml:space="preserve"> medium is prepared by according to the following recipe:</w:t>
      </w:r>
    </w:p>
    <w:p w14:paraId="7AC08229"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1 litre cold tap water</w:t>
      </w:r>
    </w:p>
    <w:p w14:paraId="464E5B93"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80g medium cornmeal</w:t>
      </w:r>
    </w:p>
    <w:p w14:paraId="471BF9D5"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18g dried yeast</w:t>
      </w:r>
    </w:p>
    <w:p w14:paraId="174C3BA5"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10g soya flour</w:t>
      </w:r>
    </w:p>
    <w:p w14:paraId="6298E58E"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80g malt extract</w:t>
      </w:r>
    </w:p>
    <w:p w14:paraId="1EAB76C4"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40g molasses</w:t>
      </w:r>
    </w:p>
    <w:p w14:paraId="32F8128C"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8g agar</w:t>
      </w:r>
    </w:p>
    <w:p w14:paraId="71EC5A6D"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25ml nipagin in absolute ethanol</w:t>
      </w:r>
    </w:p>
    <w:p w14:paraId="1355F213" w14:textId="77777777" w:rsidR="00A4197E" w:rsidRPr="00A4197E" w:rsidRDefault="00A4197E" w:rsidP="00A4197E">
      <w:pPr>
        <w:pStyle w:val="Thesisnormal"/>
        <w:numPr>
          <w:ilvl w:val="0"/>
          <w:numId w:val="6"/>
        </w:numPr>
        <w:rPr>
          <w:rStyle w:val="fontstyle01"/>
          <w:rFonts w:asciiTheme="minorHAnsi" w:hAnsiTheme="minorHAnsi"/>
        </w:rPr>
      </w:pPr>
      <w:r w:rsidRPr="00A4197E">
        <w:rPr>
          <w:rStyle w:val="fontstyle01"/>
          <w:rFonts w:asciiTheme="minorHAnsi" w:hAnsiTheme="minorHAnsi"/>
        </w:rPr>
        <w:t>4ml propionic acid</w:t>
      </w:r>
    </w:p>
    <w:p w14:paraId="63347AB9" w14:textId="77777777" w:rsidR="00A4197E" w:rsidRPr="00A4197E" w:rsidRDefault="00A4197E" w:rsidP="00A4197E">
      <w:pPr>
        <w:pStyle w:val="Thesisnormal"/>
        <w:rPr>
          <w:rStyle w:val="fontstyle01"/>
          <w:rFonts w:asciiTheme="minorHAnsi" w:hAnsiTheme="minorHAnsi"/>
        </w:rPr>
      </w:pPr>
    </w:p>
    <w:p w14:paraId="6F54F168" w14:textId="77777777" w:rsidR="00A4197E" w:rsidRPr="00A4197E" w:rsidRDefault="00A4197E" w:rsidP="00A4197E">
      <w:pPr>
        <w:pStyle w:val="Thesisnormal"/>
        <w:rPr>
          <w:rStyle w:val="fontstyle01"/>
          <w:rFonts w:asciiTheme="minorHAnsi" w:hAnsiTheme="minorHAnsi"/>
        </w:rPr>
      </w:pPr>
      <w:r w:rsidRPr="00A4197E">
        <w:rPr>
          <w:rStyle w:val="fontstyle01"/>
          <w:rFonts w:asciiTheme="minorHAnsi" w:hAnsiTheme="minorHAnsi"/>
        </w:rPr>
        <w:t>DABCO recipe: 1g DABCO (sigma) + 4ml 10x PBS + 36ml glycerol</w:t>
      </w:r>
    </w:p>
    <w:p w14:paraId="28BE19B2" w14:textId="77777777" w:rsidR="00A4197E" w:rsidRPr="00A4197E" w:rsidRDefault="00A4197E" w:rsidP="00A4197E">
      <w:pPr>
        <w:pStyle w:val="Thesisnormal"/>
        <w:rPr>
          <w:rStyle w:val="fontstyle01"/>
          <w:rFonts w:asciiTheme="minorHAnsi" w:hAnsiTheme="minorHAnsi"/>
        </w:rPr>
      </w:pPr>
    </w:p>
    <w:p w14:paraId="1FEC7F55" w14:textId="77777777" w:rsidR="00A4197E" w:rsidRPr="00A4197E" w:rsidRDefault="00A4197E" w:rsidP="00A4197E">
      <w:pPr>
        <w:pStyle w:val="Thesisnormal"/>
      </w:pPr>
      <w:r w:rsidRPr="00A4197E">
        <w:rPr>
          <w:rStyle w:val="fontstyle01"/>
          <w:rFonts w:asciiTheme="minorHAnsi" w:hAnsiTheme="minorHAnsi"/>
        </w:rPr>
        <w:t xml:space="preserve">Digestion buffer: </w:t>
      </w:r>
      <w:r w:rsidRPr="00A4197E">
        <w:t>MQ H</w:t>
      </w:r>
      <w:r w:rsidRPr="00A4197E">
        <w:rPr>
          <w:vertAlign w:val="subscript"/>
        </w:rPr>
        <w:t>2</w:t>
      </w:r>
      <w:r w:rsidRPr="00A4197E">
        <w:t>O – 4890µl + 50µl – 1M Tris-cl pH 8.2 + 10µl – 0.5M EDTA + 25µl – 5M NaCl + 25µl – 20mg/ml Proteinase K</w:t>
      </w:r>
    </w:p>
    <w:p w14:paraId="4EDDA629" w14:textId="77777777" w:rsidR="00A4197E" w:rsidRPr="00A4197E" w:rsidRDefault="00A4197E" w:rsidP="00A4197E">
      <w:pPr>
        <w:pStyle w:val="Thesisnormal"/>
        <w:rPr>
          <w:rStyle w:val="fontstyle01"/>
          <w:rFonts w:asciiTheme="minorHAnsi" w:hAnsiTheme="minorHAnsi"/>
        </w:rPr>
      </w:pPr>
    </w:p>
    <w:p w14:paraId="283C5B45" w14:textId="77777777" w:rsidR="00A4197E" w:rsidRPr="00A4197E" w:rsidRDefault="00A4197E" w:rsidP="00A4197E">
      <w:pPr>
        <w:pStyle w:val="Thesisnormal"/>
        <w:rPr>
          <w:rStyle w:val="fontstyle01"/>
          <w:rFonts w:asciiTheme="minorHAnsi" w:hAnsiTheme="minorHAnsi"/>
        </w:rPr>
      </w:pPr>
    </w:p>
    <w:p w14:paraId="2E8640E2" w14:textId="77777777" w:rsidR="00A4197E" w:rsidRDefault="00A4197E" w:rsidP="00A4197E">
      <w:pPr>
        <w:rPr>
          <w:rStyle w:val="fontstyle01"/>
        </w:rPr>
      </w:pPr>
    </w:p>
    <w:p w14:paraId="4B1BE3F3" w14:textId="77777777" w:rsidR="009C2B02" w:rsidRPr="001D1AB8" w:rsidRDefault="009C2B02" w:rsidP="001D1AB8"/>
    <w:sectPr w:rsidR="009C2B02" w:rsidRPr="001D1AB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77D5B4" w14:textId="77777777" w:rsidR="00231871" w:rsidRDefault="00231871" w:rsidP="001E4361">
      <w:pPr>
        <w:spacing w:after="0" w:line="240" w:lineRule="auto"/>
      </w:pPr>
      <w:r>
        <w:separator/>
      </w:r>
    </w:p>
  </w:endnote>
  <w:endnote w:type="continuationSeparator" w:id="0">
    <w:p w14:paraId="50F5A0A6" w14:textId="77777777" w:rsidR="00231871" w:rsidRDefault="00231871" w:rsidP="001E43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MT">
    <w:altName w:val="Times New Roman"/>
    <w:charset w:val="00"/>
    <w:family w:val="auto"/>
    <w:pitch w:val="variable"/>
    <w:sig w:usb0="00000000" w:usb1="C0007841" w:usb2="00000009" w:usb3="00000000" w:csb0="000001FF" w:csb1="00000000"/>
  </w:font>
  <w:font w:name="TimesNewRomanPS-Italic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aramond-BookItalic">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2819594"/>
      <w:docPartObj>
        <w:docPartGallery w:val="Page Numbers (Bottom of Page)"/>
        <w:docPartUnique/>
      </w:docPartObj>
    </w:sdtPr>
    <w:sdtEndPr>
      <w:rPr>
        <w:color w:val="7F7F7F" w:themeColor="background1" w:themeShade="7F"/>
        <w:spacing w:val="60"/>
      </w:rPr>
    </w:sdtEndPr>
    <w:sdtContent>
      <w:p w14:paraId="5A799D32" w14:textId="77777777" w:rsidR="004C61E0" w:rsidRDefault="004C61E0" w:rsidP="003A42C0">
        <w:pPr>
          <w:pStyle w:val="Footer"/>
          <w:pBdr>
            <w:top w:val="single" w:sz="4" w:space="1" w:color="D9D9D9" w:themeColor="background1" w:themeShade="D9"/>
          </w:pBdr>
          <w:ind w:firstLine="720"/>
          <w:jc w:val="right"/>
        </w:pPr>
        <w:r>
          <w:fldChar w:fldCharType="begin"/>
        </w:r>
        <w:r>
          <w:instrText xml:space="preserve"> PAGE   \* MERGEFORMAT </w:instrText>
        </w:r>
        <w:r>
          <w:fldChar w:fldCharType="separate"/>
        </w:r>
        <w:r>
          <w:rPr>
            <w:noProof/>
          </w:rPr>
          <w:t>8</w:t>
        </w:r>
        <w:r>
          <w:rPr>
            <w:noProof/>
          </w:rPr>
          <w:fldChar w:fldCharType="end"/>
        </w:r>
        <w:r>
          <w:t xml:space="preserve"> | </w:t>
        </w:r>
        <w:r>
          <w:rPr>
            <w:color w:val="7F7F7F" w:themeColor="background1" w:themeShade="7F"/>
            <w:spacing w:val="60"/>
          </w:rPr>
          <w:t>Page</w:t>
        </w:r>
      </w:p>
    </w:sdtContent>
  </w:sdt>
  <w:p w14:paraId="06905E03" w14:textId="77777777" w:rsidR="004C61E0" w:rsidRDefault="004C61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9D29ED" w14:textId="77777777" w:rsidR="00231871" w:rsidRDefault="00231871" w:rsidP="001E4361">
      <w:pPr>
        <w:spacing w:after="0" w:line="240" w:lineRule="auto"/>
      </w:pPr>
      <w:r>
        <w:separator/>
      </w:r>
    </w:p>
  </w:footnote>
  <w:footnote w:type="continuationSeparator" w:id="0">
    <w:p w14:paraId="2584FCF8" w14:textId="77777777" w:rsidR="00231871" w:rsidRDefault="00231871" w:rsidP="001E43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61EED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A6E64"/>
    <w:multiLevelType w:val="hybridMultilevel"/>
    <w:tmpl w:val="55A4EBAA"/>
    <w:lvl w:ilvl="0" w:tplc="1918FBF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106553"/>
    <w:multiLevelType w:val="hybridMultilevel"/>
    <w:tmpl w:val="DDF230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264C21"/>
    <w:multiLevelType w:val="hybridMultilevel"/>
    <w:tmpl w:val="A7503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CC7E98"/>
    <w:multiLevelType w:val="hybridMultilevel"/>
    <w:tmpl w:val="A7FC0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A924C5"/>
    <w:multiLevelType w:val="hybridMultilevel"/>
    <w:tmpl w:val="8FD6A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09647C"/>
    <w:multiLevelType w:val="multilevel"/>
    <w:tmpl w:val="78467E48"/>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92F19FE"/>
    <w:multiLevelType w:val="hybridMultilevel"/>
    <w:tmpl w:val="EBC23852"/>
    <w:lvl w:ilvl="0" w:tplc="5150E7F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E257A79"/>
    <w:multiLevelType w:val="hybridMultilevel"/>
    <w:tmpl w:val="80B898B0"/>
    <w:lvl w:ilvl="0" w:tplc="9684C8C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86192B"/>
    <w:multiLevelType w:val="hybridMultilevel"/>
    <w:tmpl w:val="79FE68B4"/>
    <w:lvl w:ilvl="0" w:tplc="6FF46E1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F3118A8"/>
    <w:multiLevelType w:val="hybridMultilevel"/>
    <w:tmpl w:val="0F44F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6621EB"/>
    <w:multiLevelType w:val="hybridMultilevel"/>
    <w:tmpl w:val="C6DA0D1A"/>
    <w:lvl w:ilvl="0" w:tplc="1F48665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AF0F90"/>
    <w:multiLevelType w:val="hybridMultilevel"/>
    <w:tmpl w:val="94980034"/>
    <w:lvl w:ilvl="0" w:tplc="A040398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6D25BF4"/>
    <w:multiLevelType w:val="hybridMultilevel"/>
    <w:tmpl w:val="5CDCEBB2"/>
    <w:lvl w:ilvl="0" w:tplc="E754431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A093D20"/>
    <w:multiLevelType w:val="hybridMultilevel"/>
    <w:tmpl w:val="6D94543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0310BD"/>
    <w:multiLevelType w:val="hybridMultilevel"/>
    <w:tmpl w:val="76F2C666"/>
    <w:lvl w:ilvl="0" w:tplc="A998DAE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B947B9"/>
    <w:multiLevelType w:val="hybridMultilevel"/>
    <w:tmpl w:val="9B76A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7430A35"/>
    <w:multiLevelType w:val="hybridMultilevel"/>
    <w:tmpl w:val="6D8E4B94"/>
    <w:lvl w:ilvl="0" w:tplc="D6AE6CC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3331DE0"/>
    <w:multiLevelType w:val="hybridMultilevel"/>
    <w:tmpl w:val="19C28FF6"/>
    <w:lvl w:ilvl="0" w:tplc="D708D9C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5D628D"/>
    <w:multiLevelType w:val="hybridMultilevel"/>
    <w:tmpl w:val="FC0CD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2643BB"/>
    <w:multiLevelType w:val="hybridMultilevel"/>
    <w:tmpl w:val="36887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1832D79"/>
    <w:multiLevelType w:val="hybridMultilevel"/>
    <w:tmpl w:val="3CDE712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004485"/>
    <w:multiLevelType w:val="hybridMultilevel"/>
    <w:tmpl w:val="7B68C538"/>
    <w:lvl w:ilvl="0" w:tplc="51F205D8">
      <w:start w:val="1"/>
      <w:numFmt w:val="upperLetter"/>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8002509"/>
    <w:multiLevelType w:val="hybridMultilevel"/>
    <w:tmpl w:val="23722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2134F3"/>
    <w:multiLevelType w:val="hybridMultilevel"/>
    <w:tmpl w:val="C012F754"/>
    <w:lvl w:ilvl="0" w:tplc="5BA8B86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A783E36"/>
    <w:multiLevelType w:val="hybridMultilevel"/>
    <w:tmpl w:val="40F4282E"/>
    <w:lvl w:ilvl="0" w:tplc="44861F8A">
      <w:start w:val="1"/>
      <w:numFmt w:val="upp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01A570B"/>
    <w:multiLevelType w:val="hybridMultilevel"/>
    <w:tmpl w:val="295AB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0F003EA"/>
    <w:multiLevelType w:val="hybridMultilevel"/>
    <w:tmpl w:val="9F90C69E"/>
    <w:lvl w:ilvl="0" w:tplc="5822A92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16E4C63"/>
    <w:multiLevelType w:val="hybridMultilevel"/>
    <w:tmpl w:val="78F6EB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40595E"/>
    <w:multiLevelType w:val="hybridMultilevel"/>
    <w:tmpl w:val="3976B8AE"/>
    <w:lvl w:ilvl="0" w:tplc="614655C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F3023C0"/>
    <w:multiLevelType w:val="hybridMultilevel"/>
    <w:tmpl w:val="1766E7DA"/>
    <w:lvl w:ilvl="0" w:tplc="02C20DE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9431F5"/>
    <w:multiLevelType w:val="hybridMultilevel"/>
    <w:tmpl w:val="88744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31"/>
  </w:num>
  <w:num w:numId="3">
    <w:abstractNumId w:val="4"/>
  </w:num>
  <w:num w:numId="4">
    <w:abstractNumId w:val="3"/>
  </w:num>
  <w:num w:numId="5">
    <w:abstractNumId w:val="19"/>
  </w:num>
  <w:num w:numId="6">
    <w:abstractNumId w:val="23"/>
  </w:num>
  <w:num w:numId="7">
    <w:abstractNumId w:val="21"/>
  </w:num>
  <w:num w:numId="8">
    <w:abstractNumId w:val="2"/>
  </w:num>
  <w:num w:numId="9">
    <w:abstractNumId w:val="28"/>
  </w:num>
  <w:num w:numId="10">
    <w:abstractNumId w:val="0"/>
  </w:num>
  <w:num w:numId="11">
    <w:abstractNumId w:val="18"/>
  </w:num>
  <w:num w:numId="12">
    <w:abstractNumId w:val="15"/>
  </w:num>
  <w:num w:numId="13">
    <w:abstractNumId w:val="7"/>
  </w:num>
  <w:num w:numId="14">
    <w:abstractNumId w:val="27"/>
  </w:num>
  <w:num w:numId="15">
    <w:abstractNumId w:val="29"/>
  </w:num>
  <w:num w:numId="16">
    <w:abstractNumId w:val="8"/>
  </w:num>
  <w:num w:numId="17">
    <w:abstractNumId w:val="11"/>
  </w:num>
  <w:num w:numId="18">
    <w:abstractNumId w:val="12"/>
  </w:num>
  <w:num w:numId="19">
    <w:abstractNumId w:val="13"/>
  </w:num>
  <w:num w:numId="20">
    <w:abstractNumId w:val="30"/>
  </w:num>
  <w:num w:numId="21">
    <w:abstractNumId w:val="17"/>
  </w:num>
  <w:num w:numId="22">
    <w:abstractNumId w:val="1"/>
  </w:num>
  <w:num w:numId="23">
    <w:abstractNumId w:val="9"/>
  </w:num>
  <w:num w:numId="24">
    <w:abstractNumId w:val="10"/>
  </w:num>
  <w:num w:numId="25">
    <w:abstractNumId w:val="26"/>
  </w:num>
  <w:num w:numId="26">
    <w:abstractNumId w:val="5"/>
  </w:num>
  <w:num w:numId="27">
    <w:abstractNumId w:val="20"/>
  </w:num>
  <w:num w:numId="28">
    <w:abstractNumId w:val="16"/>
  </w:num>
  <w:num w:numId="29">
    <w:abstractNumId w:val="22"/>
  </w:num>
  <w:num w:numId="30">
    <w:abstractNumId w:val="25"/>
  </w:num>
  <w:num w:numId="31">
    <w:abstractNumId w:val="24"/>
  </w:num>
  <w:num w:numId="32">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1AB8"/>
    <w:rsid w:val="0002438A"/>
    <w:rsid w:val="000649BA"/>
    <w:rsid w:val="00067941"/>
    <w:rsid w:val="000779F6"/>
    <w:rsid w:val="000A0B44"/>
    <w:rsid w:val="000A209C"/>
    <w:rsid w:val="000A30E7"/>
    <w:rsid w:val="000D2BAF"/>
    <w:rsid w:val="000D48D4"/>
    <w:rsid w:val="000E45F9"/>
    <w:rsid w:val="000E6D91"/>
    <w:rsid w:val="000E7DCE"/>
    <w:rsid w:val="000F5662"/>
    <w:rsid w:val="000F7484"/>
    <w:rsid w:val="00100E89"/>
    <w:rsid w:val="00126602"/>
    <w:rsid w:val="001348EE"/>
    <w:rsid w:val="00143F39"/>
    <w:rsid w:val="00190452"/>
    <w:rsid w:val="001B3794"/>
    <w:rsid w:val="001B4A01"/>
    <w:rsid w:val="001D1AB8"/>
    <w:rsid w:val="001E4361"/>
    <w:rsid w:val="001F68D9"/>
    <w:rsid w:val="00220C34"/>
    <w:rsid w:val="00224572"/>
    <w:rsid w:val="00230BE8"/>
    <w:rsid w:val="00231196"/>
    <w:rsid w:val="00231871"/>
    <w:rsid w:val="002354B9"/>
    <w:rsid w:val="00236CD9"/>
    <w:rsid w:val="00240F8F"/>
    <w:rsid w:val="00263BF2"/>
    <w:rsid w:val="00276D8F"/>
    <w:rsid w:val="002A5868"/>
    <w:rsid w:val="002C2972"/>
    <w:rsid w:val="0032604C"/>
    <w:rsid w:val="00337281"/>
    <w:rsid w:val="003454FB"/>
    <w:rsid w:val="0034675C"/>
    <w:rsid w:val="003709E0"/>
    <w:rsid w:val="00375DE2"/>
    <w:rsid w:val="00381103"/>
    <w:rsid w:val="003902A3"/>
    <w:rsid w:val="00393E4C"/>
    <w:rsid w:val="00394955"/>
    <w:rsid w:val="0039693C"/>
    <w:rsid w:val="003A42C0"/>
    <w:rsid w:val="003D2D62"/>
    <w:rsid w:val="003E3091"/>
    <w:rsid w:val="003E3DAA"/>
    <w:rsid w:val="003F5D42"/>
    <w:rsid w:val="00402D59"/>
    <w:rsid w:val="0040335A"/>
    <w:rsid w:val="00415EDF"/>
    <w:rsid w:val="004275D8"/>
    <w:rsid w:val="004437A6"/>
    <w:rsid w:val="00447950"/>
    <w:rsid w:val="00456703"/>
    <w:rsid w:val="00461266"/>
    <w:rsid w:val="00480424"/>
    <w:rsid w:val="00482BB3"/>
    <w:rsid w:val="00487EEF"/>
    <w:rsid w:val="004A1963"/>
    <w:rsid w:val="004B1AF2"/>
    <w:rsid w:val="004B2ADE"/>
    <w:rsid w:val="004B2C79"/>
    <w:rsid w:val="004B2C80"/>
    <w:rsid w:val="004B5501"/>
    <w:rsid w:val="004B6406"/>
    <w:rsid w:val="004C61E0"/>
    <w:rsid w:val="00504144"/>
    <w:rsid w:val="005360D2"/>
    <w:rsid w:val="0054108A"/>
    <w:rsid w:val="00544074"/>
    <w:rsid w:val="00571191"/>
    <w:rsid w:val="0057793C"/>
    <w:rsid w:val="005B4317"/>
    <w:rsid w:val="005D178A"/>
    <w:rsid w:val="005E2BAA"/>
    <w:rsid w:val="006006BA"/>
    <w:rsid w:val="006059A5"/>
    <w:rsid w:val="0061276D"/>
    <w:rsid w:val="00623B0F"/>
    <w:rsid w:val="00640947"/>
    <w:rsid w:val="00646037"/>
    <w:rsid w:val="00653170"/>
    <w:rsid w:val="00680610"/>
    <w:rsid w:val="00682C6E"/>
    <w:rsid w:val="00697C34"/>
    <w:rsid w:val="006A0DEC"/>
    <w:rsid w:val="006A45E9"/>
    <w:rsid w:val="006B0029"/>
    <w:rsid w:val="006B3E18"/>
    <w:rsid w:val="006D2DCE"/>
    <w:rsid w:val="007008A2"/>
    <w:rsid w:val="0070642F"/>
    <w:rsid w:val="00712A30"/>
    <w:rsid w:val="00717A30"/>
    <w:rsid w:val="00726A65"/>
    <w:rsid w:val="00750C6F"/>
    <w:rsid w:val="00751E82"/>
    <w:rsid w:val="00754DC7"/>
    <w:rsid w:val="00792F31"/>
    <w:rsid w:val="007B5C98"/>
    <w:rsid w:val="007D3677"/>
    <w:rsid w:val="00804390"/>
    <w:rsid w:val="00806502"/>
    <w:rsid w:val="00811D0C"/>
    <w:rsid w:val="0084644E"/>
    <w:rsid w:val="008623B9"/>
    <w:rsid w:val="00867E85"/>
    <w:rsid w:val="008944E9"/>
    <w:rsid w:val="008A1A5D"/>
    <w:rsid w:val="008A568B"/>
    <w:rsid w:val="008C74A4"/>
    <w:rsid w:val="008E0547"/>
    <w:rsid w:val="008F06F0"/>
    <w:rsid w:val="0091255D"/>
    <w:rsid w:val="00914EA5"/>
    <w:rsid w:val="00927947"/>
    <w:rsid w:val="009413DC"/>
    <w:rsid w:val="00942FE8"/>
    <w:rsid w:val="00957E52"/>
    <w:rsid w:val="00983140"/>
    <w:rsid w:val="00991F61"/>
    <w:rsid w:val="009A436A"/>
    <w:rsid w:val="009B1386"/>
    <w:rsid w:val="009C2B02"/>
    <w:rsid w:val="009D2C39"/>
    <w:rsid w:val="009D3F4E"/>
    <w:rsid w:val="009E54C5"/>
    <w:rsid w:val="009E6FD6"/>
    <w:rsid w:val="00A06D46"/>
    <w:rsid w:val="00A1051C"/>
    <w:rsid w:val="00A13055"/>
    <w:rsid w:val="00A13915"/>
    <w:rsid w:val="00A354A3"/>
    <w:rsid w:val="00A4197E"/>
    <w:rsid w:val="00A53A6B"/>
    <w:rsid w:val="00A71549"/>
    <w:rsid w:val="00A82C29"/>
    <w:rsid w:val="00A92BC4"/>
    <w:rsid w:val="00AA171C"/>
    <w:rsid w:val="00AA533A"/>
    <w:rsid w:val="00AA5AB4"/>
    <w:rsid w:val="00AA7281"/>
    <w:rsid w:val="00AA79A8"/>
    <w:rsid w:val="00AB1264"/>
    <w:rsid w:val="00AB79F7"/>
    <w:rsid w:val="00AD78BE"/>
    <w:rsid w:val="00AF0ED6"/>
    <w:rsid w:val="00B001A4"/>
    <w:rsid w:val="00B04A15"/>
    <w:rsid w:val="00B41611"/>
    <w:rsid w:val="00B46718"/>
    <w:rsid w:val="00BA62FD"/>
    <w:rsid w:val="00BA68AB"/>
    <w:rsid w:val="00BB4847"/>
    <w:rsid w:val="00BB6FA7"/>
    <w:rsid w:val="00C20228"/>
    <w:rsid w:val="00C220ED"/>
    <w:rsid w:val="00C22BC4"/>
    <w:rsid w:val="00C33848"/>
    <w:rsid w:val="00C35948"/>
    <w:rsid w:val="00C35C97"/>
    <w:rsid w:val="00C53068"/>
    <w:rsid w:val="00C56EB2"/>
    <w:rsid w:val="00C57041"/>
    <w:rsid w:val="00C8437D"/>
    <w:rsid w:val="00C96CB6"/>
    <w:rsid w:val="00CA3655"/>
    <w:rsid w:val="00CE0689"/>
    <w:rsid w:val="00CE790E"/>
    <w:rsid w:val="00CF4861"/>
    <w:rsid w:val="00CF4DFF"/>
    <w:rsid w:val="00D138C0"/>
    <w:rsid w:val="00D25E07"/>
    <w:rsid w:val="00D61B4E"/>
    <w:rsid w:val="00D72B39"/>
    <w:rsid w:val="00D8717E"/>
    <w:rsid w:val="00D9245F"/>
    <w:rsid w:val="00DB2F76"/>
    <w:rsid w:val="00DB57D5"/>
    <w:rsid w:val="00DF2464"/>
    <w:rsid w:val="00DF76A6"/>
    <w:rsid w:val="00E0289A"/>
    <w:rsid w:val="00E20BD2"/>
    <w:rsid w:val="00E2137F"/>
    <w:rsid w:val="00E34A85"/>
    <w:rsid w:val="00E3718C"/>
    <w:rsid w:val="00E45FCE"/>
    <w:rsid w:val="00E73471"/>
    <w:rsid w:val="00E7482C"/>
    <w:rsid w:val="00E851A7"/>
    <w:rsid w:val="00EA4F8B"/>
    <w:rsid w:val="00ED6040"/>
    <w:rsid w:val="00EE5DFB"/>
    <w:rsid w:val="00EF1310"/>
    <w:rsid w:val="00EF5724"/>
    <w:rsid w:val="00F06021"/>
    <w:rsid w:val="00F062C8"/>
    <w:rsid w:val="00F11FA7"/>
    <w:rsid w:val="00F65527"/>
    <w:rsid w:val="00F73210"/>
    <w:rsid w:val="00F9076B"/>
    <w:rsid w:val="00FA5F81"/>
    <w:rsid w:val="00FB2CDD"/>
    <w:rsid w:val="00FB7BBD"/>
    <w:rsid w:val="00FD0752"/>
    <w:rsid w:val="00FD7B68"/>
    <w:rsid w:val="00FE69B4"/>
    <w:rsid w:val="00FF62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EAAF45"/>
  <w15:chartTrackingRefBased/>
  <w15:docId w15:val="{B73045F2-A72E-49C4-9DF5-B12B76EB1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1AB8"/>
  </w:style>
  <w:style w:type="paragraph" w:styleId="Heading1">
    <w:name w:val="heading 1"/>
    <w:basedOn w:val="Normal"/>
    <w:next w:val="Normal"/>
    <w:link w:val="Heading1Char"/>
    <w:uiPriority w:val="9"/>
    <w:qFormat/>
    <w:rsid w:val="001D1AB8"/>
    <w:pPr>
      <w:keepNext/>
      <w:keepLines/>
      <w:spacing w:before="240" w:after="0" w:line="276"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D1AB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D1AB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D1AB8"/>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1AB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D1AB8"/>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D1AB8"/>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1D1AB8"/>
    <w:rPr>
      <w:rFonts w:asciiTheme="majorHAnsi" w:eastAsiaTheme="majorEastAsia" w:hAnsiTheme="majorHAnsi" w:cstheme="majorBidi"/>
      <w:i/>
      <w:iCs/>
      <w:color w:val="2E74B5" w:themeColor="accent1" w:themeShade="BF"/>
      <w:sz w:val="24"/>
      <w:szCs w:val="24"/>
    </w:rPr>
  </w:style>
  <w:style w:type="paragraph" w:customStyle="1" w:styleId="Figuretitles">
    <w:name w:val="Figure titles"/>
    <w:qFormat/>
    <w:rsid w:val="00231196"/>
    <w:pPr>
      <w:spacing w:after="200" w:line="360" w:lineRule="auto"/>
      <w:jc w:val="both"/>
    </w:pPr>
    <w:rPr>
      <w:rFonts w:asciiTheme="majorHAnsi" w:eastAsiaTheme="majorEastAsia" w:hAnsiTheme="majorHAnsi" w:cstheme="majorBidi"/>
      <w:b/>
      <w:color w:val="1F4D78" w:themeColor="accent1" w:themeShade="7F"/>
      <w:sz w:val="24"/>
      <w:szCs w:val="24"/>
    </w:rPr>
  </w:style>
  <w:style w:type="paragraph" w:customStyle="1" w:styleId="Thesisnormal">
    <w:name w:val="Thesis normal"/>
    <w:basedOn w:val="Normal"/>
    <w:qFormat/>
    <w:rsid w:val="00231196"/>
    <w:pPr>
      <w:spacing w:after="0" w:line="360" w:lineRule="auto"/>
      <w:jc w:val="both"/>
    </w:pPr>
    <w:rPr>
      <w:sz w:val="24"/>
      <w:szCs w:val="24"/>
    </w:rPr>
  </w:style>
  <w:style w:type="paragraph" w:styleId="Title">
    <w:name w:val="Title"/>
    <w:basedOn w:val="Normal"/>
    <w:next w:val="Normal"/>
    <w:link w:val="TitleChar"/>
    <w:uiPriority w:val="10"/>
    <w:qFormat/>
    <w:rsid w:val="001D1AB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1AB8"/>
    <w:rPr>
      <w:rFonts w:asciiTheme="majorHAnsi" w:eastAsiaTheme="majorEastAsia" w:hAnsiTheme="majorHAnsi" w:cstheme="majorBidi"/>
      <w:spacing w:val="-10"/>
      <w:kern w:val="28"/>
      <w:sz w:val="56"/>
      <w:szCs w:val="56"/>
    </w:rPr>
  </w:style>
  <w:style w:type="character" w:customStyle="1" w:styleId="fontstyle01">
    <w:name w:val="fontstyle01"/>
    <w:basedOn w:val="DefaultParagraphFont"/>
    <w:rsid w:val="001D1AB8"/>
    <w:rPr>
      <w:rFonts w:ascii="TimesNewRomanPSMT" w:hAnsi="TimesNewRomanPSMT" w:hint="default"/>
      <w:b w:val="0"/>
      <w:bCs w:val="0"/>
      <w:i w:val="0"/>
      <w:iCs w:val="0"/>
      <w:color w:val="000000"/>
      <w:sz w:val="24"/>
      <w:szCs w:val="24"/>
    </w:rPr>
  </w:style>
  <w:style w:type="table" w:styleId="TableGrid">
    <w:name w:val="Table Grid"/>
    <w:basedOn w:val="TableNormal"/>
    <w:uiPriority w:val="59"/>
    <w:rsid w:val="001D1AB8"/>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D1AB8"/>
    <w:pPr>
      <w:spacing w:line="259" w:lineRule="auto"/>
      <w:outlineLvl w:val="9"/>
    </w:pPr>
    <w:rPr>
      <w:lang w:val="en-US"/>
    </w:rPr>
  </w:style>
  <w:style w:type="paragraph" w:styleId="TOC1">
    <w:name w:val="toc 1"/>
    <w:basedOn w:val="Normal"/>
    <w:next w:val="Normal"/>
    <w:autoRedefine/>
    <w:uiPriority w:val="39"/>
    <w:unhideWhenUsed/>
    <w:rsid w:val="001D1AB8"/>
    <w:pPr>
      <w:spacing w:after="100"/>
    </w:pPr>
  </w:style>
  <w:style w:type="character" w:styleId="Hyperlink">
    <w:name w:val="Hyperlink"/>
    <w:basedOn w:val="DefaultParagraphFont"/>
    <w:uiPriority w:val="99"/>
    <w:unhideWhenUsed/>
    <w:rsid w:val="001D1AB8"/>
    <w:rPr>
      <w:color w:val="0563C1" w:themeColor="hyperlink"/>
      <w:u w:val="single"/>
    </w:rPr>
  </w:style>
  <w:style w:type="paragraph" w:styleId="NoSpacing">
    <w:name w:val="No Spacing"/>
    <w:uiPriority w:val="1"/>
    <w:qFormat/>
    <w:rsid w:val="001D1AB8"/>
    <w:pPr>
      <w:spacing w:after="0" w:line="240" w:lineRule="auto"/>
    </w:pPr>
    <w:rPr>
      <w:sz w:val="24"/>
      <w:szCs w:val="24"/>
    </w:rPr>
  </w:style>
  <w:style w:type="paragraph" w:styleId="ListParagraph">
    <w:name w:val="List Paragraph"/>
    <w:basedOn w:val="Normal"/>
    <w:uiPriority w:val="34"/>
    <w:qFormat/>
    <w:rsid w:val="001D1AB8"/>
    <w:pPr>
      <w:spacing w:after="0" w:line="240" w:lineRule="auto"/>
      <w:ind w:left="720"/>
      <w:contextualSpacing/>
    </w:pPr>
    <w:rPr>
      <w:sz w:val="24"/>
      <w:szCs w:val="24"/>
    </w:rPr>
  </w:style>
  <w:style w:type="paragraph" w:styleId="Header">
    <w:name w:val="header"/>
    <w:basedOn w:val="Normal"/>
    <w:link w:val="HeaderChar"/>
    <w:uiPriority w:val="99"/>
    <w:unhideWhenUsed/>
    <w:rsid w:val="001D1AB8"/>
    <w:pPr>
      <w:tabs>
        <w:tab w:val="center" w:pos="4513"/>
        <w:tab w:val="right" w:pos="9026"/>
      </w:tabs>
      <w:spacing w:after="0" w:line="240" w:lineRule="auto"/>
    </w:pPr>
    <w:rPr>
      <w:sz w:val="24"/>
      <w:szCs w:val="24"/>
    </w:rPr>
  </w:style>
  <w:style w:type="character" w:customStyle="1" w:styleId="HeaderChar">
    <w:name w:val="Header Char"/>
    <w:basedOn w:val="DefaultParagraphFont"/>
    <w:link w:val="Header"/>
    <w:uiPriority w:val="99"/>
    <w:rsid w:val="001D1AB8"/>
    <w:rPr>
      <w:sz w:val="24"/>
      <w:szCs w:val="24"/>
    </w:rPr>
  </w:style>
  <w:style w:type="paragraph" w:styleId="Footer">
    <w:name w:val="footer"/>
    <w:basedOn w:val="Normal"/>
    <w:link w:val="FooterChar"/>
    <w:uiPriority w:val="99"/>
    <w:unhideWhenUsed/>
    <w:rsid w:val="001D1AB8"/>
    <w:pPr>
      <w:tabs>
        <w:tab w:val="center" w:pos="4513"/>
        <w:tab w:val="right" w:pos="9026"/>
      </w:tabs>
      <w:spacing w:after="0" w:line="240" w:lineRule="auto"/>
    </w:pPr>
    <w:rPr>
      <w:sz w:val="24"/>
      <w:szCs w:val="24"/>
    </w:rPr>
  </w:style>
  <w:style w:type="character" w:customStyle="1" w:styleId="FooterChar">
    <w:name w:val="Footer Char"/>
    <w:basedOn w:val="DefaultParagraphFont"/>
    <w:link w:val="Footer"/>
    <w:uiPriority w:val="99"/>
    <w:rsid w:val="001D1AB8"/>
    <w:rPr>
      <w:sz w:val="24"/>
      <w:szCs w:val="24"/>
    </w:rPr>
  </w:style>
  <w:style w:type="paragraph" w:styleId="Bibliography">
    <w:name w:val="Bibliography"/>
    <w:basedOn w:val="Normal"/>
    <w:next w:val="Normal"/>
    <w:uiPriority w:val="37"/>
    <w:unhideWhenUsed/>
    <w:rsid w:val="001D1AB8"/>
    <w:pPr>
      <w:tabs>
        <w:tab w:val="left" w:pos="624"/>
      </w:tabs>
      <w:spacing w:after="240" w:line="240" w:lineRule="auto"/>
      <w:ind w:left="624" w:hanging="624"/>
    </w:pPr>
    <w:rPr>
      <w:sz w:val="24"/>
      <w:szCs w:val="24"/>
    </w:rPr>
  </w:style>
  <w:style w:type="character" w:customStyle="1" w:styleId="fontstyle31">
    <w:name w:val="fontstyle31"/>
    <w:basedOn w:val="DefaultParagraphFont"/>
    <w:rsid w:val="001D1AB8"/>
    <w:rPr>
      <w:rFonts w:ascii="TimesNewRomanPSMT" w:hAnsi="TimesNewRomanPSMT" w:hint="default"/>
      <w:b w:val="0"/>
      <w:bCs w:val="0"/>
      <w:i w:val="0"/>
      <w:iCs w:val="0"/>
      <w:color w:val="000000"/>
      <w:sz w:val="22"/>
      <w:szCs w:val="22"/>
    </w:rPr>
  </w:style>
  <w:style w:type="character" w:customStyle="1" w:styleId="fontstyle41">
    <w:name w:val="fontstyle41"/>
    <w:basedOn w:val="DefaultParagraphFont"/>
    <w:rsid w:val="001D1AB8"/>
    <w:rPr>
      <w:rFonts w:ascii="TimesNewRomanPS-ItalicMT" w:hAnsi="TimesNewRomanPS-ItalicMT" w:hint="default"/>
      <w:b w:val="0"/>
      <w:bCs w:val="0"/>
      <w:i/>
      <w:iCs/>
      <w:color w:val="000000"/>
      <w:sz w:val="22"/>
      <w:szCs w:val="22"/>
    </w:rPr>
  </w:style>
  <w:style w:type="character" w:customStyle="1" w:styleId="ilfuvd">
    <w:name w:val="ilfuvd"/>
    <w:basedOn w:val="DefaultParagraphFont"/>
    <w:rsid w:val="001D1AB8"/>
  </w:style>
  <w:style w:type="character" w:styleId="CommentReference">
    <w:name w:val="annotation reference"/>
    <w:basedOn w:val="DefaultParagraphFont"/>
    <w:uiPriority w:val="99"/>
    <w:semiHidden/>
    <w:unhideWhenUsed/>
    <w:rsid w:val="001D1AB8"/>
    <w:rPr>
      <w:sz w:val="16"/>
      <w:szCs w:val="16"/>
    </w:rPr>
  </w:style>
  <w:style w:type="paragraph" w:styleId="CommentText">
    <w:name w:val="annotation text"/>
    <w:basedOn w:val="Normal"/>
    <w:link w:val="CommentTextChar"/>
    <w:uiPriority w:val="99"/>
    <w:unhideWhenUsed/>
    <w:rsid w:val="001D1AB8"/>
    <w:pPr>
      <w:spacing w:after="0" w:line="240" w:lineRule="auto"/>
    </w:pPr>
    <w:rPr>
      <w:sz w:val="20"/>
      <w:szCs w:val="20"/>
    </w:rPr>
  </w:style>
  <w:style w:type="character" w:customStyle="1" w:styleId="CommentTextChar">
    <w:name w:val="Comment Text Char"/>
    <w:basedOn w:val="DefaultParagraphFont"/>
    <w:link w:val="CommentText"/>
    <w:uiPriority w:val="99"/>
    <w:rsid w:val="001D1AB8"/>
    <w:rPr>
      <w:sz w:val="20"/>
      <w:szCs w:val="20"/>
    </w:rPr>
  </w:style>
  <w:style w:type="paragraph" w:styleId="CommentSubject">
    <w:name w:val="annotation subject"/>
    <w:basedOn w:val="CommentText"/>
    <w:next w:val="CommentText"/>
    <w:link w:val="CommentSubjectChar"/>
    <w:uiPriority w:val="99"/>
    <w:semiHidden/>
    <w:unhideWhenUsed/>
    <w:rsid w:val="001D1AB8"/>
    <w:rPr>
      <w:b/>
      <w:bCs/>
    </w:rPr>
  </w:style>
  <w:style w:type="character" w:customStyle="1" w:styleId="CommentSubjectChar">
    <w:name w:val="Comment Subject Char"/>
    <w:basedOn w:val="CommentTextChar"/>
    <w:link w:val="CommentSubject"/>
    <w:uiPriority w:val="99"/>
    <w:semiHidden/>
    <w:rsid w:val="001D1AB8"/>
    <w:rPr>
      <w:b/>
      <w:bCs/>
      <w:sz w:val="20"/>
      <w:szCs w:val="20"/>
    </w:rPr>
  </w:style>
  <w:style w:type="paragraph" w:styleId="BalloonText">
    <w:name w:val="Balloon Text"/>
    <w:basedOn w:val="Normal"/>
    <w:link w:val="BalloonTextChar"/>
    <w:uiPriority w:val="99"/>
    <w:semiHidden/>
    <w:unhideWhenUsed/>
    <w:rsid w:val="001D1AB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AB8"/>
    <w:rPr>
      <w:rFonts w:ascii="Segoe UI" w:hAnsi="Segoe UI" w:cs="Segoe UI"/>
      <w:sz w:val="18"/>
      <w:szCs w:val="18"/>
    </w:rPr>
  </w:style>
  <w:style w:type="character" w:styleId="Emphasis">
    <w:name w:val="Emphasis"/>
    <w:basedOn w:val="DefaultParagraphFont"/>
    <w:uiPriority w:val="20"/>
    <w:qFormat/>
    <w:rsid w:val="001D1AB8"/>
    <w:rPr>
      <w:i/>
      <w:iCs/>
    </w:rPr>
  </w:style>
  <w:style w:type="character" w:customStyle="1" w:styleId="fontstyle21">
    <w:name w:val="fontstyle21"/>
    <w:basedOn w:val="DefaultParagraphFont"/>
    <w:rsid w:val="001D1AB8"/>
    <w:rPr>
      <w:rFonts w:ascii="Garamond-BookItalic" w:hAnsi="Garamond-BookItalic" w:hint="default"/>
      <w:b w:val="0"/>
      <w:bCs w:val="0"/>
      <w:i/>
      <w:iCs/>
      <w:color w:val="242021"/>
      <w:sz w:val="20"/>
      <w:szCs w:val="20"/>
    </w:rPr>
  </w:style>
  <w:style w:type="table" w:customStyle="1" w:styleId="PlainTable41">
    <w:name w:val="Plain Table 41"/>
    <w:basedOn w:val="TableNormal"/>
    <w:uiPriority w:val="44"/>
    <w:rsid w:val="0084644E"/>
    <w:pPr>
      <w:spacing w:after="0" w:line="240" w:lineRule="auto"/>
    </w:pPr>
    <w:rPr>
      <w:sz w:val="24"/>
      <w:szCs w:val="24"/>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84644E"/>
    <w:pPr>
      <w:spacing w:after="0" w:line="240" w:lineRule="auto"/>
    </w:pPr>
    <w:rPr>
      <w:sz w:val="24"/>
      <w:szCs w:val="24"/>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rsid w:val="0084644E"/>
    <w:pPr>
      <w:spacing w:after="0" w:line="240" w:lineRule="auto"/>
    </w:pPr>
    <w:rPr>
      <w:sz w:val="24"/>
      <w:szCs w:val="24"/>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84644E"/>
    <w:pPr>
      <w:spacing w:after="0" w:line="240" w:lineRule="auto"/>
    </w:pPr>
    <w:rPr>
      <w:sz w:val="24"/>
      <w:szCs w:val="24"/>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84644E"/>
    <w:rPr>
      <w:color w:val="808080"/>
    </w:rPr>
  </w:style>
  <w:style w:type="paragraph" w:styleId="DocumentMap">
    <w:name w:val="Document Map"/>
    <w:basedOn w:val="Normal"/>
    <w:link w:val="DocumentMapChar"/>
    <w:uiPriority w:val="99"/>
    <w:semiHidden/>
    <w:unhideWhenUsed/>
    <w:rsid w:val="0084644E"/>
    <w:pPr>
      <w:spacing w:after="0" w:line="240" w:lineRule="auto"/>
    </w:pPr>
    <w:rPr>
      <w:rFonts w:ascii="Times New Roman" w:hAnsi="Times New Roman" w:cs="Times New Roman"/>
      <w:sz w:val="24"/>
      <w:szCs w:val="24"/>
      <w:lang w:eastAsia="en-GB"/>
    </w:rPr>
  </w:style>
  <w:style w:type="character" w:customStyle="1" w:styleId="DocumentMapChar">
    <w:name w:val="Document Map Char"/>
    <w:basedOn w:val="DefaultParagraphFont"/>
    <w:link w:val="DocumentMap"/>
    <w:uiPriority w:val="99"/>
    <w:semiHidden/>
    <w:rsid w:val="0084644E"/>
    <w:rPr>
      <w:rFonts w:ascii="Times New Roman" w:hAnsi="Times New Roman" w:cs="Times New Roman"/>
      <w:sz w:val="24"/>
      <w:szCs w:val="24"/>
      <w:lang w:eastAsia="en-GB"/>
    </w:rPr>
  </w:style>
  <w:style w:type="character" w:customStyle="1" w:styleId="st">
    <w:name w:val="st"/>
    <w:basedOn w:val="DefaultParagraphFont"/>
    <w:rsid w:val="0084644E"/>
  </w:style>
  <w:style w:type="character" w:styleId="PageNumber">
    <w:name w:val="page number"/>
    <w:basedOn w:val="DefaultParagraphFont"/>
    <w:uiPriority w:val="99"/>
    <w:semiHidden/>
    <w:unhideWhenUsed/>
    <w:rsid w:val="0084644E"/>
  </w:style>
  <w:style w:type="paragraph" w:styleId="TOC2">
    <w:name w:val="toc 2"/>
    <w:basedOn w:val="Normal"/>
    <w:next w:val="Normal"/>
    <w:autoRedefine/>
    <w:uiPriority w:val="39"/>
    <w:unhideWhenUsed/>
    <w:rsid w:val="001E4361"/>
    <w:pPr>
      <w:spacing w:after="100"/>
      <w:ind w:left="220"/>
    </w:pPr>
  </w:style>
  <w:style w:type="paragraph" w:styleId="TOC3">
    <w:name w:val="toc 3"/>
    <w:basedOn w:val="Normal"/>
    <w:next w:val="Normal"/>
    <w:autoRedefine/>
    <w:uiPriority w:val="39"/>
    <w:unhideWhenUsed/>
    <w:rsid w:val="001E4361"/>
    <w:pPr>
      <w:spacing w:after="100"/>
      <w:ind w:left="440"/>
    </w:pPr>
  </w:style>
  <w:style w:type="paragraph" w:customStyle="1" w:styleId="Style1">
    <w:name w:val="Style1"/>
    <w:qFormat/>
    <w:rsid w:val="00BB4847"/>
    <w:pPr>
      <w:spacing w:after="200" w:line="276" w:lineRule="auto"/>
    </w:pPr>
    <w:rPr>
      <w:rFonts w:asciiTheme="majorHAnsi" w:eastAsiaTheme="majorEastAsia" w:hAnsiTheme="majorHAnsi" w:cstheme="majorBidi"/>
      <w:b/>
      <w:color w:val="1F4D78" w:themeColor="accent1" w:themeShade="7F"/>
      <w:sz w:val="24"/>
      <w:szCs w:val="24"/>
    </w:rPr>
  </w:style>
  <w:style w:type="character" w:customStyle="1" w:styleId="UnresolvedMention1">
    <w:name w:val="Unresolved Mention1"/>
    <w:basedOn w:val="DefaultParagraphFont"/>
    <w:uiPriority w:val="99"/>
    <w:semiHidden/>
    <w:unhideWhenUsed/>
    <w:rsid w:val="00BB4847"/>
    <w:rPr>
      <w:color w:val="605E5C"/>
      <w:shd w:val="clear" w:color="auto" w:fill="E1DFDD"/>
    </w:rPr>
  </w:style>
  <w:style w:type="paragraph" w:styleId="Revision">
    <w:name w:val="Revision"/>
    <w:hidden/>
    <w:uiPriority w:val="99"/>
    <w:semiHidden/>
    <w:rsid w:val="00BB4847"/>
    <w:pPr>
      <w:spacing w:after="0" w:line="240" w:lineRule="auto"/>
    </w:pPr>
    <w:rPr>
      <w:rFonts w:eastAsiaTheme="minorEastAsia"/>
      <w:sz w:val="24"/>
      <w:szCs w:val="24"/>
      <w:lang w:val="en-US"/>
    </w:rPr>
  </w:style>
  <w:style w:type="character" w:styleId="Strong">
    <w:name w:val="Strong"/>
    <w:basedOn w:val="DefaultParagraphFont"/>
    <w:uiPriority w:val="22"/>
    <w:qFormat/>
    <w:rsid w:val="00BB4847"/>
    <w:rPr>
      <w:b/>
      <w:bCs/>
    </w:rPr>
  </w:style>
  <w:style w:type="paragraph" w:styleId="TOC4">
    <w:name w:val="toc 4"/>
    <w:basedOn w:val="Normal"/>
    <w:next w:val="Normal"/>
    <w:autoRedefine/>
    <w:uiPriority w:val="39"/>
    <w:unhideWhenUsed/>
    <w:rsid w:val="00DF2464"/>
    <w:pPr>
      <w:spacing w:after="100"/>
      <w:ind w:left="660"/>
    </w:pPr>
    <w:rPr>
      <w:rFonts w:eastAsiaTheme="minorEastAsia"/>
      <w:lang w:eastAsia="en-GB"/>
    </w:rPr>
  </w:style>
  <w:style w:type="paragraph" w:styleId="TOC5">
    <w:name w:val="toc 5"/>
    <w:basedOn w:val="Normal"/>
    <w:next w:val="Normal"/>
    <w:autoRedefine/>
    <w:uiPriority w:val="39"/>
    <w:unhideWhenUsed/>
    <w:rsid w:val="00DF2464"/>
    <w:pPr>
      <w:spacing w:after="100"/>
      <w:ind w:left="880"/>
    </w:pPr>
    <w:rPr>
      <w:rFonts w:eastAsiaTheme="minorEastAsia"/>
      <w:lang w:eastAsia="en-GB"/>
    </w:rPr>
  </w:style>
  <w:style w:type="paragraph" w:styleId="TOC6">
    <w:name w:val="toc 6"/>
    <w:basedOn w:val="Normal"/>
    <w:next w:val="Normal"/>
    <w:autoRedefine/>
    <w:uiPriority w:val="39"/>
    <w:unhideWhenUsed/>
    <w:rsid w:val="00DF2464"/>
    <w:pPr>
      <w:spacing w:after="100"/>
      <w:ind w:left="1100"/>
    </w:pPr>
    <w:rPr>
      <w:rFonts w:eastAsiaTheme="minorEastAsia"/>
      <w:lang w:eastAsia="en-GB"/>
    </w:rPr>
  </w:style>
  <w:style w:type="paragraph" w:styleId="TOC7">
    <w:name w:val="toc 7"/>
    <w:basedOn w:val="Normal"/>
    <w:next w:val="Normal"/>
    <w:autoRedefine/>
    <w:uiPriority w:val="39"/>
    <w:unhideWhenUsed/>
    <w:rsid w:val="00DF2464"/>
    <w:pPr>
      <w:spacing w:after="100"/>
      <w:ind w:left="1320"/>
    </w:pPr>
    <w:rPr>
      <w:rFonts w:eastAsiaTheme="minorEastAsia"/>
      <w:lang w:eastAsia="en-GB"/>
    </w:rPr>
  </w:style>
  <w:style w:type="paragraph" w:styleId="TOC8">
    <w:name w:val="toc 8"/>
    <w:basedOn w:val="Normal"/>
    <w:next w:val="Normal"/>
    <w:autoRedefine/>
    <w:uiPriority w:val="39"/>
    <w:unhideWhenUsed/>
    <w:rsid w:val="00DF2464"/>
    <w:pPr>
      <w:spacing w:after="100"/>
      <w:ind w:left="1540"/>
    </w:pPr>
    <w:rPr>
      <w:rFonts w:eastAsiaTheme="minorEastAsia"/>
      <w:lang w:eastAsia="en-GB"/>
    </w:rPr>
  </w:style>
  <w:style w:type="paragraph" w:styleId="TOC9">
    <w:name w:val="toc 9"/>
    <w:basedOn w:val="Normal"/>
    <w:next w:val="Normal"/>
    <w:autoRedefine/>
    <w:uiPriority w:val="39"/>
    <w:unhideWhenUsed/>
    <w:rsid w:val="00DF2464"/>
    <w:pPr>
      <w:spacing w:after="100"/>
      <w:ind w:left="1760"/>
    </w:pPr>
    <w:rPr>
      <w:rFonts w:eastAsiaTheme="minorEastAsia"/>
      <w:lang w:eastAsia="en-GB"/>
    </w:rPr>
  </w:style>
  <w:style w:type="character" w:customStyle="1" w:styleId="UnresolvedMention2">
    <w:name w:val="Unresolved Mention2"/>
    <w:basedOn w:val="DefaultParagraphFont"/>
    <w:uiPriority w:val="99"/>
    <w:semiHidden/>
    <w:unhideWhenUsed/>
    <w:rsid w:val="006006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1821068">
      <w:bodyDiv w:val="1"/>
      <w:marLeft w:val="0"/>
      <w:marRight w:val="0"/>
      <w:marTop w:val="0"/>
      <w:marBottom w:val="0"/>
      <w:divBdr>
        <w:top w:val="none" w:sz="0" w:space="0" w:color="auto"/>
        <w:left w:val="none" w:sz="0" w:space="0" w:color="auto"/>
        <w:bottom w:val="none" w:sz="0" w:space="0" w:color="auto"/>
        <w:right w:val="none" w:sz="0" w:space="0" w:color="auto"/>
      </w:divBdr>
    </w:div>
    <w:div w:id="1404375371">
      <w:bodyDiv w:val="1"/>
      <w:marLeft w:val="0"/>
      <w:marRight w:val="0"/>
      <w:marTop w:val="0"/>
      <w:marBottom w:val="0"/>
      <w:divBdr>
        <w:top w:val="none" w:sz="0" w:space="0" w:color="auto"/>
        <w:left w:val="none" w:sz="0" w:space="0" w:color="auto"/>
        <w:bottom w:val="none" w:sz="0" w:space="0" w:color="auto"/>
        <w:right w:val="none" w:sz="0" w:space="0" w:color="auto"/>
      </w:divBdr>
    </w:div>
    <w:div w:id="1504130619">
      <w:bodyDiv w:val="1"/>
      <w:marLeft w:val="0"/>
      <w:marRight w:val="0"/>
      <w:marTop w:val="0"/>
      <w:marBottom w:val="0"/>
      <w:divBdr>
        <w:top w:val="none" w:sz="0" w:space="0" w:color="auto"/>
        <w:left w:val="none" w:sz="0" w:space="0" w:color="auto"/>
        <w:bottom w:val="none" w:sz="0" w:space="0" w:color="auto"/>
        <w:right w:val="none" w:sz="0" w:space="0" w:color="auto"/>
      </w:divBdr>
    </w:div>
    <w:div w:id="2133088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image" Target="media/image47.png"/><Relationship Id="rId63" Type="http://schemas.openxmlformats.org/officeDocument/2006/relationships/image" Target="media/image55.tiff"/><Relationship Id="rId68" Type="http://schemas.openxmlformats.org/officeDocument/2006/relationships/image" Target="media/image60.tiff"/><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4.png"/><Relationship Id="rId24" Type="http://schemas.openxmlformats.org/officeDocument/2006/relationships/image" Target="media/image16.tiff"/><Relationship Id="rId32" Type="http://schemas.openxmlformats.org/officeDocument/2006/relationships/image" Target="media/image24.png"/><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image" Target="media/image50.tiff"/><Relationship Id="rId66" Type="http://schemas.openxmlformats.org/officeDocument/2006/relationships/image" Target="media/image58.tiff"/><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 Id="rId57" Type="http://schemas.openxmlformats.org/officeDocument/2006/relationships/image" Target="media/image49.tiff"/><Relationship Id="rId61" Type="http://schemas.openxmlformats.org/officeDocument/2006/relationships/image" Target="media/image53.tiff"/><Relationship Id="rId10" Type="http://schemas.openxmlformats.org/officeDocument/2006/relationships/image" Target="media/image3.png"/><Relationship Id="rId19" Type="http://schemas.openxmlformats.org/officeDocument/2006/relationships/image" Target="media/image11.tiff"/><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tiff"/><Relationship Id="rId65" Type="http://schemas.openxmlformats.org/officeDocument/2006/relationships/image" Target="media/image57.tif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png"/><Relationship Id="rId64" Type="http://schemas.openxmlformats.org/officeDocument/2006/relationships/image" Target="media/image56.tiff"/><Relationship Id="rId69" Type="http://schemas.openxmlformats.org/officeDocument/2006/relationships/image" Target="media/image61.tiff"/><Relationship Id="rId8" Type="http://schemas.openxmlformats.org/officeDocument/2006/relationships/image" Target="media/image1.tmp"/><Relationship Id="rId51" Type="http://schemas.openxmlformats.org/officeDocument/2006/relationships/image" Target="media/image43.tif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openxmlformats.org/officeDocument/2006/relationships/image" Target="media/image51.tiff"/><Relationship Id="rId67" Type="http://schemas.openxmlformats.org/officeDocument/2006/relationships/image" Target="media/image59.tiff"/><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image" Target="media/image54.tiff"/><Relationship Id="rId70"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13B7A1-BC3F-4436-AAE5-D589D72B4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240</Pages>
  <Words>360965</Words>
  <Characters>2057506</Characters>
  <Application>Microsoft Office Word</Application>
  <DocSecurity>0</DocSecurity>
  <Lines>17145</Lines>
  <Paragraphs>4827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2413644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jonathon coates</dc:creator>
  <cp:keywords/>
  <dc:description/>
  <cp:lastModifiedBy>jonathon coates</cp:lastModifiedBy>
  <cp:revision>62</cp:revision>
  <cp:lastPrinted>2019-02-22T10:02:00Z</cp:lastPrinted>
  <dcterms:created xsi:type="dcterms:W3CDTF">2019-03-27T14:34:00Z</dcterms:created>
  <dcterms:modified xsi:type="dcterms:W3CDTF">2019-04-05T12:42:00Z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zotero-version="5.0.65"&gt;&lt;session id="e0D0Xjiv"/&gt;&lt;style id="http://www.zotero.org/styles/vancouver" locale="en-US" hasBibliography="1" bibliographyStyleHasBeenSet="1"/&gt;&lt;prefs&gt;&lt;pref name="fieldType" value="Field"/&gt;&lt;pref name="dontAskD</vt:lpwstr>
  </property>
  <property fmtid="{D5CDD505-2E9C-101B-9397-08002B2CF9AE}" pid="3" name="ZOTERO_PREF_2">
    <vt:lpwstr>elayCitationUpdates" value="true"/&gt;&lt;/prefs&gt;&lt;/data&gt;</vt:lpwstr>
  </property>
</Properties>
</file>